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1C3F18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UC8</w:t>
            </w:r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881168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="001C3F18" w:rsidRPr="001C3F18">
              <w:rPr>
                <w:rFonts w:ascii="Times New Roman" w:eastAsia="Times New Roman" w:hAnsi="Times New Roman" w:cs="Times New Roman"/>
                <w:sz w:val="24"/>
                <w:szCs w:val="24"/>
              </w:rPr>
              <w:t>Extrair Capítulo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1C3F18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1C3F18">
              <w:t>Capítulo em estado “Concluído”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Pr="001C3F18" w:rsidRDefault="00881168" w:rsidP="00DB3970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1C3F18">
              <w:t>Capítulo Extraído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1</w:t>
            </w: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O sistema apresenta os capítulos de livros cujos blocos estejam todos com estado “aprovado”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2</w:t>
            </w: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seleciona um capítulo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3</w:t>
            </w: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 xml:space="preserve">O sistema baixa os arquivos de áudio de todos os blocos do capítulo para o diretório indicado pela </w:t>
            </w:r>
            <w:proofErr w:type="spellStart"/>
            <w:r>
              <w:t>EdiPUCRS</w:t>
            </w:r>
            <w:proofErr w:type="spellEnd"/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t>4</w:t>
            </w:r>
          </w:p>
        </w:tc>
        <w:tc>
          <w:tcPr>
            <w:tcW w:w="8440" w:type="dxa"/>
          </w:tcPr>
          <w:p w:rsidR="00881168" w:rsidRDefault="00881168" w:rsidP="001C3F18">
            <w:pPr>
              <w:keepNext/>
              <w:spacing w:line="240" w:lineRule="auto"/>
            </w:pPr>
            <w:r>
              <w:t xml:space="preserve">O sistema coloca </w:t>
            </w:r>
            <w:r w:rsidR="001C3F18">
              <w:t>o</w:t>
            </w:r>
            <w:bookmarkStart w:id="0" w:name="_GoBack"/>
            <w:bookmarkEnd w:id="0"/>
            <w:r>
              <w:t xml:space="preserve"> capítul</w:t>
            </w:r>
            <w:r w:rsidR="001C3F18">
              <w:t>o selecionado no estado “</w:t>
            </w:r>
            <w:proofErr w:type="spellStart"/>
            <w:r w:rsidR="001C3F18">
              <w:t>Extraido</w:t>
            </w:r>
            <w:proofErr w:type="spellEnd"/>
            <w:r>
              <w:t>”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881168" w:rsidTr="00DB3970">
        <w:tc>
          <w:tcPr>
            <w:tcW w:w="660" w:type="dxa"/>
          </w:tcPr>
          <w:p w:rsidR="00881168" w:rsidRDefault="001C3F18" w:rsidP="00DB3970">
            <w:r>
              <w:t>2</w:t>
            </w:r>
          </w:p>
        </w:tc>
        <w:tc>
          <w:tcPr>
            <w:tcW w:w="8360" w:type="dxa"/>
          </w:tcPr>
          <w:p w:rsidR="00881168" w:rsidRDefault="00881168" w:rsidP="00DB3970">
            <w:r>
              <w:t>Não existem capítulos com todos os blocos aprovados</w:t>
            </w: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r>
              <w:t xml:space="preserve">2.1 </w:t>
            </w:r>
          </w:p>
        </w:tc>
        <w:tc>
          <w:tcPr>
            <w:tcW w:w="8360" w:type="dxa"/>
          </w:tcPr>
          <w:p w:rsidR="00881168" w:rsidRDefault="00881168" w:rsidP="00DB3970">
            <w:r>
              <w:t>Sistema não encontra capítulos com todos os blocos no estado “aprovado”</w:t>
            </w: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r>
              <w:t>2.2</w:t>
            </w:r>
          </w:p>
        </w:tc>
        <w:tc>
          <w:tcPr>
            <w:tcW w:w="8360" w:type="dxa"/>
          </w:tcPr>
          <w:p w:rsidR="00881168" w:rsidRDefault="00881168" w:rsidP="00DB3970">
            <w:r>
              <w:t>A operação é encerrada</w:t>
            </w: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/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3F18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B23"/>
    <w:rsid w:val="00636881"/>
    <w:rsid w:val="00640533"/>
    <w:rsid w:val="006422FA"/>
    <w:rsid w:val="00642649"/>
    <w:rsid w:val="00643E2F"/>
    <w:rsid w:val="006470E5"/>
    <w:rsid w:val="00652CCF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ISRAEL DEORCE VIEIRA JUNIOR</cp:lastModifiedBy>
  <cp:revision>2</cp:revision>
  <dcterms:created xsi:type="dcterms:W3CDTF">2016-09-26T15:03:00Z</dcterms:created>
  <dcterms:modified xsi:type="dcterms:W3CDTF">2016-10-28T19:16:00Z</dcterms:modified>
</cp:coreProperties>
</file>