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0"/>
        <w:gridCol w:w="5760"/>
        <w:tblGridChange w:id="0">
          <w:tblGrid>
            <w:gridCol w:w="5280"/>
            <w:gridCol w:w="576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A combinar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vertAlign w:val="baseline"/>
                <w:rtl w:val="0"/>
              </w:rPr>
              <w:t xml:space="preserve">Cadastrar Doador de Voz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Doador de voz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Cadastro efetivado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SEQUÊNCIA TÍPICA DE EVENTOS (FLUXO BÁSICO)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320"/>
        <w:tblGridChange w:id="0">
          <w:tblGrid>
            <w:gridCol w:w="720"/>
            <w:gridCol w:w="10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Doador de voz preenche dados nos campos apresentados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validar os dados com o Gilberto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068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Identificação; 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068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E-mail; 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068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Senha 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vertAlign w:val="baseline"/>
                <w:rtl w:val="0"/>
              </w:rPr>
              <w:t xml:space="preserve">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Sistema verifica dados preenchidos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Sistema realiza cadastro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&lt;&lt;include&gt;&gt; UC_(autorizar uso de voz do doador)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Subseção: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SEQUÊNCIAS ALTERNATIVAS (FLUXOS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"/>
        <w:gridCol w:w="10233"/>
        <w:tblGridChange w:id="0">
          <w:tblGrid>
            <w:gridCol w:w="807"/>
            <w:gridCol w:w="1023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Sistema detecta invalidez nos dados preenchidos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2a1 Sistema informa quais dados estão inválidos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2a2 Doador de voz corrige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2a3 Fluxo retorna ao passo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320"/>
        <w:tblGridChange w:id="0">
          <w:tblGrid>
            <w:gridCol w:w="720"/>
            <w:gridCol w:w="1032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1"/>
              <w:tabs>
                <w:tab w:val="left" w:pos="340"/>
                <w:tab w:val="center" w:pos="1372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304" w:top="1021" w:left="720" w:right="5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18"/>
        <w:szCs w:val="18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8"/>
        <w:szCs w:val="18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505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624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40"/>
        <w:szCs w:val="40"/>
        <w:vertAlign w:val="baseline"/>
        <w:rtl w:val="0"/>
      </w:rPr>
      <w:t xml:space="preserve">CASO DE USO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8" w:firstLine="708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6" w:firstLine="1416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44" w:firstLine="212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2" w:firstLine="28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20" w:firstLine="35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88" w:firstLine="424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396" w:firstLine="4956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64" w:firstLine="566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