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0"/>
        <w:gridCol w:w="5760"/>
        <w:tblGridChange w:id="0">
          <w:tblGrid>
            <w:gridCol w:w="5280"/>
            <w:gridCol w:w="5760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Identificação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vertAlign w:val="baseline"/>
                <w:rtl w:val="0"/>
              </w:rPr>
              <w:t xml:space="preserve">Autorizar uso de voz do doador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 Doador de voz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vertAlign w:val="baseline"/>
                <w:rtl w:val="0"/>
              </w:rPr>
              <w:t xml:space="preserve">Envio do Termo de Doação de voz concluído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40"/>
        <w:tblGridChange w:id="0">
          <w:tblGrid>
            <w:gridCol w:w="1104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SEQUÊNCIA TÍPICA DE EVENTOS (FLUXO BÁSICO)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0320"/>
        <w:tblGridChange w:id="0">
          <w:tblGrid>
            <w:gridCol w:w="720"/>
            <w:gridCol w:w="103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Doador de voz preenche dados nos campos apresentados</w:t>
            </w:r>
          </w:p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068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Especificados no Termo de Doação de voz fornecido pela EdiPUCRS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Doador de voz aceita o Termo de Doação de voz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Sistema verifica dados preenchidos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&lt;&lt;extend&gt;&gt; UC</w:t>
            </w:r>
            <w:r w:rsidDel="00000000" w:rsidR="00000000" w:rsidRPr="00000000">
              <w:rPr>
                <w:rtl w:val="0"/>
              </w:rPr>
              <w:t xml:space="preserve">4 (Selecionar bloco de leitura)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Subseção: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40"/>
        <w:tblGridChange w:id="0">
          <w:tblGrid>
            <w:gridCol w:w="1104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SEQ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ÊNCIAS ALTERNATIVAS (FLUXOS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7"/>
        <w:gridCol w:w="10233"/>
        <w:tblGridChange w:id="0">
          <w:tblGrid>
            <w:gridCol w:w="807"/>
            <w:gridCol w:w="1023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Sistema detecta invalidez nos dados preenchidos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3a1 Sistema informa quais dados estão inválidos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3a2 Doador de voz corrige 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3a3 Fluxo retorna ao passo 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0320"/>
        <w:tblGridChange w:id="0">
          <w:tblGrid>
            <w:gridCol w:w="720"/>
            <w:gridCol w:w="10320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1"/>
              <w:tabs>
                <w:tab w:val="left" w:pos="340"/>
                <w:tab w:val="center" w:pos="1372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REQUISITOS NÃO-FUNCIONAIS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304" w:top="1021" w:left="720" w:right="5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18"/>
        <w:szCs w:val="18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18"/>
        <w:szCs w:val="18"/>
        <w:vertAlign w:val="baseline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18"/>
        <w:szCs w:val="18"/>
        <w:vertAlign w:val="baseline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18"/>
        <w:szCs w:val="18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505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624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40"/>
        <w:szCs w:val="40"/>
        <w:vertAlign w:val="baseline"/>
        <w:rtl w:val="0"/>
      </w:rPr>
      <w:t xml:space="preserve">CASO DE USO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8" w:firstLine="708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6" w:firstLine="1416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44" w:firstLine="212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2" w:firstLine="2832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20" w:firstLine="35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88" w:firstLine="424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396" w:firstLine="4956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464" w:firstLine="566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