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00" w:lineRule="auto"/>
        <w:jc w:val="center"/>
      </w:pPr>
      <w:r>
        <w:rPr>
          <w:rFonts w:ascii="Calibri" w:hAnsi="Calibri"/>
          <w:b/>
          <w:i w:val="0"/>
          <w:color w:val="006B67"/>
          <w:sz w:val="20"/>
        </w:rPr>
        <w:t>RELATÓRIO TÉCNICO E OPERACIONAL</w:t>
      </w:r>
    </w:p>
    <w:p>
      <w:pPr>
        <w:spacing w:after="680"/>
        <w:jc w:val="center"/>
      </w:pPr>
      <w:r>
        <w:drawing>
          <wp:inline xmlns:a="http://schemas.openxmlformats.org/drawingml/2006/main" xmlns:pic="http://schemas.openxmlformats.org/drawingml/2006/picture">
            <wp:extent cx="3749039" cy="1249680"/>
            <wp:docPr id="1" name="Picture 1" descr="Logotipo do Ponto de Apoio" title="Ponto de Apo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nto-de-apoio-logo-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12332E"/>
          <w:sz w:val="60"/>
        </w:rPr>
        <w:t>Ponto de Apoio</w:t>
      </w:r>
    </w:p>
    <w:p>
      <w:pPr>
        <w:spacing w:before="0" w:after="400" w:line="300" w:lineRule="auto"/>
        <w:jc w:val="center"/>
      </w:pPr>
      <w:r>
        <w:rPr>
          <w:rFonts w:ascii="Calibri" w:hAnsi="Calibri"/>
          <w:b w:val="0"/>
          <w:i w:val="0"/>
          <w:color w:val="006B67"/>
          <w:sz w:val="30"/>
        </w:rPr>
        <w:t>Arquitetura, segurança, implantação e estado atual da plataforma</w:t>
      </w:r>
    </w:p>
    <w:p>
      <w:pPr>
        <w:spacing w:before="0" w:after="1400" w:line="300" w:lineRule="auto"/>
        <w:jc w:val="center"/>
      </w:pPr>
      <w:r>
        <w:rPr>
          <w:rFonts w:ascii="Calibri" w:hAnsi="Calibri"/>
          <w:b w:val="0"/>
          <w:i/>
          <w:color w:val="566B66"/>
          <w:sz w:val="22"/>
        </w:rPr>
        <w:t>Catálogo de profissionais verificados com acolhimento inicial assistido por IA</w:t>
      </w:r>
    </w:p>
    <w:p>
      <w:pPr>
        <w:spacing w:before="0" w:after="80" w:line="300" w:lineRule="auto"/>
        <w:jc w:val="center"/>
      </w:pPr>
      <w:r>
        <w:rPr>
          <w:rFonts w:ascii="Calibri" w:hAnsi="Calibri"/>
          <w:b/>
          <w:i w:val="0"/>
          <w:color w:val="12332E"/>
          <w:sz w:val="22"/>
        </w:rPr>
        <w:t>Versão 1.2</w:t>
      </w:r>
    </w:p>
    <w:p>
      <w:pPr>
        <w:spacing w:before="0" w:after="80" w:line="300" w:lineRule="auto"/>
        <w:jc w:val="center"/>
      </w:pPr>
      <w:r>
        <w:rPr>
          <w:rFonts w:ascii="Calibri" w:hAnsi="Calibri"/>
          <w:b w:val="0"/>
          <w:i w:val="0"/>
          <w:color w:val="566B66"/>
          <w:sz w:val="20"/>
        </w:rPr>
        <w:t>24 de agosto de 2026</w:t>
      </w:r>
    </w:p>
    <w:p>
      <w:pPr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566B66"/>
          <w:sz w:val="19"/>
        </w:rPr>
        <w:t>Preparado para a equipe do Ponto de Apoio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2332E"/>
          <w:sz w:val="22"/>
        </w:rPr>
        <w:t>O Ponto de Apoio é uma aplicação web preparada para conectar pessoas a psicólogos que passam por um processo administrativo de verificação. A plataforma combina catálogo público, cadastro profissional, autenticação, painel administrativo e um canal de acolhimento inicial com inteligência artificial.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Estado atual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A plataforma está publicada e operacional no domínio pontodeapoio.social.br. Supabase/PostgreSQL com RLS, autenticação, cadastro profissional, painel administrativo, catálogo filtrado, busca de profissionais pelo chat, DNS, Resend e SMTP de recuperação de senha foram configurados e validados em produção.</w:t>
            </w:r>
          </w:p>
        </w:tc>
      </w:tr>
    </w:tbl>
    <w:p>
      <w:pPr>
        <w:pStyle w:val="Heading2"/>
      </w:pPr>
      <w:r>
        <w:t>Escopo entregue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Landing page e identidade visual oficial do Ponto de Apoio.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Chat de acolhimento integrado à OpenAI por rota segura no servidor, sem persistência de conversas.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Busca assistida que consulta somente profissionais approved e publicados, com filtros de modalidade, cidade e UF.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Cadastro e autenticação de psicólogos por e-mail e senha no Supabase Auth.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Área profissional para envio e acompanhamento do cadastro.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Região do CRP selecionada entre as 24 regiões oficiais e UF escolhida entre as 27 unidades federativas.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Painel administrativo para aprovar, solicitar revisão, suspender, restaurar e excluir cadastros.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Catálogo público alimentado somente por profissionais aprovados e publicados.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PostgreSQL relacional, Row Level Security e trilha imutável de auditoria administrativa.</w:t>
      </w:r>
    </w:p>
    <w:p>
      <w:pPr>
        <w:pStyle w:val="Heading2"/>
      </w:pPr>
      <w:r>
        <w:t>Limites importantes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2332E"/>
          <w:sz w:val="22"/>
        </w:rPr>
        <w:t>A IA não realiza diagnóstico e não substitui atendimento profissional. Ela pode apresentar opções compatíveis do catálogo aprovado, mas não realiza recomendação clínica, ranking, agendamento nem confirmação de disponibilidade. O produto ainda não implementa prontuário, agenda, pagamentos, validação automática do registro junto ao CFP/CRP, upload de documentos ou armazenamento das conversas de acolhimento.</w:t>
      </w:r>
    </w:p>
    <w:p>
      <w:r>
        <w:br w:type="page"/>
      </w:r>
    </w:p>
    <w:p>
      <w:pPr>
        <w:pStyle w:val="Heading1"/>
      </w:pPr>
      <w:r>
        <w:t>2. Arquitetura da solução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Camada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Responsabilidade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Tecnologia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Interface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Páginas públicas e áreas protegidas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Next.js App Router + React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Servidor web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Server Actions, APIs, validação de sessão e segredos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Next.js / Node.js 22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Identidade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Cadastro, login, recuperação e sessões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Supabase Auth + @supabase/ssr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Dados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Perfis, profissionais e auditoria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Supabase PostgreSQL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Autorização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Acesso por usuário, papel e estado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PostgreSQL RLS + grants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Acolhimento inicial e busca controlada no catálogo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OpenAI Responses API no servidor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Hospedagem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Build, deploy e domínio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Vercel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E-mail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Confirmação e recuperação de senha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Resend via SMTP do Supabase</w:t>
            </w:r>
          </w:p>
        </w:tc>
      </w:tr>
    </w:tbl>
    <w:p>
      <w:pPr>
        <w:spacing w:after="0"/>
      </w:pPr>
    </w:p>
    <w:p>
      <w:pPr>
        <w:pStyle w:val="Heading2"/>
      </w:pPr>
      <w:r>
        <w:t>Fluxo lógico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Navegador → Next.js → Supabase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O navegador usa somente a URL e a chave publicável do Supabase. Operações protegidas validam a sessão no servidor. O PostgreSQL aplica privilégios e RLS mesmo quando a requisição passa pela API do Supabase.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Navegador → /api/chat → OpenAI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A chave OPENAI_API_KEY permanece no servidor. O frontend envia mensagens à rota interna; a aplicação não grava as conversas no banco nesta versão.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OpenAI → buscar_profissionais → Supabase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Quando a pessoa pede opções de atendimento, a OpenAI pode solicitar uma ferramenta interna. O servidor valida modalidade, cidade e UF e consulta somente status=approved com is_published=true. A RLS reafirma essa restrição no PostgreSQL.</w:t>
            </w:r>
          </w:p>
        </w:tc>
      </w:tr>
    </w:tbl>
    <w:p>
      <w:r>
        <w:br w:type="page"/>
      </w:r>
    </w:p>
    <w:p>
      <w:pPr>
        <w:pStyle w:val="Heading2"/>
      </w:pPr>
      <w:r>
        <w:t>Organização do código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Diretório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Conteúdo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src/app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Rotas do App Router, Server Actions e APIs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src/components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Componentes de interface por domínio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src/lib/supabase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Clientes browser, servidor e proxy de sessão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src/types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Tipos TypeScript do banco e da aplicação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supabase/migrations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Evolução versionada do PostgreSQL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public/brand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Logotipos e símbolo oficial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docs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Documentação técnica e operacional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Tecnologias e versões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Tecnologia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Versão/linha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Uso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Next.js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16.3.x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Framework web e App Router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React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19.2.x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Interface e componentes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TypeScript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5.9.x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Tipagem estática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Node.js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&gt;= 22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Runtime de build e servidor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Supabase JS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2.112.x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API de Auth e dados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Supabase SSR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0.7.x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Sessões por cookies no Next.js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OpenAI SDK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7.5.x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Integração do acolhimento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Tailwind CSS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4.3.x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Infraestrutura de estilos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ESLint / Prettier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9.x / 3.9.x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Qualidade e formatação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PostgreSQL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Gerenciado pelo Supabase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Banco relacional e políticas RLS</w:t>
            </w:r>
          </w:p>
        </w:tc>
      </w:tr>
    </w:tbl>
    <w:p>
      <w:pPr>
        <w:spacing w:after="0"/>
      </w:pPr>
    </w:p>
    <w:p>
      <w:pPr>
        <w:pStyle w:val="Heading2"/>
      </w:pPr>
      <w:r>
        <w:t>Variáveis de ambiente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400"/>
        <w:gridCol w:w="45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Variável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Exposição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Finalidade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NEXT_PUBLIC_SUPABASE_URL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Endpoint do projeto Supabase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NEXT_PUBLIC_SUPABASE_PUBLISHABLE_KEY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Chave publicável sujeita a RLS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NEXT_PUBLIC_SITE_URL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URL canônica para redirecionamentos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OPENAI_API_KEY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Segredo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Chave usada somente em /api/chat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Senha SMTP / API key Resend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Segredo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Configurada no Supabase, nunca no navegador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6500"/>
                <w:sz w:val="22"/>
              </w:rPr>
              <w:t>Regra de segurança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Nunca versionar service_role, chave Secret do Supabase, senha do PostgreSQL, chave da OpenAI, senha SMTP ou tokens pessoais. A chave publicável não substitui RLS; ela apenas identifica o projeto.</w:t>
            </w:r>
          </w:p>
        </w:tc>
      </w:tr>
    </w:tbl>
    <w:p>
      <w:r>
        <w:br w:type="page"/>
      </w:r>
    </w:p>
    <w:p>
      <w:pPr>
        <w:pStyle w:val="Heading1"/>
      </w:pPr>
      <w:r>
        <w:t>4. Banco de dados e segurança</w:t>
      </w:r>
    </w:p>
    <w:p>
      <w:pPr>
        <w:pStyle w:val="Heading2"/>
      </w:pPr>
      <w:r>
        <w:t>Modelo relacional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Tabela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Responsabilidade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Proteção principal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profiles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Nome e papel ligados ao auth.users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Usuário vê o próprio perfil; role não é controlável pelo cliente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professionals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CRP, modalidade, localização, contato e apresentação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Proprietário edita estados permitidos; admin decide publicação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admin_audit_logs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Registro das decisões administrativas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Leitura/criação administrativa; sem alteração ou exclusão pela aplicação</w:t>
            </w:r>
          </w:p>
        </w:tc>
      </w:tr>
    </w:tbl>
    <w:p>
      <w:pPr>
        <w:spacing w:after="0"/>
      </w:pPr>
    </w:p>
    <w:p>
      <w:pPr>
        <w:pStyle w:val="Heading2"/>
      </w:pPr>
      <w:r>
        <w:t>Estados do cadastro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2332E"/>
          <w:sz w:val="22"/>
        </w:rPr>
        <w:t>draft → pending_review → approved → suspended. Um cadastro rejeitado pode ser corrigido e reenviado. Somente approved com is_published=true aparece no catálogo.</w:t>
      </w:r>
    </w:p>
    <w:p>
      <w:pPr>
        <w:pStyle w:val="Heading2"/>
      </w:pPr>
      <w:r>
        <w:t>Controles implementados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RLS habilitado desde a migration inicial.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Grants explícitos para os papéis anon e authenticated.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Função is_admin com security definer e search_path vazio.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Administrador não pode ser criado pela interface pública.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Ações administrativas registradas em admin_audit_logs.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Health check consulta o banco sem retornar linhas ou detalhes internos.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Dados profissionais separados de qualquer futuro dado de acolhimento.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OpenAI sem acesso direto ao banco; a ferramenta recebe no máximo oito resultados com campos públicos mínimos.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Privacidade e dados enviados à IA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Não existe tabela de conversas e o conteúdo do chat não é persistido. A ferramenta envia somente nome público, CRP, apresentação, modalidade, cidade, UF e URL do catálogo. E-mail, UUID, autenticação, estado administrativo, auditoria e conteúdo de acolhimento não são incluídos. Uma futura persistência exigirá finalidade, consentimento, retenção e revisão jurídica/LGPD.</w:t>
            </w:r>
          </w:p>
        </w:tc>
      </w:tr>
    </w:tbl>
    <w:p>
      <w:r>
        <w:br w:type="page"/>
      </w:r>
    </w:p>
    <w:p>
      <w:pPr>
        <w:pStyle w:val="Heading1"/>
      </w:pPr>
      <w:r>
        <w:t>5. Jornadas da aplicação</w:t>
      </w:r>
    </w:p>
    <w:p>
      <w:pPr>
        <w:pStyle w:val="Heading2"/>
      </w:pPr>
      <w:r>
        <w:t>Visitante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Consulta a apresentação institucional.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Visualiza somente profissionais aprovados e publicados.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Pode usar o acolhimento inicial, com avisos de segurança e emergência.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Pode pedir opções por modalidade, cidade e UF; recebe resultados em ordem neutra, sem ranking clínico.</w:t>
      </w:r>
    </w:p>
    <w:p>
      <w:pPr>
        <w:pStyle w:val="Heading2"/>
      </w:pPr>
      <w:r>
        <w:t>Psicólogo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Cria conta em /cadastro-profissional e confirma o e-mail.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Entra em /entrar e acessa /area-profissional.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Preenche número do CRP, escolhe uma das 24 regiões oficiais, modalidade, cidade, UF, contato e apresentação.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Envia o cadastro para análise; não consegue autopublicar o perfil.</w:t>
      </w:r>
    </w:p>
    <w:p>
      <w:pPr>
        <w:pStyle w:val="Heading2"/>
      </w:pPr>
      <w:r>
        <w:t>Equipe administrativa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Entra pela mesma rota, mas o papel admin direciona a /admin.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Analisa todos os cadastros permitidos pelas políticas.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Pode aprovar, pedir revisão, suspender, restaurar ou excluir o registro profissional.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Deve preferir suspensão para impedimento temporário, preservando o histórico.</w:t>
      </w:r>
    </w:p>
    <w:p>
      <w:pPr>
        <w:pStyle w:val="Heading2"/>
      </w:pPr>
      <w:r>
        <w:t>Recuperação de senha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2332E"/>
          <w:sz w:val="22"/>
        </w:rPr>
        <w:t>A aplicação possui /recuperar-senha, /auth/callback e /definir-senha. O callback aceita token_hash do tipo recovery e restringe o parâmetro next a caminhos internos, o que permite abrir o e-mail em outro navegador sem criar redirecionamento aberto.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Configuração validada em produção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O template Reset Password do Supabase aponta para /auth/callback com token_hash. O subdomínio auth.pontodeapoio.social.br está verificado no Resend, o SMTP próprio está ativo no Supabase e o envio e a abertura de um e-mail real de recuperação foram testados.</w:t>
            </w:r>
          </w:p>
        </w:tc>
      </w:tr>
    </w:tbl>
    <w:p>
      <w:r>
        <w:br w:type="page"/>
      </w:r>
    </w:p>
    <w:p>
      <w:pPr>
        <w:pStyle w:val="Heading1"/>
      </w:pPr>
      <w:r>
        <w:t>6. Infraestrutura, domínio e publicação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Componente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Configuração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Código-fonte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GitHub: grupoentra21/ponto-de-apoio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Branch de produção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main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Hospedagem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Projeto ponto-de-apoio na Vercel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URL de contingência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https://ponto-de-apoio.vercel.app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Domínio próprio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pontodeapoio.social.br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Subdomínio de e-mail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auth.pontodeapoio.social.br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Banco/Auth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Projeto Supabase ponto-de-apoio</w:t>
            </w:r>
          </w:p>
        </w:tc>
      </w:tr>
    </w:tbl>
    <w:p>
      <w:pPr>
        <w:spacing w:after="0"/>
      </w:pPr>
    </w:p>
    <w:p>
      <w:pPr>
        <w:pStyle w:val="Heading2"/>
      </w:pPr>
      <w:r>
        <w:t>DNS e e-mail transacional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Tipo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Nome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Finalidade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@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Apontar o domínio principal para a Vercel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TXT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_vercel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Verificação de posse na Vercel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TXT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resend._domainkey.auth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DKIM do Resend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CNAME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rsend.auth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Retorno e autenticação do envio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CNAME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send.auth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Roteamento de envio do Resend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Situação em 24/08/2026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Os registros DNS foram inseridos e propagados. O domínio principal está validado na Vercel e serve a produção; o subdomínio de autenticação está validado no Resend; a credencial SMTP está configurada no Supabase; e o fluxo real de recuperação de senha foi concluído com sucesso.</w:t>
            </w:r>
          </w:p>
        </w:tc>
      </w:tr>
    </w:tbl>
    <w:p>
      <w:r>
        <w:br w:type="page"/>
      </w:r>
    </w:p>
    <w:p>
      <w:pPr>
        <w:pStyle w:val="Heading1"/>
      </w:pPr>
      <w:r>
        <w:t>7. Histórico das principais atualizações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Referência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Entrega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 #1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Fundação Next.js e Supabase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90a7d16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Clientes Supabase e health check seguro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 #2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Chat de acolhimento integrado à OpenAI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 #3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Área administrativa e cadastro de psicólogos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 #4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Identidade visual oficial e assets de marca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PR #5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Fluxo seguro de recuperação de senha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2049fe4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Callback token_hash e grants documentados do banco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458f432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Correção da validação do formato da região do CRP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24fb9a8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Listas oficiais de regiões do CRP e unidades federativas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f9e2648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Busca segura de profissionais aprovados pelo chat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a0f9c41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Documentação inicial da busca assistida</w:t>
            </w:r>
          </w:p>
        </w:tc>
      </w:tr>
    </w:tbl>
    <w:p>
      <w:pPr>
        <w:spacing w:after="0"/>
      </w:pPr>
    </w:p>
    <w:p>
      <w:pPr>
        <w:pStyle w:val="Heading2"/>
      </w:pPr>
      <w:r>
        <w:t>Rotas publicadas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Rota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Função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6B67"/>
                <w:sz w:val="20"/>
              </w:rPr>
              <w:t>Acesso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Página institucional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/acolhimento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Acolhimento assistido por IA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/profissionais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Catálogo verificado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/cadastro-profissional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Criação de conta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/entrar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Login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Público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/area-profissional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Cadastro e status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Autenticado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/admin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Operação do catálogo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Administrador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/api/health/supabase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Verificação do banco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Servidor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/api/chat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OpenAI e busca controlada no catálogo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19"/>
              </w:rPr>
              <w:t>Servidor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Verificação, operação e próximos passos</w:t>
      </w:r>
    </w:p>
    <w:p>
      <w:pPr>
        <w:pStyle w:val="Heading2"/>
      </w:pPr>
      <w:r>
        <w:t>Qualidade executada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npm ci: dependências instaladas com lockfile reproduzível e sem vulnerabilidades reportadas.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Prettier: arquivos alterados nesta entrega aprovados.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npm run lint: ESLint aprovado.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npm run build: compilação e TypeScript aprovados.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Health check de produção: resposta HTTP 200 com status ok.</w:t>
      </w:r>
    </w:p>
    <w:p>
      <w:pPr>
        <w:pStyle w:val="Heading2"/>
      </w:pPr>
      <w:r>
        <w:t>Validações de produção concluídas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1.  Domínio pontodeapoio.social.br apontado para a Vercel e marcado como produção.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2.  Subdomínio auth.pontodeapoio.social.br verificado no Resend.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3.  SMTP do Resend configurado no Supabase sem exposição da credencial no navegador.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4.  Site URL, redirect URLs e template de recuperação atualizados no Supabase.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5.  E-mail real de recuperação entregue, aberto e validado no domínio próprio.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6.  Cadastro profissional testado com status pending_review e oculto do catálogo público.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7.  Listas de região do CRP e UF publicadas e verificadas no deploy de produção.</w:t>
      </w:r>
    </w:p>
    <w:p>
      <w:pPr>
        <w:spacing w:after="80" w:line="300" w:lineRule="auto"/>
        <w:ind w:left="432" w:hanging="432"/>
      </w:pPr>
      <w:r>
        <w:rPr>
          <w:rFonts w:ascii="Calibri" w:hAnsi="Calibri"/>
          <w:b w:val="0"/>
          <w:i w:val="0"/>
          <w:color w:val="12332E"/>
          <w:sz w:val="22"/>
        </w:rPr>
        <w:t>8.  Busca pelo chat testada em produção com retorno exclusivo de profissional aprovado e publicado, sem dados privados.</w:t>
      </w:r>
    </w:p>
    <w:p>
      <w:r>
        <w:br w:type="page"/>
      </w:r>
    </w:p>
    <w:p>
      <w:pPr>
        <w:pStyle w:val="Heading2"/>
      </w:pPr>
      <w:r>
        <w:t>Recomendações antes da operação comercial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Concluir a migration e o deploy do recurso de foto profissional otimizada antes de anunciá-lo como disponível.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Revisão jurídica, LGPD e regras do Conselho Federal/Regional de Psicologia.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MFA obrigatório para administradores e revisão periódica de acessos.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Processo documentado de validação e revalidação do CRP.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Testes automatizados de RLS, autenticação, Server Actions e fluxos críticos.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Testes automatizados da ferramenta de busca, incluindo estados inelegíveis e respostas vazias.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Monitoramento de qualidade, equidade e possíveis vieses na apresentação de profissionais.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Monitoramento, alertas, resposta a incidentes e estratégia de backup.</w:t>
      </w:r>
    </w:p>
    <w:p>
      <w:pPr>
        <w:spacing w:after="80" w:line="300" w:lineRule="auto"/>
        <w:ind w:left="346" w:hanging="259"/>
      </w:pPr>
      <w:r>
        <w:rPr>
          <w:rFonts w:ascii="Calibri" w:hAnsi="Calibri"/>
          <w:b w:val="0"/>
          <w:i w:val="0"/>
          <w:color w:val="12332E"/>
          <w:sz w:val="22"/>
        </w:rPr>
        <w:t>•  Modelagem separada para pagamentos, agenda e qualquer dado sensível futuro.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B67"/>
                <w:sz w:val="22"/>
              </w:rPr>
              <w:t>Conclusão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2332E"/>
                <w:sz w:val="20"/>
              </w:rPr>
              <w:t>A fundação técnica, o domínio próprio, o e-mail transacional e a busca assistida no catálogo estão operacionais. A indicação é apresentada como compatibilidade objetiva, sem diagnóstico ou ranking clínico. O próximo ciclo deve priorizar foto profissional segura, validação operacional de CRP, testes automatizados, governança LGPD e controles comerciais.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66B66"/>
        <w:sz w:val="17"/>
      </w:rPr>
      <w:t>Documento operacional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66B66"/>
        <w:sz w:val="17"/>
      </w:rPr>
      <w:t>PONTO DE APOIO  |  RELATÓRIO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233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B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B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3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