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(P): Prioridade da característica definida pelo cliente.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C: 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I: Importante (podemos conviver sem esta característica nesta versão do sistema)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(E): Esforço da característica definido pela equipe de desenvolvimento.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A: Alto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(R): 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A: Alto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firstLine="720"/>
        <w:rPr>
          <w:rFonts w:ascii="Verdana" w:cs="Verdana" w:eastAsia="Verdana" w:hAnsi="Verdana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  <w:t xml:space="preserve">3: Terceira versão do sistema (contém todas as características úteis).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color w:val="80808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808080"/>
          <w:sz w:val="24"/>
          <w:szCs w:val="24"/>
          <w:rtl w:val="0"/>
        </w:rPr>
        <w:t xml:space="preserve">Descrição das Características</w:t>
      </w:r>
    </w:p>
    <w:tbl>
      <w:tblPr>
        <w:tblStyle w:val="Table1"/>
        <w:tblW w:w="9930.0" w:type="dxa"/>
        <w:jc w:val="left"/>
        <w:tblInd w:w="-1380.0" w:type="dxa"/>
        <w:tblBorders>
          <w:top w:color="f4b083" w:space="0" w:sz="24" w:val="single"/>
          <w:left w:color="f4b083" w:space="0" w:sz="24" w:val="single"/>
          <w:bottom w:color="f4b083" w:space="0" w:sz="24" w:val="single"/>
          <w:right w:color="f4b083" w:space="0" w:sz="24" w:val="single"/>
          <w:insideH w:color="f4b083" w:space="0" w:sz="24" w:val="single"/>
          <w:insideV w:color="f4b083" w:space="0" w:sz="24" w:val="single"/>
        </w:tblBorders>
        <w:tblLayout w:type="fixed"/>
        <w:tblLook w:val="0400"/>
      </w:tblPr>
      <w:tblGrid>
        <w:gridCol w:w="585"/>
        <w:gridCol w:w="5475"/>
        <w:gridCol w:w="1080"/>
        <w:gridCol w:w="915"/>
        <w:gridCol w:w="990"/>
        <w:gridCol w:w="885"/>
        <w:tblGridChange w:id="0">
          <w:tblGrid>
            <w:gridCol w:w="585"/>
            <w:gridCol w:w="5475"/>
            <w:gridCol w:w="1080"/>
            <w:gridCol w:w="915"/>
            <w:gridCol w:w="990"/>
            <w:gridCol w:w="885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Característica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(P)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(E)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(R)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(B)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Armazenar contato do cliente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Chat para comunicação interna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Integração com pacote office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Presença de indicadores gráficos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Presença de indicadores numéricos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Financeira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Plataforma em nuvem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Agenda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Notificador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Histórico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Indicador de vendas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Integração com e-mail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Opcionais customizados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Integração corporativa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Integração digital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Painel customizado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Armazenamento de dados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Desempenho do vendedor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Desempenho de marketing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Acessibilidade mobile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Acessibilidade web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Loja virtual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Acessibilidade para o e-commerce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Meios de pagamento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Crosselling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Upselling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Cálculo de frete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Categorização dos produtos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Chat bot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Catalogação dos produtos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Barra de buscas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Palavra-chave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Controle de estoque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Segurança de dados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Checkout transparente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Formas de envio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Nota fiscal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Cálculo de garantia estendida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Termômetro de satisfação do cliente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Integração do e-commerce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SAC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Reclame Aqui, Consumidor.Gov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Mensagens automáticas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URA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Telefone móvel 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Aplicativos mobile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Telefone corporativo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E-mail corporativo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Implantação dos sistemas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Treinamento Técnico da Equipe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5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