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304"/>
        <w:gridCol w:w="1304"/>
        <w:gridCol w:w="1304"/>
        <w:gridCol w:w="1304"/>
        <w:gridCol w:w="964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188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69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80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VP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39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Street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Paved/semi-paved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Source of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Tank truck/other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81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Water pipes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roadside channels/ditches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25m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Between 25 and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129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dumpyards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25m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Between 25 and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vacant 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25m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Between 25 and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101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water bodies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25m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Between 25 and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117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Permeable house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171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Impermeable house 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History of floodings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139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68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Floodings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45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Area reached for the flood (past 30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Front or backyard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Time taken for the water to recede (past 30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(20.0%)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2025-10-28T13:09:18Z</dcterms:modified>
  <cp:category/>
</cp:coreProperties>
</file>