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49.0" w:type="dxa"/>
        <w:jc w:val="left"/>
        <w:tblInd w:w="-714.0" w:type="dxa"/>
        <w:tblLayout w:type="fixed"/>
        <w:tblLook w:val="0400"/>
      </w:tblPr>
      <w:tblGrid>
        <w:gridCol w:w="3629"/>
        <w:gridCol w:w="6720"/>
        <w:tblGridChange w:id="0">
          <w:tblGrid>
            <w:gridCol w:w="3629"/>
            <w:gridCol w:w="672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Indicação do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Style w:val="Heading4"/>
              <w:keepNext w:val="0"/>
              <w:keepLines w:val="0"/>
              <w:widowControl w:val="0"/>
              <w:spacing w:after="0" w:before="0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pkms4g3wwdu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1.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POP estabelece as funções, responsabilidades e protocolos do Auxiliar de Saúde Bucal (ASB) no consultório odontológico. O ASB atua no suporte ao cirurgião-dentista, na organização do ambiente clínico e na garantia das boas práticas de biossegurança.</w:t>
            </w:r>
          </w:p>
          <w:p w:rsidR="00000000" w:rsidDel="00000000" w:rsidP="00000000" w:rsidRDefault="00000000" w:rsidRPr="00000000" w14:paraId="00000007">
            <w:pPr>
              <w:spacing w:after="1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 auxiliar desempenha funções essenciais como a preparação de materiais e instrumentais, assistência direta ao dentista durante os procedimentos, controle da esterilização, gestão dos resíduos odontológicos e orientação dos pacientes sobre higiene oral. Este protocolo também define as medidas a serem adotadas em caso de intercorrências, como emergências médicas no consultório.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Campo de Aplicação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Este POP deve ser seguido por todos os Auxiliares de Saúde Bucal que atuam na clínica, garantindo a padronização e a qualidade no atendimento odontológico.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ASB é responsável por: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Preparar e organizar a sala de atendimento antes e após cada procedimento.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Auxiliar o dentista durante os atendimentos clínicos.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Realizar a limpeza, desinfecção e esterilização dos instrumentais e superfícies.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Controlar e repor materiais e insumos odontológicos.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Orientar os pacientes sobre higiene bucal e cuidados pós-procedimento.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Realizar a gestão dos resíduos odontológicos conforme as normas vigentes.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Identificar e relatar qualquer não conformidade ou situação de risco.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Procedimentos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Style w:val="Heading5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 Organização e Preparo da Sala de Atendimento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Higienizar superfícies, bancadas e equipamentos antes do início dos atendimentos.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Preparar os instrumentais e materiais necessários para cada procedimento.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Reabastecer insumos descartáveis como luvas, máscaras, gaze e seringas.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Conferir o funcionamento dos equipamentos odontológicos.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Style w:val="Heading5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 Auxílio ao Dentista Durante o Atendimento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Fornecer instrumentais ao dentista de maneira ágil e organizada.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Aspirar saliva e resíduos durante os procedimentos.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Posicionar e auxiliar no conforto do paciente.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Manipular materiais odontológicos conforme orientação do dentista.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Style w:val="Heading5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 Biossegurança e Controle de Infecção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Realizar a limpeza e esterilização dos instrumentais odontológicos.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Seguir rigorosamente os protocolos de descarte de materiais perfurocortantes, biológicos e químicos.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Garantir o uso correto dos EPIs (luvas, máscaras, óculos de proteção e aventais descartáveis).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Style w:val="Heading5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 Atendimento ao Paciente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Explicar e orientar sobre os cuidados pré e pós-procedimento.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Esclarecer dúvidas sobre higiene bucal e técnicas de escovação.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Apoiar pacientes com necessidades especiais ou dificuldades de mobilidade.</w:t>
            </w:r>
          </w:p>
        </w:tc>
      </w:tr>
      <w:tr>
        <w:trPr>
          <w:cantSplit w:val="0"/>
          <w:trHeight w:val="102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pStyle w:val="Heading5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4.5. Gestão de Materiais e Resíduos Odontológicos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Monitorar o estoque e repor materiais quando necessário.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7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Separar os resíduos conforme as normas sanitárias.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Descartar corretamente materiais contaminados e perfurocortantes.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Procedimentos em Caso de Emergência Médica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 paciente ou colaborador passe mal no consultório: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Manter a calma e acionar o dentista responsável.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Posicionar o paciente de forma adequada para evitar complicações.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Verificar sinais vitais e oferecer suporte inicial até a chegada do atendimento médico, se necessário.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Acionar o serviço de emergência (SAMU – 192) em casos graves.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o ocorrido e relatar ao responsável técnico da clínica.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Ações em Caso de Não Conformidade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o ASB não consiga desempenhar as funções corretamente ou ocorra alguma falha nos processos, as ações a serem adotadas incluem: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9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material ou insumos:</w:t>
            </w:r>
            <w:r w:rsidDel="00000000" w:rsidR="00000000" w:rsidRPr="00000000">
              <w:rPr>
                <w:rtl w:val="0"/>
              </w:rPr>
              <w:t xml:space="preserve"> comunicação imediata ao responsável pelo estoque para reposição.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9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 na esterilização de instrumentos:</w:t>
            </w:r>
            <w:r w:rsidDel="00000000" w:rsidR="00000000" w:rsidRPr="00000000">
              <w:rPr>
                <w:rtl w:val="0"/>
              </w:rPr>
              <w:t xml:space="preserve"> interromper o uso e repetir o processo corretamente, registrando o incidente.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9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Incidentes com pacientes (exemplo: desconforto, acidente com instrumental):</w:t>
            </w:r>
            <w:r w:rsidDel="00000000" w:rsidR="00000000" w:rsidRPr="00000000">
              <w:rPr>
                <w:rtl w:val="0"/>
              </w:rPr>
              <w:t xml:space="preserve"> relatar ao dentista e seguir os protocolos de primeiros socorros.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9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cumprimento das normas de biossegurança:</w:t>
            </w:r>
            <w:r w:rsidDel="00000000" w:rsidR="00000000" w:rsidRPr="00000000">
              <w:rPr>
                <w:rtl w:val="0"/>
              </w:rPr>
              <w:t xml:space="preserve"> reforço da capacitação e treinamento do colaborador.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Registros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0"/>
              </w:numPr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Fichas de controle de esterilização.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0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Registros de manutenção dos equipamentos.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0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Ficha de estoque de materiais.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0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Relatórios de incidentes e ocorrências clínicas.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 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NR 32 – Segurança e saúde no trabalho em serviços de saúde.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714.0" w:type="dxa"/>
        <w:tblLayout w:type="fixed"/>
        <w:tblLook w:val="0400"/>
      </w:tblPr>
      <w:tblGrid>
        <w:gridCol w:w="3538"/>
        <w:gridCol w:w="2837"/>
        <w:gridCol w:w="4005"/>
        <w:tblGridChange w:id="0">
          <w:tblGrid>
            <w:gridCol w:w="3538"/>
            <w:gridCol w:w="2837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tabs>
        <w:tab w:val="center" w:leader="none" w:pos="4252"/>
        <w:tab w:val="right" w:leader="none" w:pos="8504"/>
      </w:tabs>
      <w:spacing w:after="0" w:before="240" w:line="240" w:lineRule="auto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b w:val="1"/>
        <w:bCs w:val="1"/>
        <w:i w:val="1"/>
        <w:iCs w:val="1"/>
        <w:color w:val="808080"/>
        <w:sz w:val="16"/>
        <w:szCs w:val="16"/>
        <w:rtl w:val="0"/>
      </w:rPr>
      <w:t xml:space="preserve">Nota:</w:t>
    </w: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 Este POP deve ser revisado e atualizado periodicamente para assegurar conformidade com as normas vigentes e práticas recomendadas. </w:t>
    </w:r>
  </w:p>
  <w:p w:rsidR="00000000" w:rsidDel="00000000" w:rsidP="00000000" w:rsidRDefault="00000000" w:rsidRPr="00000000" w14:paraId="00000087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34.0" w:type="dxa"/>
      <w:jc w:val="left"/>
      <w:tblInd w:w="-714.0" w:type="dxa"/>
      <w:tblLayout w:type="fixed"/>
      <w:tblLook w:val="0400"/>
    </w:tblPr>
    <w:tblGrid>
      <w:gridCol w:w="3689"/>
      <w:gridCol w:w="6645"/>
      <w:tblGridChange w:id="0">
        <w:tblGrid>
          <w:gridCol w:w="3689"/>
          <w:gridCol w:w="6645"/>
        </w:tblGrid>
      </w:tblGridChange>
    </w:tblGrid>
    <w:tr>
      <w:trPr>
        <w:cantSplit w:val="0"/>
        <w:trHeight w:val="18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2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5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ACUPUNTURA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60.0" w:type="dxa"/>
      <w:jc w:val="left"/>
      <w:tblInd w:w="-684.0" w:type="dxa"/>
      <w:tblLayout w:type="fixed"/>
      <w:tblLook w:val="0400"/>
    </w:tblPr>
    <w:tblGrid>
      <w:gridCol w:w="3255"/>
      <w:gridCol w:w="3510"/>
      <w:gridCol w:w="3495"/>
      <w:tblGridChange w:id="0">
        <w:tblGrid>
          <w:gridCol w:w="3255"/>
          <w:gridCol w:w="3510"/>
          <w:gridCol w:w="3495"/>
        </w:tblGrid>
      </w:tblGridChange>
    </w:tblGrid>
    <w:tr>
      <w:trPr>
        <w:cantSplit w:val="0"/>
        <w:trHeight w:val="22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C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D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5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3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AUXILIAR DE SAÚDE BUCAL (ASB)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9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A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34.0" w:type="dxa"/>
      <w:jc w:val="left"/>
      <w:tblInd w:w="-714.0" w:type="dxa"/>
      <w:tblLayout w:type="fixed"/>
      <w:tblLook w:val="0400"/>
    </w:tblPr>
    <w:tblGrid>
      <w:gridCol w:w="3689"/>
      <w:gridCol w:w="6645"/>
      <w:tblGridChange w:id="0">
        <w:tblGrid>
          <w:gridCol w:w="3689"/>
          <w:gridCol w:w="6645"/>
        </w:tblGrid>
      </w:tblGridChange>
    </w:tblGrid>
    <w:tr>
      <w:trPr>
        <w:cantSplit w:val="0"/>
        <w:trHeight w:val="18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D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E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5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2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ARMAZENAMENTO DE MEDICAÇÕES 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da-D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544EF1"/>
    <w:pPr>
      <w:widowControl w:val="1"/>
      <w:suppressAutoHyphens w:val="1"/>
      <w:bidi w:val="0"/>
      <w:spacing w:after="0" w:before="0"/>
      <w:jc w:val="left"/>
    </w:pPr>
    <w:rPr>
      <w:rFonts w:ascii="Arial" w:cs="Arial" w:eastAsia="Times New Roman" w:hAnsi="Arial"/>
      <w:color w:val="auto"/>
      <w:kern w:val="0"/>
      <w:sz w:val="20"/>
      <w:szCs w:val="20"/>
      <w:lang w:bidi="ar-SA" w:eastAsia="da-DK" w:val="da-DK"/>
    </w:rPr>
  </w:style>
  <w:style w:type="paragraph" w:styleId="Ttulo1">
    <w:name w:val="Heading 1"/>
    <w:basedOn w:val="LOnormal"/>
    <w:next w:val="LOnormal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Ttulo2">
    <w:name w:val="Heading 2"/>
    <w:basedOn w:val="LOnormal"/>
    <w:next w:val="LOnormal"/>
    <w:qFormat w:val="1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Ttulo3">
    <w:name w:val="Heading 3"/>
    <w:basedOn w:val="LOnormal"/>
    <w:next w:val="LOnormal"/>
    <w:qFormat w:val="1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Ttulo4">
    <w:name w:val="Heading 4"/>
    <w:basedOn w:val="LOnormal"/>
    <w:next w:val="LOnormal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Ttulo5">
    <w:name w:val="Heading 5"/>
    <w:basedOn w:val="LOnormal"/>
    <w:next w:val="LOnormal"/>
    <w:qFormat w:val="1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Ttulo6">
    <w:name w:val="Heading 6"/>
    <w:basedOn w:val="LOnormal"/>
    <w:next w:val="LOnormal"/>
    <w:qFormat w:val="1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link w:val="Cabealho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DefaultParagraphFont"/>
    <w:link w:val="Rodap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544EF1"/>
    <w:rPr/>
  </w:style>
  <w:style w:type="character" w:styleId="Nfaseforte">
    <w:name w:val="Ênfase forte"/>
    <w:qFormat w:val="1"/>
    <w:rPr>
      <w:b w:val="1"/>
      <w:bCs w:val="1"/>
    </w:rPr>
  </w:style>
  <w:style w:type="character" w:styleId="Marcadores">
    <w:name w:val="Marcadores"/>
    <w:qFormat w:val="1"/>
    <w:rPr>
      <w:rFonts w:ascii="OpenSymbol" w:cs="OpenSymbol" w:eastAsia="OpenSymbol" w:hAnsi="OpenSymbol"/>
    </w:rPr>
  </w:style>
  <w:style w:type="character" w:styleId="Smbolosdenumerao">
    <w:name w:val="Símbolos de numeração"/>
    <w:qFormat w:val="1"/>
    <w:rPr/>
  </w:style>
  <w:style w:type="paragraph" w:styleId="Ttulo">
    <w:name w:val="Título"/>
    <w:basedOn w:val="LOnormal"/>
    <w:next w:val="Corpodotexto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Corpodotexto">
    <w:name w:val="Body Text"/>
    <w:basedOn w:val="LOnormal"/>
    <w:pPr>
      <w:spacing w:after="140" w:before="0" w:line="276" w:lineRule="auto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LO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>
    <w:name w:val="Índice"/>
    <w:basedOn w:val="LOnormal"/>
    <w:qFormat w:val="1"/>
    <w:pPr>
      <w:suppressLineNumbers w:val="1"/>
    </w:pPr>
    <w:rPr>
      <w:rFonts w:cs="Arial"/>
      <w:lang w:bidi="zxx" w:eastAsia="zxx" w:val="zxx"/>
    </w:rPr>
  </w:style>
  <w:style w:type="paragraph" w:styleId="LOnormal" w:default="1">
    <w:name w:val="LO-normal"/>
    <w:qFormat w:val="1"/>
    <w:pPr>
      <w:widowControl w:val="1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paragraph" w:styleId="Ttulododocumento">
    <w:name w:val="Title"/>
    <w:basedOn w:val="LOnormal"/>
    <w:next w:val="LOnormal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ListParagraph">
    <w:name w:val="List Paragraph"/>
    <w:basedOn w:val="LOnormal"/>
    <w:uiPriority w:val="34"/>
    <w:qFormat w:val="1"/>
    <w:rsid w:val="00544EF1"/>
    <w:pPr>
      <w:spacing w:after="0" w:before="0"/>
      <w:ind w:left="720" w:hanging="0"/>
      <w:contextualSpacing w:val="1"/>
    </w:pPr>
    <w:rPr/>
  </w:style>
  <w:style w:type="paragraph" w:styleId="NormalWeb">
    <w:name w:val="Normal (Web)"/>
    <w:basedOn w:val="LOnormal"/>
    <w:uiPriority w:val="99"/>
    <w:unhideWhenUsed w:val="1"/>
    <w:qFormat w:val="1"/>
    <w:rsid w:val="00544EF1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>
    <w:name w:val="Cabeçalho e Rodapé"/>
    <w:basedOn w:val="LOnormal"/>
    <w:qFormat w:val="1"/>
    <w:pPr/>
    <w:rPr/>
  </w:style>
  <w:style w:type="paragraph" w:styleId="Cabealho">
    <w:name w:val="Header"/>
    <w:basedOn w:val="LOnormal"/>
    <w:link w:val="CabealhoChar"/>
    <w:uiPriority w:val="99"/>
    <w:unhideWhenUsed w:val="1"/>
    <w:rsid w:val="00544EF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Rodap">
    <w:name w:val="Footer"/>
    <w:basedOn w:val="LOnormal"/>
    <w:link w:val="RodapChar"/>
    <w:uiPriority w:val="99"/>
    <w:unhideWhenUsed w:val="1"/>
    <w:rsid w:val="00544EF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Subttulo">
    <w:name w:val="Subtitle"/>
    <w:basedOn w:val="LOnormal"/>
    <w:next w:val="LOnormal"/>
    <w:qFormat w:val="1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59"/>
    <w:rsid w:val="00544EF1"/>
    <w:rPr>
      <w:sz w:val="20"/>
      <w:szCs w:val="20"/>
      <w:lang w:eastAsia="en-GB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1" w:customStyle="1">
    <w:name w:val="Tabela com grade1"/>
    <w:basedOn w:val="Tabelanormal"/>
    <w:uiPriority w:val="39"/>
    <w:rsid w:val="00151F6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vQDY2avYFNSS8KfO/6SZAm0SMw==">CgMxLjAyDWgucGttczRnM3d3ZHU4AHIhMU1WVERJaExTTmpFYVVvcjJxMExKUGZEZWdkbHBDVVll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2021-02-15T15:31:00Z</dcterms:created>
  <dc:creator>Gilberto Endrio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