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19.0" w:type="dxa"/>
        <w:jc w:val="left"/>
        <w:tblInd w:w="-660.0" w:type="dxa"/>
        <w:tblLayout w:type="fixed"/>
        <w:tblLook w:val="0400"/>
      </w:tblPr>
      <w:tblGrid>
        <w:gridCol w:w="2459"/>
        <w:gridCol w:w="7560"/>
        <w:tblGridChange w:id="0">
          <w:tblGrid>
            <w:gridCol w:w="2459"/>
            <w:gridCol w:w="7560"/>
          </w:tblGrid>
        </w:tblGridChange>
      </w:tblGrid>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keepNext w:val="0"/>
              <w:keepLines w:val="0"/>
              <w:widowControl w:val="0"/>
              <w:shd w:fill="auto" w:val="clear"/>
              <w:spacing w:after="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Indicação do Procedimento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widowControl w:val="0"/>
              <w:spacing w:line="276" w:lineRule="auto"/>
              <w:rPr>
                <w:b w:val="1"/>
                <w:bCs w:val="1"/>
              </w:rPr>
            </w:pPr>
            <w:r w:rsidDel="00000000" w:rsidR="00000000" w:rsidRPr="00000000">
              <w:rPr>
                <w:b w:val="1"/>
                <w:bCs w:val="1"/>
                <w:rtl w:val="0"/>
              </w:rPr>
              <w:t xml:space="preserve">Objetivo:</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widowControl w:val="0"/>
              <w:jc w:val="both"/>
              <w:rPr/>
            </w:pPr>
            <w:r w:rsidDel="00000000" w:rsidR="00000000" w:rsidRPr="00000000">
              <w:rPr>
                <w:rtl w:val="0"/>
              </w:rPr>
              <w:t xml:space="preserve">Descrever a rotina de limpeza da caixa d’água a cada seis meses conforme legislação vigente e garantir a qualidade da água que chega através dos sistemas de abastecimento, mantendo as condições higiênicas.</w:t>
            </w:r>
          </w:p>
          <w:p w:rsidR="00000000" w:rsidDel="00000000" w:rsidP="00000000" w:rsidRDefault="00000000" w:rsidRPr="00000000" w14:paraId="00000007">
            <w:pPr>
              <w:widowControl w:val="0"/>
              <w:spacing w:line="276" w:lineRule="auto"/>
              <w:jc w:val="both"/>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keepNext w:val="0"/>
              <w:keepLines w:val="0"/>
              <w:widowControl w:val="0"/>
              <w:shd w:fill="auto" w:val="clear"/>
              <w:spacing w:after="0" w:before="0" w:line="276" w:lineRule="auto"/>
              <w:ind w:left="0" w:right="0" w:firstLine="0"/>
              <w:jc w:val="left"/>
              <w:rPr/>
            </w:pPr>
            <w:r w:rsidDel="00000000" w:rsidR="00000000" w:rsidRPr="00000000">
              <w:rPr>
                <w:b w:val="1"/>
                <w:bCs w:val="1"/>
                <w:rtl w:val="0"/>
              </w:rPr>
              <w:t xml:space="preserve">Responsabilidade</w:t>
            </w:r>
            <w:r w:rsidDel="00000000" w:rsidR="00000000" w:rsidRPr="00000000">
              <w:rPr>
                <w:rtl w:val="0"/>
              </w:rPr>
              <w:t xml:space="preserve">:</w:t>
            </w:r>
          </w:p>
          <w:p w:rsidR="00000000" w:rsidDel="00000000" w:rsidP="00000000" w:rsidRDefault="00000000" w:rsidRPr="00000000" w14:paraId="0000000A">
            <w:pPr>
              <w:widowControl w:val="0"/>
              <w:spacing w:line="276" w:lineRule="auto"/>
              <w:jc w:val="both"/>
              <w:rPr/>
            </w:pPr>
            <w:r w:rsidDel="00000000" w:rsidR="00000000" w:rsidRPr="00000000">
              <w:rPr>
                <w:rtl w:val="0"/>
              </w:rPr>
              <w:t xml:space="preserve">É de responsabilidade do Responsável Legal e do Responsável Técnico pelo estabelecimento contratar a empresa devidamente especializada para realizar a limpeza da caixa d’água.</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widowControl w:val="0"/>
              <w:shd w:fill="auto" w:val="clear"/>
              <w:spacing w:after="0" w:before="0" w:line="276" w:lineRule="auto"/>
              <w:ind w:left="0" w:right="0" w:firstLine="0"/>
              <w:jc w:val="left"/>
              <w:rPr/>
            </w:pPr>
            <w:r w:rsidDel="00000000" w:rsidR="00000000" w:rsidRPr="00000000">
              <w:rPr>
                <w:rtl w:val="0"/>
              </w:rPr>
              <w:t xml:space="preserve">Geral:</w:t>
            </w:r>
          </w:p>
          <w:p w:rsidR="00000000" w:rsidDel="00000000" w:rsidP="00000000" w:rsidRDefault="00000000" w:rsidRPr="00000000" w14:paraId="0000000D">
            <w:pPr>
              <w:widowControl w:val="0"/>
              <w:spacing w:line="276" w:lineRule="auto"/>
              <w:jc w:val="both"/>
              <w:rPr/>
            </w:pPr>
            <w:r w:rsidDel="00000000" w:rsidR="00000000" w:rsidRPr="00000000">
              <w:rPr>
                <w:rtl w:val="0"/>
              </w:rPr>
              <w:t xml:space="preserve">São consideradas caixas d’água, reservatórios de pequeno porte que armazenam água potável para consumo humano ou usos que direta ou indiretamente exponham os consumidores ao produto. A limpeza da caixa d’água consiste na remoção mecânica das substâncias e outros objetos indevidamente presentes no reservatório. A desinfecção, na eliminação de microorganismos potencialmente patogênicos por meio de agentes químicos. </w:t>
            </w:r>
          </w:p>
          <w:p w:rsidR="00000000" w:rsidDel="00000000" w:rsidP="00000000" w:rsidRDefault="00000000" w:rsidRPr="00000000" w14:paraId="0000000E">
            <w:pPr>
              <w:widowControl w:val="0"/>
              <w:spacing w:line="276" w:lineRule="auto"/>
              <w:jc w:val="both"/>
              <w:rPr>
                <w:rFonts w:ascii="Times New Roman" w:cs="Times New Roman" w:eastAsia="Times New Roman" w:hAnsi="Times New Roman"/>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widowControl w:val="0"/>
              <w:shd w:fill="auto" w:val="clear"/>
              <w:spacing w:after="0" w:before="0" w:line="276" w:lineRule="auto"/>
              <w:ind w:left="0" w:right="0" w:firstLine="0"/>
              <w:jc w:val="left"/>
              <w:rPr/>
            </w:pPr>
            <w:r w:rsidDel="00000000" w:rsidR="00000000" w:rsidRPr="00000000">
              <w:rPr>
                <w:b w:val="1"/>
                <w:bCs w:val="1"/>
                <w:rtl w:val="0"/>
              </w:rPr>
              <w:t xml:space="preserve">Periodicidade</w:t>
            </w:r>
            <w:r w:rsidDel="00000000" w:rsidR="00000000" w:rsidRPr="00000000">
              <w:rPr>
                <w:rtl w:val="0"/>
              </w:rPr>
              <w:t xml:space="preserve">:</w:t>
            </w:r>
          </w:p>
          <w:p w:rsidR="00000000" w:rsidDel="00000000" w:rsidP="00000000" w:rsidRDefault="00000000" w:rsidRPr="00000000" w14:paraId="00000011">
            <w:pPr>
              <w:widowControl w:val="0"/>
              <w:spacing w:line="276" w:lineRule="auto"/>
              <w:jc w:val="both"/>
              <w:rPr/>
            </w:pPr>
            <w:r w:rsidDel="00000000" w:rsidR="00000000" w:rsidRPr="00000000">
              <w:rPr>
                <w:rtl w:val="0"/>
              </w:rPr>
              <w:t xml:space="preserve">Para que a água armazenada nas caixas d’água tenha sua potabilidade preservada, é importante que os reservatórios permaneçam devidamente vedados e protegidos, bem como sejam limpos e desinfetados, no mínimo, semestralmente; Mesmo que não completados seis meses da última limpeza e desinfecção, a caixa d’ água deve passar por estes processos quando observado a presença de corpos estranhos ou qualquer alteração no aspecto da água, que podem ocorrer pela falta de vedação da caixa ou por problemas de qualidade da água fornecida, especialmente quando proveniente de fontes alternativas de abastecimento (poços rasos e outros). </w:t>
            </w:r>
          </w:p>
          <w:p w:rsidR="00000000" w:rsidDel="00000000" w:rsidP="00000000" w:rsidRDefault="00000000" w:rsidRPr="00000000" w14:paraId="00000012">
            <w:pPr>
              <w:widowControl w:val="0"/>
              <w:spacing w:line="276" w:lineRule="auto"/>
              <w:jc w:val="both"/>
              <w:rPr>
                <w:rFonts w:ascii="Times New Roman" w:cs="Times New Roman" w:eastAsia="Times New Roman" w:hAnsi="Times New Roman"/>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widowControl w:val="0"/>
              <w:shd w:fill="auto" w:val="clear"/>
              <w:spacing w:after="0" w:before="0" w:line="276" w:lineRule="auto"/>
              <w:ind w:left="0" w:right="0" w:firstLine="0"/>
              <w:jc w:val="left"/>
              <w:rPr/>
            </w:pPr>
            <w:r w:rsidDel="00000000" w:rsidR="00000000" w:rsidRPr="00000000">
              <w:rPr>
                <w:rtl w:val="0"/>
              </w:rPr>
              <w:t xml:space="preserve">Definições:</w:t>
            </w:r>
          </w:p>
          <w:p w:rsidR="00000000" w:rsidDel="00000000" w:rsidP="00000000" w:rsidRDefault="00000000" w:rsidRPr="00000000" w14:paraId="00000015">
            <w:pPr>
              <w:widowControl w:val="0"/>
              <w:ind w:left="750" w:firstLine="0"/>
              <w:jc w:val="both"/>
              <w:rPr/>
            </w:pPr>
            <w:r w:rsidDel="00000000" w:rsidR="00000000" w:rsidRPr="00000000">
              <w:rPr>
                <w:rtl w:val="0"/>
              </w:rPr>
              <w:t xml:space="preserve">I - água para consumo humano: água potável destinada à ingestão, preparação e produção de alimentos e à higiene pessoal, independentemente da sua origem;</w:t>
            </w:r>
          </w:p>
          <w:p w:rsidR="00000000" w:rsidDel="00000000" w:rsidP="00000000" w:rsidRDefault="00000000" w:rsidRPr="00000000" w14:paraId="00000016">
            <w:pPr>
              <w:widowControl w:val="0"/>
              <w:ind w:left="750" w:firstLine="0"/>
              <w:jc w:val="both"/>
              <w:rPr/>
            </w:pPr>
            <w:r w:rsidDel="00000000" w:rsidR="00000000" w:rsidRPr="00000000">
              <w:rPr>
                <w:rtl w:val="0"/>
              </w:rPr>
              <w:t xml:space="preserve">II - água potável: água que atenda ao padrão de potabilidade estabelecido nesta Portaria e que não ofereça riscos à saúde;</w:t>
            </w:r>
          </w:p>
          <w:p w:rsidR="00000000" w:rsidDel="00000000" w:rsidP="00000000" w:rsidRDefault="00000000" w:rsidRPr="00000000" w14:paraId="00000017">
            <w:pPr>
              <w:widowControl w:val="0"/>
              <w:ind w:left="750" w:firstLine="0"/>
              <w:jc w:val="both"/>
              <w:rPr/>
            </w:pPr>
            <w:r w:rsidDel="00000000" w:rsidR="00000000" w:rsidRPr="00000000">
              <w:rPr>
                <w:rtl w:val="0"/>
              </w:rPr>
              <w:t xml:space="preserve">III - padrão de potabilidade: conjunto de valores permitidos como parâmetro da qualidade da água para consumo humano, conforme definido nesta Portaria;</w:t>
            </w:r>
          </w:p>
          <w:p w:rsidR="00000000" w:rsidDel="00000000" w:rsidP="00000000" w:rsidRDefault="00000000" w:rsidRPr="00000000" w14:paraId="00000018">
            <w:pPr>
              <w:widowControl w:val="0"/>
              <w:ind w:left="750" w:firstLine="0"/>
              <w:jc w:val="both"/>
              <w:rPr/>
            </w:pPr>
            <w:r w:rsidDel="00000000" w:rsidR="00000000" w:rsidRPr="00000000">
              <w:rPr>
                <w:rtl w:val="0"/>
              </w:rPr>
              <w:t xml:space="preserve">IV - padrão organoléptico: conjunto de parâmetros caracterizados por provocar estímulos sensoriais que afetam a aceitação para consumo humano, mas que não necessariamente implicam risco à saúde;</w:t>
            </w:r>
          </w:p>
          <w:p w:rsidR="00000000" w:rsidDel="00000000" w:rsidP="00000000" w:rsidRDefault="00000000" w:rsidRPr="00000000" w14:paraId="00000019">
            <w:pPr>
              <w:widowControl w:val="0"/>
              <w:ind w:left="750" w:firstLine="0"/>
              <w:jc w:val="both"/>
              <w:rPr/>
            </w:pPr>
            <w:r w:rsidDel="00000000" w:rsidR="00000000" w:rsidRPr="00000000">
              <w:rPr>
                <w:rtl w:val="0"/>
              </w:rPr>
              <w:t xml:space="preserve">V - água tratada: água submetida a processos físicos, químicos ou combinação destes, visando atender ao padrão de potabilidade;</w:t>
            </w:r>
          </w:p>
          <w:p w:rsidR="00000000" w:rsidDel="00000000" w:rsidP="00000000" w:rsidRDefault="00000000" w:rsidRPr="00000000" w14:paraId="0000001A">
            <w:pPr>
              <w:widowControl w:val="0"/>
              <w:ind w:left="750" w:firstLine="0"/>
              <w:jc w:val="both"/>
              <w:rPr/>
            </w:pPr>
            <w:r w:rsidDel="00000000" w:rsidR="00000000" w:rsidRPr="00000000">
              <w:rPr>
                <w:rtl w:val="0"/>
              </w:rPr>
              <w:t xml:space="preserve">VI - sistema de abastecimento de água para consumo humano: instalação composta por um conjunto de obras civis, materiais e equipamentos, desde a zona de captação até as ligações prediais, destinada à produção e ao fornecimento coletivo de água potável, por meio de rede de distribuição;</w:t>
            </w:r>
          </w:p>
          <w:p w:rsidR="00000000" w:rsidDel="00000000" w:rsidP="00000000" w:rsidRDefault="00000000" w:rsidRPr="00000000" w14:paraId="0000001B">
            <w:pPr>
              <w:widowControl w:val="0"/>
              <w:ind w:left="750" w:firstLine="0"/>
              <w:jc w:val="both"/>
              <w:rPr/>
            </w:pPr>
            <w:r w:rsidDel="00000000" w:rsidR="00000000" w:rsidRPr="00000000">
              <w:rPr>
                <w:rtl w:val="0"/>
              </w:rPr>
              <w:t xml:space="preserve">VII - rede de distribuição: parte do sistema de abastecimento formada por tubulações e seus acessórios, destinados a distribuir água potável, até as ligações prediais;</w:t>
            </w:r>
          </w:p>
          <w:p w:rsidR="00000000" w:rsidDel="00000000" w:rsidP="00000000" w:rsidRDefault="00000000" w:rsidRPr="00000000" w14:paraId="0000001C">
            <w:pPr>
              <w:widowControl w:val="0"/>
              <w:ind w:left="750" w:firstLine="0"/>
              <w:jc w:val="both"/>
              <w:rPr/>
            </w:pPr>
            <w:r w:rsidDel="00000000" w:rsidR="00000000" w:rsidRPr="00000000">
              <w:rPr>
                <w:rtl w:val="0"/>
              </w:rPr>
              <w:t xml:space="preserve">VIII - ligações prediais: conjunto de tubulações e peças especiais, situado entre a rede de distribuição de água e o cavalete, este incluído;</w:t>
            </w:r>
          </w:p>
          <w:p w:rsidR="00000000" w:rsidDel="00000000" w:rsidP="00000000" w:rsidRDefault="00000000" w:rsidRPr="00000000" w14:paraId="0000001D">
            <w:pPr>
              <w:widowControl w:val="0"/>
              <w:ind w:left="750" w:firstLine="0"/>
              <w:jc w:val="both"/>
              <w:rPr/>
            </w:pPr>
            <w:r w:rsidDel="00000000" w:rsidR="00000000" w:rsidRPr="00000000">
              <w:rPr>
                <w:rtl w:val="0"/>
              </w:rPr>
              <w:t xml:space="preserve">IX - integridade do sistema de distribuição: condição de operação e manutenção do sistema de distribuição (reservatório e rede) de água potável em que a qualidade da água produzida pelos processos de tratamento seja preservada até as ligações prediais;</w:t>
            </w:r>
          </w:p>
          <w:p w:rsidR="00000000" w:rsidDel="00000000" w:rsidP="00000000" w:rsidRDefault="00000000" w:rsidRPr="00000000" w14:paraId="0000001E">
            <w:pPr>
              <w:widowControl w:val="0"/>
              <w:ind w:left="750" w:firstLine="0"/>
              <w:jc w:val="both"/>
              <w:rPr/>
            </w:pPr>
            <w:r w:rsidDel="00000000" w:rsidR="00000000" w:rsidRPr="00000000">
              <w:rPr>
                <w:rtl w:val="0"/>
              </w:rPr>
              <w:t xml:space="preserve">X - controle da qualidade da água para consumo humano: conjunto de atividades exercidas regularmente pelo responsável pelo sistema ou por solução alternativa coletiva de abastecimento de água, destinado a verificar se a água fornecida à população é potável, de forma a assegurar a manutenção desta condição;</w:t>
            </w:r>
          </w:p>
          <w:p w:rsidR="00000000" w:rsidDel="00000000" w:rsidP="00000000" w:rsidRDefault="00000000" w:rsidRPr="00000000" w14:paraId="0000001F">
            <w:pPr>
              <w:widowControl w:val="0"/>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widowControl w:val="0"/>
              <w:shd w:fill="auto" w:val="clear"/>
              <w:spacing w:after="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Passo A Passo: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0"/>
              <w:keepLines w:val="0"/>
              <w:widowControl w:val="0"/>
              <w:numPr>
                <w:ilvl w:val="0"/>
                <w:numId w:val="3"/>
              </w:numP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Procedimento:</w:t>
            </w:r>
            <w:r w:rsidDel="00000000" w:rsidR="00000000" w:rsidRPr="00000000">
              <w:rPr>
                <w:rtl w:val="0"/>
              </w:rPr>
            </w:r>
          </w:p>
          <w:p w:rsidR="00000000" w:rsidDel="00000000" w:rsidP="00000000" w:rsidRDefault="00000000" w:rsidRPr="00000000" w14:paraId="00000024">
            <w:pPr>
              <w:widowControl w:val="0"/>
              <w:numPr>
                <w:ilvl w:val="0"/>
                <w:numId w:val="2"/>
              </w:numPr>
              <w:shd w:fill="f3fdfe" w:val="clear"/>
              <w:spacing w:line="276" w:lineRule="auto"/>
              <w:ind w:left="720" w:hanging="360"/>
              <w:jc w:val="both"/>
              <w:rPr>
                <w:b w:val="1"/>
                <w:bCs w:val="1"/>
              </w:rPr>
            </w:pPr>
            <w:r w:rsidDel="00000000" w:rsidR="00000000" w:rsidRPr="00000000">
              <w:rPr>
                <w:b w:val="1"/>
                <w:bCs w:val="1"/>
                <w:rtl w:val="0"/>
              </w:rPr>
              <w:t xml:space="preserve">LIMPEZA</w:t>
            </w:r>
          </w:p>
          <w:p w:rsidR="00000000" w:rsidDel="00000000" w:rsidP="00000000" w:rsidRDefault="00000000" w:rsidRPr="00000000" w14:paraId="00000025">
            <w:pPr>
              <w:widowControl w:val="0"/>
              <w:spacing w:line="276" w:lineRule="auto"/>
              <w:jc w:val="both"/>
              <w:rPr/>
            </w:pPr>
            <w:r w:rsidDel="00000000" w:rsidR="00000000" w:rsidRPr="00000000">
              <w:rPr>
                <w:rtl w:val="0"/>
              </w:rPr>
              <w:t xml:space="preserve">Adotar os seguintes procedimentos de limpeza: </w:t>
            </w:r>
          </w:p>
          <w:p w:rsidR="00000000" w:rsidDel="00000000" w:rsidP="00000000" w:rsidRDefault="00000000" w:rsidRPr="00000000" w14:paraId="00000026">
            <w:pPr>
              <w:widowControl w:val="0"/>
              <w:spacing w:line="276" w:lineRule="auto"/>
              <w:jc w:val="both"/>
              <w:rPr/>
            </w:pPr>
            <w:r w:rsidDel="00000000" w:rsidR="00000000" w:rsidRPr="00000000">
              <w:rPr>
                <w:rtl w:val="0"/>
              </w:rPr>
              <w:t xml:space="preserve">a) Fechar o registro de entrada da água na edificação ou girar (ou amarrar) a bóia, instalada no interior do reservatório, para interromper o fluxo de entrada de água; </w:t>
            </w:r>
          </w:p>
          <w:p w:rsidR="00000000" w:rsidDel="00000000" w:rsidP="00000000" w:rsidRDefault="00000000" w:rsidRPr="00000000" w14:paraId="00000027">
            <w:pPr>
              <w:widowControl w:val="0"/>
              <w:spacing w:line="276" w:lineRule="auto"/>
              <w:jc w:val="both"/>
              <w:rPr/>
            </w:pPr>
            <w:r w:rsidDel="00000000" w:rsidR="00000000" w:rsidRPr="00000000">
              <w:rPr>
                <w:rtl w:val="0"/>
              </w:rPr>
              <w:t xml:space="preserve">b) A Unidade onde será realizada a limpeza deverá fazer uso rotineiro da água contida no reservatório, até que reste na caixa aproximadamente 10 centímetros de nível d’ água, que será utilizada no processo de limpeza; - Alternativamente caso entenda-se que seja mais prático, deixar esvaziar completamente a caixa, abrindo em seguida o registro, ou girando a bóia, até que a caixa acumule novamente cerca de 10 centímetros de água; - Se considerar necessário, reservar alguns vasilhames ou baldes de água próximo aos locais de uso, para eventuais necessidades mais urgentes, enquanto se efetua a limpeza e higienização, tomando sempre o cuidado de esvaziá-los ao final dos procedimentos, de modo a não permitir ambientes propícios a criadouros do mosquito Aedes aegypti; c) Tampar a saída de fundo da caixa com pano limpo ou outro material adequado, de modo a evitar a descida de sujidades, durante a lavagem, para a rede de distribuição predial; </w:t>
            </w:r>
          </w:p>
          <w:p w:rsidR="00000000" w:rsidDel="00000000" w:rsidP="00000000" w:rsidRDefault="00000000" w:rsidRPr="00000000" w14:paraId="00000028">
            <w:pPr>
              <w:widowControl w:val="0"/>
              <w:spacing w:line="276" w:lineRule="auto"/>
              <w:jc w:val="both"/>
              <w:rPr/>
            </w:pPr>
            <w:r w:rsidDel="00000000" w:rsidR="00000000" w:rsidRPr="00000000">
              <w:rPr>
                <w:rtl w:val="0"/>
              </w:rPr>
              <w:t xml:space="preserve">d) Esfregar as paredes da caixa apenas com escova de fibra vegetal ou bucha de fio de plástico macio para remover mecanicamente as sujidades, evitar o uso de sabão, detergente ou quaisquer outros produtos químicos; </w:t>
            </w:r>
          </w:p>
          <w:p w:rsidR="00000000" w:rsidDel="00000000" w:rsidP="00000000" w:rsidRDefault="00000000" w:rsidRPr="00000000" w14:paraId="00000029">
            <w:pPr>
              <w:widowControl w:val="0"/>
              <w:spacing w:line="276" w:lineRule="auto"/>
              <w:jc w:val="both"/>
              <w:rPr/>
            </w:pPr>
            <w:r w:rsidDel="00000000" w:rsidR="00000000" w:rsidRPr="00000000">
              <w:rPr>
                <w:rtl w:val="0"/>
              </w:rPr>
              <w:t xml:space="preserve">e) Remover a água suja da pré-limpeza com balde, caneco e pano, retirando todo líquido e sujidades da caixa d' água. Não esgotar esta água suja pelo fundo da caixa, a fim de não contaminar as tubulações prediais; </w:t>
            </w:r>
          </w:p>
          <w:p w:rsidR="00000000" w:rsidDel="00000000" w:rsidP="00000000" w:rsidRDefault="00000000" w:rsidRPr="00000000" w14:paraId="0000002A">
            <w:pPr>
              <w:widowControl w:val="0"/>
              <w:spacing w:line="276" w:lineRule="auto"/>
              <w:jc w:val="both"/>
              <w:rPr>
                <w:rFonts w:ascii="Times New Roman" w:cs="Times New Roman" w:eastAsia="Times New Roman" w:hAnsi="Times New Roman"/>
              </w:rPr>
            </w:pPr>
            <w:r w:rsidDel="00000000" w:rsidR="00000000" w:rsidRPr="00000000">
              <w:rPr>
                <w:rtl w:val="0"/>
              </w:rPr>
              <w:t xml:space="preserve">f) Manter a saída de fundo do reservatório tampado e deixar entrar novamente água até um nível de 10 (dez) centímetros. </w:t>
            </w:r>
            <w:r w:rsidDel="00000000" w:rsidR="00000000" w:rsidRPr="00000000">
              <w:rPr>
                <w:rtl w:val="0"/>
              </w:rPr>
            </w:r>
          </w:p>
          <w:p w:rsidR="00000000" w:rsidDel="00000000" w:rsidP="00000000" w:rsidRDefault="00000000" w:rsidRPr="00000000" w14:paraId="0000002B">
            <w:pPr>
              <w:widowControl w:val="0"/>
              <w:shd w:fill="f3fdfe" w:val="clear"/>
              <w:spacing w:line="276" w:lineRule="auto"/>
              <w:jc w:val="both"/>
              <w:rPr/>
            </w:pPr>
            <w:r w:rsidDel="00000000" w:rsidR="00000000" w:rsidRPr="00000000">
              <w:rPr>
                <w:rtl w:val="0"/>
              </w:rPr>
            </w:r>
          </w:p>
          <w:p w:rsidR="00000000" w:rsidDel="00000000" w:rsidP="00000000" w:rsidRDefault="00000000" w:rsidRPr="00000000" w14:paraId="0000002C">
            <w:pPr>
              <w:widowControl w:val="0"/>
              <w:numPr>
                <w:ilvl w:val="0"/>
                <w:numId w:val="2"/>
              </w:numPr>
              <w:shd w:fill="f3fdfe" w:val="clear"/>
              <w:spacing w:line="276" w:lineRule="auto"/>
              <w:ind w:left="720" w:hanging="360"/>
              <w:jc w:val="both"/>
              <w:rPr>
                <w:b w:val="1"/>
                <w:bCs w:val="1"/>
              </w:rPr>
            </w:pPr>
            <w:r w:rsidDel="00000000" w:rsidR="00000000" w:rsidRPr="00000000">
              <w:rPr>
                <w:b w:val="1"/>
                <w:bCs w:val="1"/>
                <w:rtl w:val="0"/>
              </w:rPr>
              <w:t xml:space="preserve">HIGIENIZAÇÃO</w:t>
            </w:r>
          </w:p>
          <w:p w:rsidR="00000000" w:rsidDel="00000000" w:rsidP="00000000" w:rsidRDefault="00000000" w:rsidRPr="00000000" w14:paraId="0000002D">
            <w:pPr>
              <w:widowControl w:val="0"/>
              <w:spacing w:line="276" w:lineRule="auto"/>
              <w:jc w:val="both"/>
              <w:rPr/>
            </w:pPr>
            <w:r w:rsidDel="00000000" w:rsidR="00000000" w:rsidRPr="00000000">
              <w:rPr>
                <w:rtl w:val="0"/>
              </w:rPr>
              <w:t xml:space="preserve">Adotar os seguintes procedimentos de higienização: </w:t>
            </w:r>
          </w:p>
          <w:p w:rsidR="00000000" w:rsidDel="00000000" w:rsidP="00000000" w:rsidRDefault="00000000" w:rsidRPr="00000000" w14:paraId="0000002E">
            <w:pPr>
              <w:widowControl w:val="0"/>
              <w:spacing w:line="276" w:lineRule="auto"/>
              <w:jc w:val="both"/>
              <w:rPr/>
            </w:pPr>
            <w:r w:rsidDel="00000000" w:rsidR="00000000" w:rsidRPr="00000000">
              <w:rPr>
                <w:rtl w:val="0"/>
              </w:rPr>
              <w:t xml:space="preserve">a) Adicionar à água limpa acumulada na caixa (no nível de 10 centímetros) água sanitária na proporção de um litro para cada mil litros de água retida no reservatório. </w:t>
            </w:r>
          </w:p>
          <w:p w:rsidR="00000000" w:rsidDel="00000000" w:rsidP="00000000" w:rsidRDefault="00000000" w:rsidRPr="00000000" w14:paraId="0000002F">
            <w:pPr>
              <w:widowControl w:val="0"/>
              <w:spacing w:line="276" w:lineRule="auto"/>
              <w:jc w:val="both"/>
              <w:rPr/>
            </w:pPr>
            <w:r w:rsidDel="00000000" w:rsidR="00000000" w:rsidRPr="00000000">
              <w:rPr>
                <w:rtl w:val="0"/>
              </w:rPr>
              <w:t xml:space="preserve">b) Após adicionar água sanitária na proporção de 1 para 1000, agitar bem a água para homogeneizar a mistura. Umedecer as paredes da caixa d’ água com a solução de água sanitária e água, utilizando broxa ou pano. Repetir a operação mais três vezes, em intervalos de meia hora; </w:t>
            </w:r>
          </w:p>
          <w:p w:rsidR="00000000" w:rsidDel="00000000" w:rsidP="00000000" w:rsidRDefault="00000000" w:rsidRPr="00000000" w14:paraId="00000030">
            <w:pPr>
              <w:widowControl w:val="0"/>
              <w:spacing w:line="276" w:lineRule="auto"/>
              <w:jc w:val="both"/>
              <w:rPr/>
            </w:pPr>
            <w:r w:rsidDel="00000000" w:rsidR="00000000" w:rsidRPr="00000000">
              <w:rPr>
                <w:rtl w:val="0"/>
              </w:rPr>
              <w:t xml:space="preserve">c) Desobstruir a saída de fundo da caixa d’ água, esvaziando totalmente o reservatório, e abrir torneiras da edificação para eliminar essa água e também desinfetar a rede interna; </w:t>
            </w:r>
          </w:p>
          <w:p w:rsidR="00000000" w:rsidDel="00000000" w:rsidP="00000000" w:rsidRDefault="00000000" w:rsidRPr="00000000" w14:paraId="00000031">
            <w:pPr>
              <w:widowControl w:val="0"/>
              <w:spacing w:line="276" w:lineRule="auto"/>
              <w:jc w:val="both"/>
              <w:rPr/>
            </w:pPr>
            <w:r w:rsidDel="00000000" w:rsidR="00000000" w:rsidRPr="00000000">
              <w:rPr>
                <w:rtl w:val="0"/>
              </w:rPr>
              <w:t xml:space="preserve">d) Destravar a bóia ou abrir o registro do cavalete; </w:t>
            </w:r>
          </w:p>
          <w:p w:rsidR="00000000" w:rsidDel="00000000" w:rsidP="00000000" w:rsidRDefault="00000000" w:rsidRPr="00000000" w14:paraId="00000032">
            <w:pPr>
              <w:widowControl w:val="0"/>
              <w:spacing w:line="276" w:lineRule="auto"/>
              <w:jc w:val="both"/>
              <w:rPr/>
            </w:pPr>
            <w:r w:rsidDel="00000000" w:rsidR="00000000" w:rsidRPr="00000000">
              <w:rPr>
                <w:rtl w:val="0"/>
              </w:rPr>
              <w:t xml:space="preserve">e) Enxaguar as paredes laterais da caixa com a água que está entrando no reservatório; </w:t>
            </w:r>
          </w:p>
          <w:p w:rsidR="00000000" w:rsidDel="00000000" w:rsidP="00000000" w:rsidRDefault="00000000" w:rsidRPr="00000000" w14:paraId="00000033">
            <w:pPr>
              <w:widowControl w:val="0"/>
              <w:spacing w:line="276" w:lineRule="auto"/>
              <w:jc w:val="both"/>
              <w:rPr/>
            </w:pPr>
            <w:r w:rsidDel="00000000" w:rsidR="00000000" w:rsidRPr="00000000">
              <w:rPr>
                <w:rtl w:val="0"/>
              </w:rPr>
              <w:t xml:space="preserve">f) Após escoar pela rede interna a concentração com água sanitária, fechar as torneiras, tampar a caixa, e fazer uso normal da água; </w:t>
            </w:r>
          </w:p>
          <w:p w:rsidR="00000000" w:rsidDel="00000000" w:rsidP="00000000" w:rsidRDefault="00000000" w:rsidRPr="00000000" w14:paraId="00000034">
            <w:pPr>
              <w:widowControl w:val="0"/>
              <w:spacing w:line="276" w:lineRule="auto"/>
              <w:jc w:val="both"/>
              <w:rPr/>
            </w:pPr>
            <w:r w:rsidDel="00000000" w:rsidR="00000000" w:rsidRPr="00000000">
              <w:rPr>
                <w:rtl w:val="0"/>
              </w:rPr>
              <w:t xml:space="preserve">g) Limpar a parte interna da tampa antes de fechar a caixa d’ água; </w:t>
            </w:r>
          </w:p>
          <w:p w:rsidR="00000000" w:rsidDel="00000000" w:rsidP="00000000" w:rsidRDefault="00000000" w:rsidRPr="00000000" w14:paraId="00000035">
            <w:pPr>
              <w:widowControl w:val="0"/>
              <w:spacing w:line="276" w:lineRule="auto"/>
              <w:jc w:val="both"/>
              <w:rPr>
                <w:rFonts w:ascii="Times New Roman" w:cs="Times New Roman" w:eastAsia="Times New Roman" w:hAnsi="Times New Roman"/>
              </w:rPr>
            </w:pPr>
            <w:r w:rsidDel="00000000" w:rsidR="00000000" w:rsidRPr="00000000">
              <w:rPr>
                <w:rtl w:val="0"/>
              </w:rPr>
              <w:t xml:space="preserve">h) Registrar a data da limpeza na parede externa da própria caixa d’ água, de modo a repetir o procedimento em intervalos semestrais. </w:t>
            </w:r>
            <w:r w:rsidDel="00000000" w:rsidR="00000000" w:rsidRPr="00000000">
              <w:rPr>
                <w:rtl w:val="0"/>
              </w:rPr>
            </w:r>
          </w:p>
          <w:p w:rsidR="00000000" w:rsidDel="00000000" w:rsidP="00000000" w:rsidRDefault="00000000" w:rsidRPr="00000000" w14:paraId="00000036">
            <w:pPr>
              <w:widowControl w:val="0"/>
              <w:shd w:fill="f3fdfe" w:val="clear"/>
              <w:spacing w:line="276" w:lineRule="auto"/>
              <w:jc w:val="both"/>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widowControl w:val="0"/>
              <w:spacing w:line="276" w:lineRule="auto"/>
              <w:rPr/>
            </w:pPr>
            <w:r w:rsidDel="00000000" w:rsidR="00000000" w:rsidRPr="00000000">
              <w:rPr>
                <w:rtl w:val="0"/>
              </w:rPr>
              <w:t xml:space="preserve">Rotinas: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9">
            <w:pPr>
              <w:widowControl w:val="0"/>
              <w:spacing w:line="276" w:lineRule="auto"/>
              <w:jc w:val="both"/>
              <w:rPr>
                <w:rFonts w:ascii="Times New Roman" w:cs="Times New Roman" w:eastAsia="Times New Roman" w:hAnsi="Times New Roman"/>
              </w:rPr>
            </w:pPr>
            <w:r w:rsidDel="00000000" w:rsidR="00000000" w:rsidRPr="00000000">
              <w:rPr>
                <w:rtl w:val="0"/>
              </w:rPr>
              <w:t xml:space="preserve">Observando-se irregularidades na qualidade da água armazenada (sabor, odor, cor,...) e servida após a execução do serviço, ou a qualquer tempo e dentro do prazo de validade do serviço, deverá a unidade usuária convocar a presença do representante da empresa, para coleta de amostra da água. Caberá à empresa, nos termos do art. 75 da Lei 8666/93, arcar com as despesas dos ensaios em questão. A qualidade da água deverá atender aos requisitos contidos na legislação vigente conforme Portaria M.S. nº 2914, de 12/12/2011. As amostras serão encaminhadas a laboratório habilitado junto à REBLAS. </w:t>
            </w:r>
            <w:r w:rsidDel="00000000" w:rsidR="00000000" w:rsidRPr="00000000">
              <w:rPr>
                <w:rtl w:val="0"/>
              </w:rPr>
            </w:r>
          </w:p>
          <w:p w:rsidR="00000000" w:rsidDel="00000000" w:rsidP="00000000" w:rsidRDefault="00000000" w:rsidRPr="00000000" w14:paraId="0000003A">
            <w:pPr>
              <w:widowControl w:val="0"/>
              <w:spacing w:line="276" w:lineRule="auto"/>
              <w:jc w:val="both"/>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widowControl w:val="0"/>
              <w:spacing w:line="276" w:lineRule="auto"/>
              <w:rPr>
                <w:b w:val="1"/>
                <w:bCs w:val="1"/>
              </w:rPr>
            </w:pPr>
            <w:r w:rsidDel="00000000" w:rsidR="00000000" w:rsidRPr="00000000">
              <w:rPr>
                <w:b w:val="1"/>
                <w:bCs w:val="1"/>
                <w:rtl w:val="0"/>
              </w:rPr>
              <w:t xml:space="preserve">Certificado:</w:t>
            </w:r>
          </w:p>
          <w:p w:rsidR="00000000" w:rsidDel="00000000" w:rsidP="00000000" w:rsidRDefault="00000000" w:rsidRPr="00000000" w14:paraId="0000003C">
            <w:pPr>
              <w:widowControl w:val="0"/>
              <w:spacing w:line="276" w:lineRule="auto"/>
              <w:jc w:val="both"/>
              <w:rPr>
                <w:rFonts w:ascii="Times New Roman" w:cs="Times New Roman" w:eastAsia="Times New Roman" w:hAnsi="Times New Roman"/>
              </w:rPr>
            </w:pPr>
            <w:r w:rsidDel="00000000" w:rsidR="00000000" w:rsidRPr="00000000">
              <w:rPr>
                <w:rtl w:val="0"/>
              </w:rPr>
              <w:t xml:space="preserve">Deverá ser fornecido um “ Certificado de Limpeza” para cada caixa d’ água na qual tenham sido realizadas a limpeza e a desinfecção, com validade de 06 (seis) meses. </w:t>
            </w:r>
            <w:r w:rsidDel="00000000" w:rsidR="00000000" w:rsidRPr="00000000">
              <w:rPr>
                <w:rtl w:val="0"/>
              </w:rPr>
            </w:r>
          </w:p>
          <w:p w:rsidR="00000000" w:rsidDel="00000000" w:rsidP="00000000" w:rsidRDefault="00000000" w:rsidRPr="00000000" w14:paraId="0000003D">
            <w:pPr>
              <w:widowControl w:val="0"/>
              <w:spacing w:line="276" w:lineRule="auto"/>
              <w:jc w:val="both"/>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widowControl w:val="0"/>
              <w:spacing w:line="276" w:lineRule="auto"/>
              <w:rPr>
                <w:b w:val="1"/>
                <w:bCs w:val="1"/>
              </w:rPr>
            </w:pPr>
            <w:r w:rsidDel="00000000" w:rsidR="00000000" w:rsidRPr="00000000">
              <w:rPr>
                <w:b w:val="1"/>
                <w:bCs w:val="1"/>
                <w:rtl w:val="0"/>
              </w:rPr>
              <w:t xml:space="preserve">Referência:</w:t>
            </w:r>
          </w:p>
          <w:p w:rsidR="00000000" w:rsidDel="00000000" w:rsidP="00000000" w:rsidRDefault="00000000" w:rsidRPr="00000000" w14:paraId="00000040">
            <w:pPr>
              <w:numPr>
                <w:ilvl w:val="0"/>
                <w:numId w:val="1"/>
              </w:numPr>
              <w:spacing w:after="140" w:line="276" w:lineRule="auto"/>
              <w:ind w:left="720" w:hanging="360"/>
              <w:rPr>
                <w:rFonts w:ascii="Arial" w:cs="Arial" w:eastAsia="Arial" w:hAnsi="Arial"/>
              </w:rPr>
            </w:pPr>
            <w:r w:rsidDel="00000000" w:rsidR="00000000" w:rsidRPr="00000000">
              <w:rPr>
                <w:b w:val="1"/>
                <w:bCs w:val="1"/>
                <w:rtl w:val="0"/>
              </w:rPr>
              <w:t xml:space="preserve">ANVISA – RDC nº 1002/2025</w:t>
              <w:br w:type="textWrapping"/>
            </w:r>
            <w:r w:rsidDel="00000000" w:rsidR="00000000" w:rsidRPr="00000000">
              <w:rPr>
                <w:rtl w:val="0"/>
              </w:rPr>
              <w:t xml:space="preserve"> Regulamento Técnico para o Funcionamento dos Serviços de Odontologia.</w:t>
            </w:r>
          </w:p>
          <w:p w:rsidR="00000000" w:rsidDel="00000000" w:rsidP="00000000" w:rsidRDefault="00000000" w:rsidRPr="00000000" w14:paraId="00000041">
            <w:pPr>
              <w:numPr>
                <w:ilvl w:val="0"/>
                <w:numId w:val="1"/>
              </w:numPr>
              <w:spacing w:after="140" w:line="276" w:lineRule="auto"/>
              <w:ind w:left="720" w:hanging="360"/>
              <w:rPr>
                <w:rFonts w:ascii="Arial" w:cs="Arial" w:eastAsia="Arial" w:hAnsi="Arial"/>
              </w:rPr>
            </w:pPr>
            <w:r w:rsidDel="00000000" w:rsidR="00000000" w:rsidRPr="00000000">
              <w:rPr>
                <w:b w:val="1"/>
                <w:bCs w:val="1"/>
                <w:rtl w:val="0"/>
              </w:rPr>
              <w:t xml:space="preserve">ANVISA – RDC nº 63/2011</w:t>
              <w:br w:type="textWrapping"/>
            </w:r>
            <w:r w:rsidDel="00000000" w:rsidR="00000000" w:rsidRPr="00000000">
              <w:rPr>
                <w:rtl w:val="0"/>
              </w:rPr>
              <w:t xml:space="preserve"> Requisitos de boas práticas de funcionamento para os serviços de saúde.</w:t>
            </w:r>
          </w:p>
          <w:p w:rsidR="00000000" w:rsidDel="00000000" w:rsidP="00000000" w:rsidRDefault="00000000" w:rsidRPr="00000000" w14:paraId="00000042">
            <w:pPr>
              <w:numPr>
                <w:ilvl w:val="0"/>
                <w:numId w:val="1"/>
              </w:numPr>
              <w:spacing w:after="140" w:line="276" w:lineRule="auto"/>
              <w:ind w:left="720" w:hanging="360"/>
              <w:rPr>
                <w:rFonts w:ascii="Arial" w:cs="Arial" w:eastAsia="Arial" w:hAnsi="Arial"/>
              </w:rPr>
            </w:pPr>
            <w:r w:rsidDel="00000000" w:rsidR="00000000" w:rsidRPr="00000000">
              <w:rPr>
                <w:b w:val="1"/>
                <w:bCs w:val="1"/>
                <w:rtl w:val="0"/>
              </w:rPr>
              <w:t xml:space="preserve">ANVISA – RDC nº 222/2018</w:t>
              <w:br w:type="textWrapping"/>
            </w:r>
            <w:r w:rsidDel="00000000" w:rsidR="00000000" w:rsidRPr="00000000">
              <w:rPr>
                <w:rtl w:val="0"/>
              </w:rPr>
              <w:t xml:space="preserve"> Boas práticas de gerenciamento dos resíduos de serviços de saúde (RSS).</w:t>
            </w:r>
          </w:p>
          <w:p w:rsidR="00000000" w:rsidDel="00000000" w:rsidP="00000000" w:rsidRDefault="00000000" w:rsidRPr="00000000" w14:paraId="00000043">
            <w:pPr>
              <w:numPr>
                <w:ilvl w:val="0"/>
                <w:numId w:val="1"/>
              </w:numPr>
              <w:spacing w:after="140" w:line="276" w:lineRule="auto"/>
              <w:ind w:left="720" w:hanging="360"/>
              <w:rPr>
                <w:rFonts w:ascii="Arial" w:cs="Arial" w:eastAsia="Arial" w:hAnsi="Arial"/>
              </w:rPr>
            </w:pPr>
            <w:r w:rsidDel="00000000" w:rsidR="00000000" w:rsidRPr="00000000">
              <w:rPr>
                <w:b w:val="1"/>
                <w:bCs w:val="1"/>
                <w:rtl w:val="0"/>
              </w:rPr>
              <w:t xml:space="preserve">Ministério da Saúde</w:t>
            </w:r>
            <w:r w:rsidDel="00000000" w:rsidR="00000000" w:rsidRPr="00000000">
              <w:rPr>
                <w:rtl w:val="0"/>
              </w:rPr>
              <w:t xml:space="preserve"> – Manual de Biossegurança em Serviços de Saúde, 2022.</w:t>
            </w:r>
          </w:p>
          <w:p w:rsidR="00000000" w:rsidDel="00000000" w:rsidP="00000000" w:rsidRDefault="00000000" w:rsidRPr="00000000" w14:paraId="00000044">
            <w:pPr>
              <w:numPr>
                <w:ilvl w:val="0"/>
                <w:numId w:val="1"/>
              </w:numPr>
              <w:spacing w:after="140" w:line="276" w:lineRule="auto"/>
              <w:ind w:left="720" w:hanging="360"/>
              <w:rPr>
                <w:rFonts w:ascii="Arial" w:cs="Arial" w:eastAsia="Arial" w:hAnsi="Arial"/>
              </w:rPr>
            </w:pPr>
            <w:r w:rsidDel="00000000" w:rsidR="00000000" w:rsidRPr="00000000">
              <w:rPr>
                <w:b w:val="1"/>
                <w:bCs w:val="1"/>
                <w:rtl w:val="0"/>
              </w:rPr>
              <w:t xml:space="preserve">Conselho Federal de Odontologia (CFO)</w:t>
            </w:r>
            <w:r w:rsidDel="00000000" w:rsidR="00000000" w:rsidRPr="00000000">
              <w:rPr>
                <w:rtl w:val="0"/>
              </w:rPr>
              <w:t xml:space="preserve"> – Código de Ética Odontológica, 2023.</w:t>
            </w:r>
          </w:p>
          <w:p w:rsidR="00000000" w:rsidDel="00000000" w:rsidP="00000000" w:rsidRDefault="00000000" w:rsidRPr="00000000" w14:paraId="00000045">
            <w:pPr>
              <w:numPr>
                <w:ilvl w:val="0"/>
                <w:numId w:val="1"/>
              </w:numPr>
              <w:spacing w:after="140" w:line="276" w:lineRule="auto"/>
              <w:ind w:left="720" w:hanging="360"/>
              <w:rPr>
                <w:rFonts w:ascii="Arial" w:cs="Arial" w:eastAsia="Arial" w:hAnsi="Arial"/>
              </w:rPr>
            </w:pPr>
            <w:r w:rsidDel="00000000" w:rsidR="00000000" w:rsidRPr="00000000">
              <w:rPr>
                <w:b w:val="1"/>
                <w:bCs w:val="1"/>
                <w:rtl w:val="0"/>
              </w:rPr>
              <w:t xml:space="preserve">NR-32 – Ministério do Trabalho</w:t>
              <w:br w:type="textWrapping"/>
            </w:r>
            <w:r w:rsidDel="00000000" w:rsidR="00000000" w:rsidRPr="00000000">
              <w:rPr>
                <w:rtl w:val="0"/>
              </w:rPr>
              <w:t xml:space="preserve"> Segurança e saúde no trabalho em serviços de saúde.</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2"/>
        <w:tblW w:w="10380.0" w:type="dxa"/>
        <w:jc w:val="left"/>
        <w:tblInd w:w="-714.0" w:type="dxa"/>
        <w:tblLayout w:type="fixed"/>
        <w:tblLook w:val="0400"/>
      </w:tblPr>
      <w:tblGrid>
        <w:gridCol w:w="3539"/>
        <w:gridCol w:w="2836"/>
        <w:gridCol w:w="4005"/>
        <w:tblGridChange w:id="0">
          <w:tblGrid>
            <w:gridCol w:w="3539"/>
            <w:gridCol w:w="2836"/>
            <w:gridCol w:w="4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rPr/>
            </w:pPr>
            <w:r w:rsidDel="00000000" w:rsidR="00000000" w:rsidRPr="00000000">
              <w:rPr>
                <w:rtl w:val="0"/>
              </w:rPr>
              <w:t xml:space="preserve">POP ELABORADO POR: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rPr/>
            </w:pPr>
            <w:r w:rsidDel="00000000" w:rsidR="00000000" w:rsidRPr="00000000">
              <w:rPr>
                <w:rtl w:val="0"/>
              </w:rPr>
              <w:t xml:space="preserve">POP REVISADO POR: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rPr/>
            </w:pPr>
            <w:r w:rsidDel="00000000" w:rsidR="00000000" w:rsidRPr="00000000">
              <w:rPr>
                <w:rtl w:val="0"/>
              </w:rPr>
              <w:t xml:space="preserve">DATA DE APROVAÇÃO DO POP: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rPr>
                <w:i w:val="1"/>
                <w:iCs w:val="1"/>
              </w:rPr>
            </w:pPr>
            <w:r w:rsidDel="00000000" w:rsidR="00000000" w:rsidRPr="00000000">
              <w:rPr>
                <w:i w:val="1"/>
                <w:iCs w:val="1"/>
                <w:rtl w:val="0"/>
              </w:rPr>
              <w:t xml:space="preserve">Nome:</w:t>
            </w:r>
          </w:p>
          <w:p w:rsidR="00000000" w:rsidDel="00000000" w:rsidP="00000000" w:rsidRDefault="00000000" w:rsidRPr="00000000" w14:paraId="0000004D">
            <w:pPr>
              <w:widowControl w:val="0"/>
              <w:rPr>
                <w:i w:val="1"/>
                <w:iCs w:val="1"/>
              </w:rPr>
            </w:pPr>
            <w:r w:rsidDel="00000000" w:rsidR="00000000" w:rsidRPr="00000000">
              <w:rPr>
                <w:rtl w:val="0"/>
              </w:rPr>
            </w:r>
          </w:p>
          <w:p w:rsidR="00000000" w:rsidDel="00000000" w:rsidP="00000000" w:rsidRDefault="00000000" w:rsidRPr="00000000" w14:paraId="0000004E">
            <w:pPr>
              <w:widowControl w:val="0"/>
              <w:rPr>
                <w:i w:val="1"/>
                <w:iCs w:val="1"/>
              </w:rPr>
            </w:pPr>
            <w:r w:rsidDel="00000000" w:rsidR="00000000" w:rsidRPr="00000000">
              <w:rPr>
                <w:rtl w:val="0"/>
              </w:rPr>
            </w:r>
          </w:p>
          <w:p w:rsidR="00000000" w:rsidDel="00000000" w:rsidP="00000000" w:rsidRDefault="00000000" w:rsidRPr="00000000" w14:paraId="0000004F">
            <w:pPr>
              <w:widowControl w:val="0"/>
              <w:rPr>
                <w:i w:val="1"/>
                <w:iCs w:val="1"/>
              </w:rPr>
            </w:pPr>
            <w:r w:rsidDel="00000000" w:rsidR="00000000" w:rsidRPr="00000000">
              <w:rPr>
                <w:i w:val="1"/>
                <w:iCs w:val="1"/>
                <w:rtl w:val="0"/>
              </w:rPr>
              <w:t xml:space="preserve">Assinatura: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rPr>
                <w:i w:val="1"/>
                <w:iCs w:val="1"/>
              </w:rPr>
            </w:pPr>
            <w:r w:rsidDel="00000000" w:rsidR="00000000" w:rsidRPr="00000000">
              <w:rPr>
                <w:i w:val="1"/>
                <w:iCs w:val="1"/>
                <w:rtl w:val="0"/>
              </w:rPr>
              <w:t xml:space="preserve">Nome:</w:t>
            </w:r>
          </w:p>
          <w:p w:rsidR="00000000" w:rsidDel="00000000" w:rsidP="00000000" w:rsidRDefault="00000000" w:rsidRPr="00000000" w14:paraId="00000051">
            <w:pPr>
              <w:widowControl w:val="0"/>
              <w:rPr>
                <w:i w:val="1"/>
                <w:iCs w:val="1"/>
              </w:rPr>
            </w:pPr>
            <w:r w:rsidDel="00000000" w:rsidR="00000000" w:rsidRPr="00000000">
              <w:rPr>
                <w:rtl w:val="0"/>
              </w:rPr>
            </w:r>
          </w:p>
          <w:p w:rsidR="00000000" w:rsidDel="00000000" w:rsidP="00000000" w:rsidRDefault="00000000" w:rsidRPr="00000000" w14:paraId="00000052">
            <w:pPr>
              <w:widowControl w:val="0"/>
              <w:rPr>
                <w:i w:val="1"/>
                <w:iCs w:val="1"/>
              </w:rPr>
            </w:pPr>
            <w:r w:rsidDel="00000000" w:rsidR="00000000" w:rsidRPr="00000000">
              <w:rPr>
                <w:rtl w:val="0"/>
              </w:rPr>
            </w:r>
          </w:p>
          <w:p w:rsidR="00000000" w:rsidDel="00000000" w:rsidP="00000000" w:rsidRDefault="00000000" w:rsidRPr="00000000" w14:paraId="00000053">
            <w:pPr>
              <w:widowControl w:val="0"/>
              <w:rPr>
                <w:i w:val="1"/>
                <w:iCs w:val="1"/>
              </w:rPr>
            </w:pPr>
            <w:r w:rsidDel="00000000" w:rsidR="00000000" w:rsidRPr="00000000">
              <w:rPr>
                <w:i w:val="1"/>
                <w:iCs w:val="1"/>
                <w:rtl w:val="0"/>
              </w:rPr>
              <w:t xml:space="preserve">Assinatura: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jc w:val="center"/>
              <w:rPr/>
            </w:pPr>
            <w:r w:rsidDel="00000000" w:rsidR="00000000" w:rsidRPr="00000000">
              <w:rPr>
                <w:rtl w:val="0"/>
              </w:rPr>
              <w:t xml:space="preserve">________/______/___________</w:t>
            </w:r>
          </w:p>
        </w:tc>
      </w:tr>
    </w:tbl>
    <w:p w:rsidR="00000000" w:rsidDel="00000000" w:rsidP="00000000" w:rsidRDefault="00000000" w:rsidRPr="00000000" w14:paraId="00000056">
      <w:pPr>
        <w:rPr/>
      </w:pP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tabs>
        <w:tab w:val="center" w:leader="none" w:pos="4252"/>
        <w:tab w:val="right" w:leader="none" w:pos="8504"/>
      </w:tabs>
      <w:spacing w:after="240" w:before="240" w:line="240" w:lineRule="auto"/>
      <w:jc w:val="center"/>
      <w:rPr>
        <w:i w:val="1"/>
        <w:iCs w:val="1"/>
        <w:color w:val="808080"/>
        <w:sz w:val="16"/>
        <w:szCs w:val="16"/>
      </w:rPr>
    </w:pPr>
    <w:r w:rsidDel="00000000" w:rsidR="00000000" w:rsidRPr="00000000">
      <w:rPr>
        <w:b w:val="1"/>
        <w:bCs w:val="1"/>
        <w:i w:val="1"/>
        <w:iCs w:val="1"/>
        <w:color w:val="808080"/>
        <w:sz w:val="16"/>
        <w:szCs w:val="16"/>
        <w:rtl w:val="0"/>
      </w:rPr>
      <w:t xml:space="preserve">Nota:</w:t>
    </w:r>
    <w:r w:rsidDel="00000000" w:rsidR="00000000" w:rsidRPr="00000000">
      <w:rPr>
        <w:i w:val="1"/>
        <w:iCs w:val="1"/>
        <w:color w:val="808080"/>
        <w:sz w:val="16"/>
        <w:szCs w:val="16"/>
        <w:rtl w:val="0"/>
      </w:rPr>
      <w:t xml:space="preserve"> Este POP deve ser revisado e atualizado periodicamente para assegurar conformidade com as normas vigentes e práticas recomendadas.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64.0" w:type="dxa"/>
      <w:jc w:val="left"/>
      <w:tblInd w:w="-714.0" w:type="dxa"/>
      <w:tblLayout w:type="fixed"/>
      <w:tblLook w:val="0400"/>
    </w:tblPr>
    <w:tblGrid>
      <w:gridCol w:w="2414"/>
      <w:gridCol w:w="7650"/>
      <w:tblGridChange w:id="0">
        <w:tblGrid>
          <w:gridCol w:w="2414"/>
          <w:gridCol w:w="7650"/>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widowControl w:val="0"/>
            <w:jc w:val="center"/>
            <w:rPr/>
          </w:pPr>
          <w:r w:rsidDel="00000000" w:rsidR="00000000" w:rsidRPr="00000000">
            <w:rPr>
              <w:rtl w:val="0"/>
            </w:rPr>
            <w:t xml:space="preserve">LOGO DA EMPRESA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widowControl w:val="0"/>
            <w:jc w:val="center"/>
            <w:rPr>
              <w:b w:val="1"/>
              <w:bCs w:val="1"/>
              <w:sz w:val="22"/>
              <w:szCs w:val="22"/>
            </w:rPr>
          </w:pPr>
          <w:r w:rsidDel="00000000" w:rsidR="00000000" w:rsidRPr="00000000">
            <w:rPr>
              <w:b w:val="1"/>
              <w:bCs w:val="1"/>
              <w:sz w:val="22"/>
              <w:szCs w:val="22"/>
              <w:rtl w:val="0"/>
            </w:rPr>
            <w:t xml:space="preserve">PROCEDIMENTO OPERACIONAL PADRÃO – POP</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widowControl w:val="0"/>
            <w:jc w:val="center"/>
            <w:rPr>
              <w:b w:val="1"/>
              <w:bCs w:val="1"/>
              <w:sz w:val="22"/>
              <w:szCs w:val="22"/>
            </w:rPr>
          </w:pPr>
          <w:r w:rsidDel="00000000" w:rsidR="00000000" w:rsidRPr="00000000">
            <w:rPr>
              <w:b w:val="1"/>
              <w:bCs w:val="1"/>
              <w:sz w:val="22"/>
              <w:szCs w:val="22"/>
              <w:rtl w:val="0"/>
            </w:rPr>
            <w:t xml:space="preserve">LIMPEZA CAIXA D’ÁGUA</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060">
    <w:pPr>
      <w:keepNext w:val="0"/>
      <w:keepLines w:val="0"/>
      <w:widowControl w:val="1"/>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widowControl w:val="1"/>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65.0" w:type="dxa"/>
      <w:jc w:val="left"/>
      <w:tblInd w:w="-714.0" w:type="dxa"/>
      <w:tblLayout w:type="fixed"/>
      <w:tblLook w:val="0400"/>
    </w:tblPr>
    <w:tblGrid>
      <w:gridCol w:w="2205"/>
      <w:gridCol w:w="3930"/>
      <w:gridCol w:w="3930"/>
      <w:tblGridChange w:id="0">
        <w:tblGrid>
          <w:gridCol w:w="2205"/>
          <w:gridCol w:w="3930"/>
          <w:gridCol w:w="3930"/>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widowControl w:val="0"/>
            <w:jc w:val="center"/>
            <w:rPr/>
          </w:pPr>
          <w:r w:rsidDel="00000000" w:rsidR="00000000" w:rsidRPr="00000000">
            <w:rPr>
              <w:rtl w:val="0"/>
            </w:rPr>
            <w:t xml:space="preserve">LOGO DA EMPRESA</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widowControl w:val="0"/>
            <w:jc w:val="center"/>
            <w:rPr>
              <w:b w:val="1"/>
              <w:bCs w:val="1"/>
              <w:sz w:val="22"/>
              <w:szCs w:val="22"/>
            </w:rPr>
          </w:pPr>
          <w:r w:rsidDel="00000000" w:rsidR="00000000" w:rsidRPr="00000000">
            <w:rPr>
              <w:b w:val="1"/>
              <w:bCs w:val="1"/>
              <w:sz w:val="22"/>
              <w:szCs w:val="22"/>
              <w:rtl w:val="0"/>
            </w:rPr>
            <w:t xml:space="preserve">PROCEDIMENTO OPERACIONAL PADRÃO – POP</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widowControl w:val="0"/>
            <w:jc w:val="center"/>
            <w:rPr>
              <w:b w:val="1"/>
              <w:bCs w:val="1"/>
              <w:sz w:val="22"/>
              <w:szCs w:val="22"/>
            </w:rPr>
          </w:pPr>
          <w:r w:rsidDel="00000000" w:rsidR="00000000" w:rsidRPr="00000000">
            <w:rPr>
              <w:b w:val="1"/>
              <w:bCs w:val="1"/>
              <w:sz w:val="22"/>
              <w:szCs w:val="22"/>
              <w:rtl w:val="0"/>
            </w:rPr>
            <w:t xml:space="preserve">LIMPEZA CAIXA D’ÁGUA</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widowControl w:val="0"/>
            <w:spacing w:line="276" w:lineRule="auto"/>
            <w:rPr>
              <w:b w:val="1"/>
              <w:bCs w:val="1"/>
              <w:sz w:val="22"/>
              <w:szCs w:val="22"/>
            </w:rPr>
          </w:pPr>
          <w:r w:rsidDel="00000000" w:rsidR="00000000" w:rsidRPr="00000000">
            <w:rPr>
              <w:b w:val="1"/>
              <w:bCs w:val="1"/>
              <w:sz w:val="22"/>
              <w:szCs w:val="22"/>
              <w:rtl w:val="0"/>
            </w:rPr>
            <w:t xml:space="preserve">Código: POP-ODO-00X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widowControl w:val="0"/>
            <w:ind w:right="1051"/>
            <w:rPr>
              <w:b w:val="1"/>
              <w:bCs w:val="1"/>
              <w:sz w:val="22"/>
              <w:szCs w:val="22"/>
            </w:rPr>
          </w:pPr>
          <w:r w:rsidDel="00000000" w:rsidR="00000000" w:rsidRPr="00000000">
            <w:rPr>
              <w:b w:val="1"/>
              <w:bCs w:val="1"/>
              <w:sz w:val="22"/>
              <w:szCs w:val="22"/>
              <w:rtl w:val="0"/>
            </w:rPr>
            <w:t xml:space="preserve">Versão: 00X</w:t>
          </w:r>
        </w:p>
      </w:tc>
    </w:tr>
  </w:tbl>
  <w:p w:rsidR="00000000" w:rsidDel="00000000" w:rsidP="00000000" w:rsidRDefault="00000000" w:rsidRPr="00000000" w14:paraId="00000072">
    <w:pPr>
      <w:keepNext w:val="0"/>
      <w:keepLines w:val="0"/>
      <w:widowControl w:val="1"/>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064.0" w:type="dxa"/>
      <w:jc w:val="left"/>
      <w:tblInd w:w="-714.0" w:type="dxa"/>
      <w:tblLayout w:type="fixed"/>
      <w:tblLook w:val="0400"/>
    </w:tblPr>
    <w:tblGrid>
      <w:gridCol w:w="2414"/>
      <w:gridCol w:w="7650"/>
      <w:tblGridChange w:id="0">
        <w:tblGrid>
          <w:gridCol w:w="2414"/>
          <w:gridCol w:w="7650"/>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widowControl w:val="0"/>
            <w:jc w:val="center"/>
            <w:rPr/>
          </w:pPr>
          <w:r w:rsidDel="00000000" w:rsidR="00000000" w:rsidRPr="00000000">
            <w:rPr>
              <w:rtl w:val="0"/>
            </w:rPr>
            <w:t xml:space="preserve">LOGO DA EMPRESA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widowControl w:val="0"/>
            <w:jc w:val="center"/>
            <w:rPr>
              <w:b w:val="1"/>
              <w:bCs w:val="1"/>
              <w:sz w:val="22"/>
              <w:szCs w:val="22"/>
            </w:rPr>
          </w:pPr>
          <w:r w:rsidDel="00000000" w:rsidR="00000000" w:rsidRPr="00000000">
            <w:rPr>
              <w:b w:val="1"/>
              <w:bCs w:val="1"/>
              <w:sz w:val="22"/>
              <w:szCs w:val="22"/>
              <w:rtl w:val="0"/>
            </w:rPr>
            <w:t xml:space="preserve">PROCEDIMENTO OPERACIONAL PADRÃO – POP</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widowControl w:val="0"/>
            <w:jc w:val="center"/>
            <w:rPr>
              <w:b w:val="1"/>
              <w:bCs w:val="1"/>
              <w:sz w:val="22"/>
              <w:szCs w:val="22"/>
            </w:rPr>
          </w:pPr>
          <w:r w:rsidDel="00000000" w:rsidR="00000000" w:rsidRPr="00000000">
            <w:rPr>
              <w:b w:val="1"/>
              <w:bCs w:val="1"/>
              <w:sz w:val="22"/>
              <w:szCs w:val="22"/>
              <w:rtl w:val="0"/>
            </w:rPr>
            <w:t xml:space="preserve">LIMPEZA CAIXA D’ÁGUA</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07C">
    <w:pPr>
      <w:keepNext w:val="0"/>
      <w:keepLines w:val="0"/>
      <w:widowControl w:val="1"/>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da-D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Normal" w:default="1">
    <w:name w:val="Normal"/>
    <w:qFormat w:val="1"/>
    <w:rsid w:val="004164ED"/>
    <w:pPr>
      <w:widowControl w:val="1"/>
      <w:bidi w:val="0"/>
      <w:spacing w:after="0" w:before="0"/>
      <w:jc w:val="left"/>
    </w:pPr>
    <w:rPr>
      <w:rFonts w:ascii="Arial" w:cs="Arial" w:eastAsia="Times New Roman" w:hAnsi="Arial"/>
      <w:color w:val="auto"/>
      <w:kern w:val="0"/>
      <w:sz w:val="20"/>
      <w:szCs w:val="20"/>
      <w:lang w:bidi="hi-IN" w:eastAsia="da-DK" w:val="da-DK"/>
    </w:rPr>
  </w:style>
  <w:style w:type="paragraph" w:styleId="Ttulo1">
    <w:name w:val="Heading 1"/>
    <w:basedOn w:val="Normal1"/>
    <w:next w:val="Normal1"/>
    <w:qFormat w:val="1"/>
    <w:pPr>
      <w:keepNext w:val="1"/>
      <w:keepLines w:val="1"/>
      <w:pageBreakBefore w:val="0"/>
      <w:spacing w:after="120" w:before="480" w:line="240" w:lineRule="auto"/>
    </w:pPr>
    <w:rPr>
      <w:b w:val="1"/>
      <w:sz w:val="48"/>
      <w:szCs w:val="48"/>
    </w:rPr>
  </w:style>
  <w:style w:type="paragraph" w:styleId="Ttulo2">
    <w:name w:val="Heading 2"/>
    <w:basedOn w:val="Normal1"/>
    <w:next w:val="Normal1"/>
    <w:qFormat w:val="1"/>
    <w:pPr>
      <w:keepNext w:val="1"/>
      <w:keepLines w:val="1"/>
      <w:pageBreakBefore w:val="0"/>
      <w:spacing w:after="80" w:before="360" w:line="240" w:lineRule="auto"/>
    </w:pPr>
    <w:rPr>
      <w:b w:val="1"/>
      <w:sz w:val="36"/>
      <w:szCs w:val="36"/>
    </w:rPr>
  </w:style>
  <w:style w:type="paragraph" w:styleId="Ttulo3">
    <w:name w:val="Heading 3"/>
    <w:basedOn w:val="Normal1"/>
    <w:next w:val="Normal1"/>
    <w:qFormat w:val="1"/>
    <w:pPr>
      <w:keepNext w:val="1"/>
      <w:keepLines w:val="1"/>
      <w:pageBreakBefore w:val="0"/>
      <w:spacing w:after="80" w:before="280" w:line="240" w:lineRule="auto"/>
    </w:pPr>
    <w:rPr>
      <w:b w:val="1"/>
      <w:sz w:val="28"/>
      <w:szCs w:val="28"/>
    </w:rPr>
  </w:style>
  <w:style w:type="paragraph" w:styleId="Ttulo4">
    <w:name w:val="Heading 4"/>
    <w:basedOn w:val="Normal1"/>
    <w:next w:val="Normal1"/>
    <w:qFormat w:val="1"/>
    <w:pPr>
      <w:keepNext w:val="1"/>
      <w:keepLines w:val="1"/>
      <w:pageBreakBefore w:val="0"/>
      <w:spacing w:after="40" w:before="240" w:line="240" w:lineRule="auto"/>
    </w:pPr>
    <w:rPr>
      <w:b w:val="1"/>
      <w:sz w:val="24"/>
      <w:szCs w:val="24"/>
    </w:rPr>
  </w:style>
  <w:style w:type="paragraph" w:styleId="Ttulo5">
    <w:name w:val="Heading 5"/>
    <w:basedOn w:val="Normal1"/>
    <w:next w:val="Normal1"/>
    <w:qFormat w:val="1"/>
    <w:pPr>
      <w:keepNext w:val="1"/>
      <w:keepLines w:val="1"/>
      <w:pageBreakBefore w:val="0"/>
      <w:spacing w:after="40" w:before="220" w:line="240" w:lineRule="auto"/>
    </w:pPr>
    <w:rPr>
      <w:b w:val="1"/>
      <w:sz w:val="22"/>
      <w:szCs w:val="22"/>
    </w:rPr>
  </w:style>
  <w:style w:type="paragraph" w:styleId="Ttulo6">
    <w:name w:val="Heading 6"/>
    <w:basedOn w:val="Normal1"/>
    <w:next w:val="Normal1"/>
    <w:qFormat w:val="1"/>
    <w:pPr>
      <w:keepNext w:val="1"/>
      <w:keepLines w:val="1"/>
      <w:pageBreakBefore w:val="0"/>
      <w:spacing w:after="40" w:before="200" w:line="240" w:lineRule="auto"/>
    </w:pPr>
    <w:rPr>
      <w:b w:val="1"/>
      <w:sz w:val="20"/>
      <w:szCs w:val="20"/>
    </w:rPr>
  </w:style>
  <w:style w:type="character" w:styleId="DefaultParagraphFont" w:default="1">
    <w:name w:val="Default Paragraph Font"/>
    <w:uiPriority w:val="1"/>
    <w:semiHidden w:val="1"/>
    <w:unhideWhenUsed w:val="1"/>
    <w:qFormat w:val="1"/>
    <w:rPr/>
  </w:style>
  <w:style w:type="character" w:styleId="CabealhoChar" w:customStyle="1">
    <w:name w:val="Cabeçalho Char"/>
    <w:basedOn w:val="DefaultParagraphFont"/>
    <w:link w:val="Cabealho"/>
    <w:uiPriority w:val="99"/>
    <w:qFormat w:val="1"/>
    <w:rsid w:val="004164ED"/>
    <w:rPr>
      <w:rFonts w:ascii="Arial" w:cs="Arial" w:eastAsia="Times New Roman" w:hAnsi="Arial"/>
      <w:sz w:val="20"/>
      <w:szCs w:val="20"/>
      <w:lang w:eastAsia="da-DK" w:val="da-DK"/>
    </w:rPr>
  </w:style>
  <w:style w:type="character" w:styleId="RodapChar" w:customStyle="1">
    <w:name w:val="Rodapé Char"/>
    <w:basedOn w:val="DefaultParagraphFont"/>
    <w:link w:val="Rodap"/>
    <w:uiPriority w:val="99"/>
    <w:qFormat w:val="1"/>
    <w:rsid w:val="004164ED"/>
    <w:rPr>
      <w:rFonts w:ascii="Arial" w:cs="Arial" w:eastAsia="Times New Roman" w:hAnsi="Arial"/>
      <w:sz w:val="20"/>
      <w:szCs w:val="20"/>
      <w:lang w:eastAsia="da-DK" w:val="da-DK"/>
    </w:rPr>
  </w:style>
  <w:style w:type="character" w:styleId="Pagenumber">
    <w:name w:val="page number"/>
    <w:basedOn w:val="DefaultParagraphFont"/>
    <w:uiPriority w:val="99"/>
    <w:semiHidden w:val="1"/>
    <w:unhideWhenUsed w:val="1"/>
    <w:qFormat w:val="1"/>
    <w:rsid w:val="004164ED"/>
    <w:rPr/>
  </w:style>
  <w:style w:type="character" w:styleId="TextodebaloChar" w:customStyle="1">
    <w:name w:val="Texto de balão Char"/>
    <w:basedOn w:val="DefaultParagraphFont"/>
    <w:link w:val="Textodebalo"/>
    <w:uiPriority w:val="99"/>
    <w:semiHidden w:val="1"/>
    <w:qFormat w:val="1"/>
    <w:rsid w:val="00C35A79"/>
    <w:rPr>
      <w:rFonts w:ascii="Times New Roman" w:cs="Times New Roman" w:eastAsia="Times New Roman" w:hAnsi="Times New Roman"/>
      <w:sz w:val="18"/>
      <w:szCs w:val="18"/>
      <w:lang w:eastAsia="da-DK" w:val="da-DK"/>
    </w:rPr>
  </w:style>
  <w:style w:type="character" w:styleId="Nfaseforte">
    <w:name w:val="Ênfase forte"/>
    <w:qFormat w:val="1"/>
    <w:rPr>
      <w:b w:val="1"/>
      <w:bCs w:val="1"/>
    </w:rPr>
  </w:style>
  <w:style w:type="paragraph" w:styleId="Ttulo">
    <w:name w:val="Título"/>
    <w:basedOn w:val="Normal"/>
    <w:next w:val="Corpodotexto"/>
    <w:qFormat w:val="1"/>
    <w:pPr>
      <w:keepNext w:val="1"/>
      <w:spacing w:after="120" w:before="240"/>
    </w:pPr>
    <w:rPr>
      <w:rFonts w:ascii="Liberation Sans" w:cs="Lucida Sans" w:eastAsia="Microsoft YaHei" w:hAnsi="Liberation Sans"/>
      <w:sz w:val="28"/>
      <w:szCs w:val="28"/>
    </w:rPr>
  </w:style>
  <w:style w:type="paragraph" w:styleId="Corpodotexto">
    <w:name w:val="Body Text"/>
    <w:basedOn w:val="Normal"/>
    <w:pPr>
      <w:spacing w:after="140" w:before="0" w:line="276" w:lineRule="auto"/>
    </w:pPr>
    <w:rPr/>
  </w:style>
  <w:style w:type="paragraph" w:styleId="Lista">
    <w:name w:val="List"/>
    <w:basedOn w:val="Corpodotexto"/>
    <w:pPr/>
    <w:rPr>
      <w:rFonts w:cs="Lucida Sans"/>
    </w:rPr>
  </w:style>
  <w:style w:type="paragraph" w:styleId="Legenda">
    <w:name w:val="Caption"/>
    <w:basedOn w:val="Normal"/>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lang w:bidi="zxx" w:eastAsia="zxx" w:val="zxx"/>
    </w:rPr>
  </w:style>
  <w:style w:type="paragraph" w:styleId="Normal1" w:default="1">
    <w:name w:val="LO-normal1"/>
    <w:qFormat w:val="1"/>
    <w:pPr>
      <w:widowControl w:val="1"/>
      <w:bidi w:val="0"/>
      <w:spacing w:after="0" w:before="0"/>
      <w:jc w:val="left"/>
    </w:pPr>
    <w:rPr>
      <w:rFonts w:ascii="Arial" w:cs="Arial" w:eastAsia="Arial" w:hAnsi="Arial"/>
      <w:color w:val="auto"/>
      <w:kern w:val="0"/>
      <w:sz w:val="20"/>
      <w:szCs w:val="20"/>
      <w:lang w:bidi="hi-IN" w:eastAsia="zh-CN" w:val="da-DK"/>
    </w:rPr>
  </w:style>
  <w:style w:type="paragraph" w:styleId="Ttulododocumento">
    <w:name w:val="Title"/>
    <w:basedOn w:val="Normal1"/>
    <w:next w:val="Normal1"/>
    <w:qFormat w:val="1"/>
    <w:pPr>
      <w:keepNext w:val="1"/>
      <w:keepLines w:val="1"/>
      <w:pageBreakBefore w:val="0"/>
      <w:spacing w:after="120" w:before="480" w:line="240" w:lineRule="auto"/>
    </w:pPr>
    <w:rPr>
      <w:b w:val="1"/>
      <w:sz w:val="72"/>
      <w:szCs w:val="72"/>
    </w:rPr>
  </w:style>
  <w:style w:type="paragraph" w:styleId="ListParagraph">
    <w:name w:val="List Paragraph"/>
    <w:basedOn w:val="Normal1"/>
    <w:uiPriority w:val="34"/>
    <w:qFormat w:val="1"/>
    <w:rsid w:val="004164ED"/>
    <w:pPr>
      <w:spacing w:after="0" w:before="0"/>
      <w:ind w:left="720" w:hanging="0"/>
      <w:contextualSpacing w:val="1"/>
    </w:pPr>
    <w:rPr/>
  </w:style>
  <w:style w:type="paragraph" w:styleId="NormalWeb">
    <w:name w:val="Normal (Web)"/>
    <w:basedOn w:val="Normal1"/>
    <w:uiPriority w:val="99"/>
    <w:unhideWhenUsed w:val="1"/>
    <w:qFormat w:val="1"/>
    <w:rsid w:val="004164ED"/>
    <w:pPr>
      <w:spacing w:afterAutospacing="1" w:beforeAutospacing="1"/>
    </w:pPr>
    <w:rPr>
      <w:rFonts w:ascii="Times New Roman" w:cs="Times New Roman" w:hAnsi="Times New Roman"/>
      <w:sz w:val="24"/>
      <w:szCs w:val="24"/>
      <w:lang w:eastAsia="pt-BR" w:val="pt-BR"/>
    </w:rPr>
  </w:style>
  <w:style w:type="paragraph" w:styleId="CabealhoeRodap">
    <w:name w:val="Cabeçalho e Rodapé"/>
    <w:basedOn w:val="Normal"/>
    <w:qFormat w:val="1"/>
    <w:pPr/>
    <w:rPr/>
  </w:style>
  <w:style w:type="paragraph" w:styleId="Cabealho">
    <w:name w:val="Header"/>
    <w:basedOn w:val="Normal1"/>
    <w:link w:val="CabealhoChar"/>
    <w:uiPriority w:val="99"/>
    <w:unhideWhenUsed w:val="1"/>
    <w:rsid w:val="004164ED"/>
    <w:pPr>
      <w:tabs>
        <w:tab w:val="clear" w:pos="720"/>
        <w:tab w:val="center" w:leader="none" w:pos="4252"/>
        <w:tab w:val="right" w:leader="none" w:pos="8504"/>
      </w:tabs>
    </w:pPr>
    <w:rPr/>
  </w:style>
  <w:style w:type="paragraph" w:styleId="Rodap">
    <w:name w:val="Footer"/>
    <w:basedOn w:val="Normal1"/>
    <w:link w:val="RodapChar"/>
    <w:uiPriority w:val="99"/>
    <w:unhideWhenUsed w:val="1"/>
    <w:rsid w:val="004164ED"/>
    <w:pPr>
      <w:tabs>
        <w:tab w:val="clear" w:pos="720"/>
        <w:tab w:val="center" w:leader="none" w:pos="4252"/>
        <w:tab w:val="right" w:leader="none" w:pos="8504"/>
      </w:tabs>
    </w:pPr>
    <w:rPr/>
  </w:style>
  <w:style w:type="paragraph" w:styleId="BalloonText">
    <w:name w:val="Balloon Text"/>
    <w:basedOn w:val="Normal1"/>
    <w:link w:val="TextodebaloChar"/>
    <w:uiPriority w:val="99"/>
    <w:semiHidden w:val="1"/>
    <w:unhideWhenUsed w:val="1"/>
    <w:qFormat w:val="1"/>
    <w:rsid w:val="00C35A79"/>
    <w:pPr/>
    <w:rPr>
      <w:rFonts w:ascii="Times New Roman" w:cs="Times New Roman" w:hAnsi="Times New Roman"/>
      <w:sz w:val="18"/>
      <w:szCs w:val="18"/>
    </w:rPr>
  </w:style>
  <w:style w:type="paragraph" w:styleId="Alineas" w:customStyle="1">
    <w:name w:val="alineas"/>
    <w:basedOn w:val="Normal1"/>
    <w:qFormat w:val="1"/>
    <w:rsid w:val="00DD0F04"/>
    <w:pPr>
      <w:spacing w:afterAutospacing="1" w:beforeAutospacing="1"/>
    </w:pPr>
    <w:rPr>
      <w:rFonts w:ascii="Times New Roman" w:cs="Times New Roman" w:hAnsi="Times New Roman"/>
      <w:sz w:val="24"/>
      <w:szCs w:val="24"/>
      <w:lang w:eastAsia="pt-BR" w:val="pt-BR"/>
    </w:rPr>
  </w:style>
  <w:style w:type="paragraph" w:styleId="Subttulo">
    <w:name w:val="Subtitle"/>
    <w:basedOn w:val="Normal1"/>
    <w:next w:val="Normal1"/>
    <w:qFormat w:val="1"/>
    <w:pPr>
      <w:keepNext w:val="1"/>
      <w:keepLines w:val="1"/>
      <w:pageBreakBefore w:val="0"/>
      <w:spacing w:after="80" w:before="360" w:line="240" w:lineRule="auto"/>
    </w:pPr>
    <w:rPr>
      <w:rFonts w:ascii="Georgia" w:cs="Georgia" w:eastAsia="Georgia" w:hAnsi="Georgia"/>
      <w:i w:val="1"/>
      <w:color w:val="666666"/>
      <w:sz w:val="48"/>
      <w:szCs w:val="48"/>
    </w:rPr>
  </w:style>
  <w:style w:type="paragraph" w:styleId="LOnormal">
    <w:name w:val="LO-normal"/>
    <w:qFormat w:val="1"/>
    <w:pPr>
      <w:widowControl w:val="1"/>
      <w:suppressAutoHyphens w:val="1"/>
      <w:bidi w:val="0"/>
      <w:spacing w:after="0" w:before="0"/>
      <w:jc w:val="left"/>
    </w:pPr>
    <w:rPr>
      <w:rFonts w:ascii="Arial" w:cs="Arial" w:eastAsia="Arial" w:hAnsi="Arial"/>
      <w:color w:val="auto"/>
      <w:kern w:val="0"/>
      <w:sz w:val="20"/>
      <w:szCs w:val="20"/>
      <w:lang w:bidi="hi-IN" w:eastAsia="zh-CN" w:val="da-DK"/>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elanormal" w:default="1">
    <w:name w:val="Normal Table"/>
    <w:uiPriority w:val="99"/>
    <w:semiHidden w:val="1"/>
    <w:unhideWhenUsed w:val="1"/>
    <w:tblPr>
      <w:tblCellMar>
        <w:top w:w="0.0" w:type="dxa"/>
        <w:left w:w="108.0" w:type="dxa"/>
        <w:bottom w:w="0.0" w:type="dxa"/>
        <w:right w:w="108.0" w:type="dxa"/>
      </w:tblCellMar>
    </w:tblPr>
  </w:style>
  <w:style w:type="table" w:styleId="Tabelacomgrade">
    <w:name w:val="Table Grid"/>
    <w:basedOn w:val="Tabelanormal"/>
    <w:uiPriority w:val="39"/>
    <w:rsid w:val="004164ED"/>
    <w:rPr>
      <w:sz w:val="20"/>
      <w:szCs w:val="20"/>
      <w:lang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acomgrade1" w:customStyle="1">
    <w:name w:val="Tabela com grade1"/>
    <w:basedOn w:val="Tabelanormal"/>
    <w:uiPriority w:val="39"/>
    <w:rsid w:val="00C35A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1FzzzVtqX98657hwLTum/9qbgw==">CgMxLjA4AHIhMUhqZmdjeUVyR2V5ZzdJWWRmeEZsTlJyMWFXUDNFaEVS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2021-08-18T17:11:00Z</dcterms:created>
  <dc:creator>Gilberto Endrio</dc:creator>
</cp:coreProperties>
</file>