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96.0" w:type="dxa"/>
        <w:jc w:val="left"/>
        <w:tblInd w:w="-645.0" w:type="dxa"/>
        <w:tblLayout w:type="fixed"/>
        <w:tblLook w:val="0400"/>
      </w:tblPr>
      <w:tblGrid>
        <w:gridCol w:w="9996"/>
        <w:tblGridChange w:id="0">
          <w:tblGrid>
            <w:gridCol w:w="999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Indicação do Procedimento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1. Objetivo: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Padronizar 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uso e a administração segura de medicamentos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no ambiente odontológico, garantindo a prescrição correta, preparo adequado, administração segura e monitoramento do paciente, com foco na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segurança do paciente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prevenção de eventos adversos e conformidade com a legislação sanitária vigente.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pStyle w:val="Heading2"/>
              <w:keepNext w:val="0"/>
              <w:keepLines w:val="0"/>
              <w:widowControl w:val="0"/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2. Campo de Aplicação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Aplica-se 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todos os profissionais habilitados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envolvidos na prescrição, preparo, administração e monitoramento de medicamentos utilizados em procedimentos odontológicos, incluindo anestésicos locais, analgésicos, anti-inflamatórios, antibióticos, medicamentos de urgência e medicamentos de uso estético, quando permitido.</w:t>
            </w:r>
          </w:p>
          <w:p w:rsidR="00000000" w:rsidDel="00000000" w:rsidP="00000000" w:rsidRDefault="00000000" w:rsidRPr="00000000" w14:paraId="00000007">
            <w:pPr>
              <w:pStyle w:val="Heading3"/>
              <w:keepNext w:val="0"/>
              <w:keepLines w:val="0"/>
              <w:widowControl w:val="0"/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pStyle w:val="Heading2"/>
              <w:keepNext w:val="0"/>
              <w:keepLines w:val="0"/>
              <w:widowControl w:val="0"/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3. Responsabilidades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Cirurgião-dentista: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prescrever, indicar, supervisionar e responder tecnicamente pelo uso do medicamento.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Auxiliar/Técnico em Saúde Bucal (ASB/TSB):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preparar, administrar (quando autorizado), registrar e monitorar o paciente.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Responsável Técnico: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garantir protocolos atualizados, treinamento da equipe e controle de medicamentos.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Equipe de apoio: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comunicar intercorrências e eventos adversos.</w:t>
            </w:r>
          </w:p>
          <w:p w:rsidR="00000000" w:rsidDel="00000000" w:rsidP="00000000" w:rsidRDefault="00000000" w:rsidRPr="00000000" w14:paraId="000000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pStyle w:val="Heading2"/>
              <w:keepNext w:val="0"/>
              <w:keepLines w:val="0"/>
              <w:widowControl w:val="0"/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4. Definições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Medicamento: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produto farmacêutico utilizado para prevenção, diagnóstico, tratamento ou alívio de sintomas.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Prescrição: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indicação formal do medicamento, dose, via, intervalo e duração.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Administração: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ato de introduzir o medicamento no organismo pela via prescrita.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Evento adverso: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qualquer ocorrência indesejada associada ao uso de medicamento.</w:t>
            </w:r>
          </w:p>
          <w:p w:rsidR="00000000" w:rsidDel="00000000" w:rsidP="00000000" w:rsidRDefault="00000000" w:rsidRPr="00000000" w14:paraId="00000013">
            <w:pPr>
              <w:pStyle w:val="Heading3"/>
              <w:keepNext w:val="0"/>
              <w:keepLines w:val="0"/>
              <w:widowControl w:val="0"/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pStyle w:val="Heading2"/>
              <w:keepNext w:val="0"/>
              <w:keepLines w:val="0"/>
              <w:widowControl w:val="0"/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5. Procedimento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Style w:val="Heading3"/>
              <w:keepNext w:val="0"/>
              <w:keepLines w:val="0"/>
              <w:widowControl w:val="0"/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5.1 Antes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Conferir prescrição quanto a medicamento, dose, via, horário e paciente.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Verificar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histórico médico, alergias, uso de outros medicamentos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e contraindicações.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Conferir validade, integridade da embalagem e condições de armazenamento.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Realizar higienização das mãos e paramentação com EPIs.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Orientar o paciente sobre o medicamento a ser administrado.</w:t>
            </w:r>
          </w:p>
          <w:p w:rsidR="00000000" w:rsidDel="00000000" w:rsidP="00000000" w:rsidRDefault="00000000" w:rsidRPr="00000000" w14:paraId="0000001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pStyle w:val="Heading3"/>
              <w:keepNext w:val="0"/>
              <w:keepLines w:val="0"/>
              <w:widowControl w:val="0"/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5.2 Durante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Preparar o medicamento conforme orientação do fabricante e prescrição.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Utilizar técnica asséptica durante o preparo e administração.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Administrar o medicamento pela via prescrita (oral, tópica, infiltrativa, intramuscular, subcutânea).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Observar o paciente durante e imediatamente após a administração.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Manter materiais de emergência disponíveis.</w:t>
            </w:r>
          </w:p>
          <w:p w:rsidR="00000000" w:rsidDel="00000000" w:rsidP="00000000" w:rsidRDefault="00000000" w:rsidRPr="00000000" w14:paraId="000000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pStyle w:val="Heading3"/>
              <w:keepNext w:val="0"/>
              <w:keepLines w:val="0"/>
              <w:widowControl w:val="0"/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5.3 Após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Registrar no prontuário todas as informações do medicamento administrado.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Monitorar o paciente quanto a reações adversas.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Fornecer orientações pós-administração, quando aplicável.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Realizar descarte correto de materiais perfurocortantes e resíduos.</w:t>
            </w:r>
          </w:p>
          <w:p w:rsidR="00000000" w:rsidDel="00000000" w:rsidP="00000000" w:rsidRDefault="00000000" w:rsidRPr="00000000" w14:paraId="0000002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spacing w:after="0" w:line="276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pStyle w:val="Heading3"/>
              <w:keepNext w:val="0"/>
              <w:keepLines w:val="0"/>
              <w:widowControl w:val="0"/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5.3 Após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Registrar no prontuário todas as informações do medicamento administrado.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Monitorar o paciente quanto a reações adversas.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Fornecer orientações pós-administração, quando aplicável.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Realizar descarte correto de materiais perfurocortantes e resíduos.</w:t>
            </w:r>
          </w:p>
          <w:p w:rsidR="00000000" w:rsidDel="00000000" w:rsidP="00000000" w:rsidRDefault="00000000" w:rsidRPr="00000000" w14:paraId="0000002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pStyle w:val="Heading2"/>
              <w:keepNext w:val="0"/>
              <w:keepLines w:val="0"/>
              <w:widowControl w:val="0"/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6. Materiais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Medicamentos prescritos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Seringas e agulhas descartáveis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Algodão, gaze e antissépticos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EPIs (luvas, máscara, óculos, avental)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Bandeja clínica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Recipientes para descarte de resíduos e perfurocortantes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Ficha de emergência</w:t>
            </w:r>
          </w:p>
          <w:p w:rsidR="00000000" w:rsidDel="00000000" w:rsidP="00000000" w:rsidRDefault="00000000" w:rsidRPr="00000000" w14:paraId="0000003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pStyle w:val="Heading2"/>
              <w:keepNext w:val="0"/>
              <w:keepLines w:val="0"/>
              <w:widowControl w:val="0"/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7. Registros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Registro no prontuário do paciente (medicamento, dose, via, horário e responsável)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Registro de intercorrências e eventos adversos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Controle de medicamentos utilizados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Ficha de acompanhamento pós-administração</w:t>
            </w:r>
          </w:p>
          <w:p w:rsidR="00000000" w:rsidDel="00000000" w:rsidP="00000000" w:rsidRDefault="00000000" w:rsidRPr="00000000" w14:paraId="0000003D">
            <w:pPr>
              <w:widowControl w:val="0"/>
              <w:spacing w:after="0" w:line="276" w:lineRule="auto"/>
              <w:ind w:left="72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pStyle w:val="Heading2"/>
              <w:keepNext w:val="0"/>
              <w:keepLines w:val="0"/>
              <w:widowControl w:val="0"/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8. Ações em Caso de Não Conformidade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Suspender imediatamente a administração em caso de erro ou reação adversa.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Prestar atendimento de urgência conforme protocolo institucional.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Comunicar o cirurgião-dentista responsável.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Registrar o ocorrido no prontuário e no sistema de notificação, quando aplicável.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Reavaliar o processo e realizar treinamento corretivo da equipe.</w:t>
            </w:r>
          </w:p>
          <w:p w:rsidR="00000000" w:rsidDel="00000000" w:rsidP="00000000" w:rsidRDefault="00000000" w:rsidRPr="00000000" w14:paraId="0000004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pStyle w:val="Heading2"/>
              <w:keepNext w:val="0"/>
              <w:keepLines w:val="0"/>
              <w:widowControl w:val="0"/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9. Referências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ANVISA – RDC nº 1002/2025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– Serviços de Odontologia.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ANVISA – RDC nº 63/2011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– Boas práticas em serviços de saúde.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ANVISA – RDC nº 222/2018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– Gerenciamento de resíduos de serviços de saúde.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NR-32 – Ministério do Trabalho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– Segurança e saúde em serviços de saúde.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Conselho Federal de Odontologia (CFO)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– Código de Ética Odontológica, 2023.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Ministério da Saúde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– Protocolos de Segurança do Paciente, 2022.</w:t>
            </w:r>
          </w:p>
          <w:p w:rsidR="00000000" w:rsidDel="00000000" w:rsidP="00000000" w:rsidRDefault="00000000" w:rsidRPr="00000000" w14:paraId="0000004C">
            <w:pPr>
              <w:pStyle w:val="Heading2"/>
              <w:keepNext w:val="0"/>
              <w:keepLines w:val="0"/>
              <w:widowControl w:val="0"/>
              <w:spacing w:after="0" w:before="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75.0" w:type="dxa"/>
        <w:jc w:val="left"/>
        <w:tblInd w:w="-626.0" w:type="dxa"/>
        <w:tblLayout w:type="fixed"/>
        <w:tblLook w:val="0400"/>
      </w:tblPr>
      <w:tblGrid>
        <w:gridCol w:w="3450"/>
        <w:gridCol w:w="2820"/>
        <w:gridCol w:w="3705"/>
        <w:tblGridChange w:id="0">
          <w:tblGrid>
            <w:gridCol w:w="3450"/>
            <w:gridCol w:w="2820"/>
            <w:gridCol w:w="37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POP ELABORADO POR: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POP REVISADO POR: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DATA DE APROVAÇÃO DO POP: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rtl w:val="0"/>
              </w:rPr>
              <w:t xml:space="preserve">Nome:</w:t>
            </w:r>
          </w:p>
          <w:p w:rsidR="00000000" w:rsidDel="00000000" w:rsidP="00000000" w:rsidRDefault="00000000" w:rsidRPr="00000000" w14:paraId="0000005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rtl w:val="0"/>
              </w:rPr>
              <w:t xml:space="preserve">Assinatura: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rtl w:val="0"/>
              </w:rPr>
              <w:t xml:space="preserve">Nome:</w:t>
            </w:r>
          </w:p>
          <w:p w:rsidR="00000000" w:rsidDel="00000000" w:rsidP="00000000" w:rsidRDefault="00000000" w:rsidRPr="00000000" w14:paraId="0000005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rtl w:val="0"/>
              </w:rPr>
              <w:t xml:space="preserve">Assinatura: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________/______/___________</w:t>
            </w:r>
          </w:p>
        </w:tc>
      </w:tr>
    </w:tbl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417" w:top="1417" w:left="1701" w:right="1701" w:header="708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okmarkStart w:colFirst="0" w:colLast="0" w:name="bookmark=id.1v3o6ce4mti2" w:id="0"/>
  <w:bookmarkEnd w:id="0"/>
  <w:p w:rsidR="00000000" w:rsidDel="00000000" w:rsidP="00000000" w:rsidRDefault="00000000" w:rsidRPr="00000000" w14:paraId="0000007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before="240" w:line="240" w:lineRule="auto"/>
      <w:jc w:val="center"/>
      <w:rPr>
        <w:rFonts w:ascii="Arial" w:cs="Arial" w:eastAsia="Arial" w:hAnsi="Arial"/>
        <w:i w:val="1"/>
        <w:iCs w:val="1"/>
        <w:color w:val="808080"/>
        <w:sz w:val="16"/>
        <w:szCs w:val="16"/>
      </w:rPr>
    </w:pPr>
    <w:r w:rsidDel="00000000" w:rsidR="00000000" w:rsidRPr="00000000">
      <w:rPr>
        <w:rFonts w:ascii="Arial" w:cs="Arial" w:eastAsia="Arial" w:hAnsi="Arial"/>
        <w:b w:val="1"/>
        <w:bCs w:val="1"/>
        <w:i w:val="1"/>
        <w:iCs w:val="1"/>
        <w:color w:val="808080"/>
        <w:sz w:val="16"/>
        <w:szCs w:val="16"/>
        <w:rtl w:val="0"/>
      </w:rPr>
      <w:t xml:space="preserve">Nota:</w:t>
    </w:r>
    <w:r w:rsidDel="00000000" w:rsidR="00000000" w:rsidRPr="00000000">
      <w:rPr>
        <w:rFonts w:ascii="Arial" w:cs="Arial" w:eastAsia="Arial" w:hAnsi="Arial"/>
        <w:i w:val="1"/>
        <w:iCs w:val="1"/>
        <w:color w:val="808080"/>
        <w:sz w:val="16"/>
        <w:szCs w:val="16"/>
        <w:rtl w:val="0"/>
      </w:rPr>
      <w:t xml:space="preserve"> Este POP deve ser revisado e atualizado periodicamente para assegurar conformidade com as normas vigentes e práticas recomendadas.</w:t>
    </w:r>
  </w:p>
  <w:p w:rsidR="00000000" w:rsidDel="00000000" w:rsidP="00000000" w:rsidRDefault="00000000" w:rsidRPr="00000000" w14:paraId="0000007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40" w:line="276" w:lineRule="auto"/>
      <w:rPr>
        <w:rFonts w:ascii="Arial" w:cs="Arial" w:eastAsia="Arial" w:hAnsi="Arial"/>
        <w:i w:val="1"/>
        <w:iCs w:val="1"/>
        <w:color w:val="808080"/>
        <w:sz w:val="16"/>
        <w:szCs w:val="16"/>
      </w:rPr>
    </w:pPr>
    <w:r w:rsidDel="00000000" w:rsidR="00000000" w:rsidRPr="00000000">
      <w:rPr>
        <w:rFonts w:ascii="Arial" w:cs="Arial" w:eastAsia="Arial" w:hAnsi="Arial"/>
        <w:i w:val="1"/>
        <w:iCs w:val="1"/>
        <w:color w:val="808080"/>
        <w:sz w:val="16"/>
        <w:szCs w:val="16"/>
        <w:rtl w:val="0"/>
      </w:rPr>
      <w:t xml:space="preserve"> </w:t>
    </w:r>
  </w:p>
  <w:p w:rsidR="00000000" w:rsidDel="00000000" w:rsidP="00000000" w:rsidRDefault="00000000" w:rsidRPr="00000000" w14:paraId="0000007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rFonts w:ascii="Arial" w:cs="Arial" w:eastAsia="Arial" w:hAnsi="Arial"/>
        <w:color w:val="000000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3"/>
      <w:tblW w:w="10035.0" w:type="dxa"/>
      <w:jc w:val="left"/>
      <w:tblInd w:w="-714.0" w:type="dxa"/>
      <w:tblLayout w:type="fixed"/>
      <w:tblLook w:val="0400"/>
    </w:tblPr>
    <w:tblGrid>
      <w:gridCol w:w="3360"/>
      <w:gridCol w:w="3345"/>
      <w:gridCol w:w="3330"/>
      <w:tblGridChange w:id="0">
        <w:tblGrid>
          <w:gridCol w:w="3360"/>
          <w:gridCol w:w="3345"/>
          <w:gridCol w:w="3330"/>
        </w:tblGrid>
      </w:tblGridChange>
    </w:tblGrid>
    <w:tr>
      <w:trPr>
        <w:cantSplit w:val="0"/>
        <w:trHeight w:val="253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0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after="0" w:line="240" w:lineRule="auto"/>
            <w:jc w:val="center"/>
            <w:rPr>
              <w:rFonts w:ascii="Times New Roman" w:cs="Times New Roman" w:eastAsia="Times New Roman" w:hAnsi="Times New Roman"/>
              <w:color w:val="00000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rtl w:val="0"/>
            </w:rPr>
            <w:t xml:space="preserve">LOGO DA EMPRESA</w:t>
          </w:r>
        </w:p>
      </w:tc>
      <w:tc>
        <w:tcPr>
          <w:gridSpan w:val="2"/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1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after="114" w:before="114" w:line="240" w:lineRule="auto"/>
            <w:jc w:val="center"/>
            <w:rPr>
              <w:rFonts w:ascii="Arial" w:cs="Arial" w:eastAsia="Arial" w:hAnsi="Arial"/>
              <w:b w:val="1"/>
              <w:bCs w:val="1"/>
              <w:color w:val="00000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00000"/>
              <w:rtl w:val="0"/>
            </w:rPr>
            <w:t xml:space="preserve">PROCEDIMENTO OPERACIONAL PADRÃO – POP</w:t>
          </w:r>
        </w:p>
      </w:tc>
    </w:tr>
    <w:tr>
      <w:trPr>
        <w:cantSplit w:val="0"/>
        <w:trHeight w:val="291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91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7">
          <w:pPr>
            <w:pStyle w:val="Heading3"/>
            <w:widowControl w:val="0"/>
            <w:spacing w:after="0" w:before="0" w:lineRule="auto"/>
            <w:ind w:left="720" w:right="1051" w:firstLine="0"/>
            <w:jc w:val="center"/>
            <w:rPr>
              <w:rFonts w:ascii="Arial" w:cs="Arial" w:eastAsia="Arial" w:hAnsi="Arial"/>
              <w:sz w:val="22"/>
              <w:szCs w:val="22"/>
            </w:rPr>
          </w:pPr>
          <w:r w:rsidDel="00000000" w:rsidR="00000000" w:rsidRPr="00000000">
            <w:rPr>
              <w:rtl w:val="0"/>
            </w:rPr>
            <w:t xml:space="preserve">USO E ADMINISTRAÇÃO DE MEDICAMENTOS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91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91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D">
          <w:pPr>
            <w:widowControl w:val="0"/>
            <w:spacing w:after="0" w:line="276" w:lineRule="auto"/>
            <w:rPr>
              <w:rFonts w:ascii="Arial" w:cs="Arial" w:eastAsia="Arial" w:hAnsi="Arial"/>
              <w:b w:val="1"/>
              <w:bCs w:val="1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rtl w:val="0"/>
            </w:rPr>
            <w:t xml:space="preserve">Código: POP-ODO-00X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E">
          <w:pPr>
            <w:widowControl w:val="0"/>
            <w:spacing w:after="0" w:line="240" w:lineRule="auto"/>
            <w:ind w:right="1051"/>
            <w:rPr>
              <w:rFonts w:ascii="Arial" w:cs="Arial" w:eastAsia="Arial" w:hAnsi="Arial"/>
              <w:b w:val="1"/>
              <w:bCs w:val="1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rtl w:val="0"/>
            </w:rPr>
            <w:t xml:space="preserve">Versão: 00X</w:t>
          </w:r>
        </w:p>
      </w:tc>
    </w:tr>
  </w:tbl>
  <w:p w:rsidR="00000000" w:rsidDel="00000000" w:rsidP="00000000" w:rsidRDefault="00000000" w:rsidRPr="00000000" w14:paraId="0000006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ind w:right="360"/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480" w:line="240" w:lineRule="auto"/>
    </w:pPr>
    <w:rPr>
      <w:b w:val="1"/>
      <w:bCs w:val="1"/>
      <w:color w:val="000000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="240" w:lineRule="auto"/>
    </w:pPr>
    <w:rPr>
      <w:b w:val="1"/>
      <w:bCs w:val="1"/>
      <w:color w:val="000000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280" w:line="240" w:lineRule="auto"/>
    </w:pPr>
    <w:rPr>
      <w:b w:val="1"/>
      <w:bCs w:val="1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40" w:line="240" w:lineRule="auto"/>
    </w:pPr>
    <w:rPr>
      <w:b w:val="1"/>
      <w:bCs w:val="1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20" w:line="240" w:lineRule="auto"/>
    </w:pPr>
    <w:rPr>
      <w:b w:val="1"/>
      <w:bCs w:val="1"/>
      <w:color w:val="000000"/>
    </w:rPr>
  </w:style>
  <w:style w:type="paragraph" w:styleId="Heading6">
    <w:name w:val="heading 6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00" w:line="240" w:lineRule="auto"/>
    </w:pPr>
    <w:rPr>
      <w:b w:val="1"/>
      <w:bCs w:val="1"/>
      <w:color w:val="000000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480" w:line="240" w:lineRule="auto"/>
    </w:pPr>
    <w:rPr>
      <w:b w:val="1"/>
      <w:bCs w:val="1"/>
      <w:color w:val="000000"/>
      <w:sz w:val="72"/>
      <w:szCs w:val="7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Smbolosdenumerao" w:customStyle="1">
    <w:name w:val="Símbolos de numeração"/>
    <w:qFormat w:val="1"/>
  </w:style>
  <w:style w:type="character" w:styleId="nfaseforte" w:customStyle="1">
    <w:name w:val="Ênfase forte"/>
    <w:qFormat w:val="1"/>
    <w:rPr>
      <w:b w:val="1"/>
      <w:bCs w:val="1"/>
    </w:rPr>
  </w:style>
  <w:style w:type="character" w:styleId="Marcadores" w:customStyle="1">
    <w:name w:val="Marcadores"/>
    <w:qFormat w:val="1"/>
    <w:rPr>
      <w:rFonts w:ascii="OpenSymbol" w:cs="OpenSymbol" w:eastAsia="OpenSymbol" w:hAnsi="OpenSymbol"/>
    </w:rPr>
  </w:style>
  <w:style w:type="character" w:styleId="nfase">
    <w:name w:val="Emphasis"/>
    <w:qFormat w:val="1"/>
    <w:rPr>
      <w:i w:val="1"/>
      <w:iCs w:val="1"/>
    </w:rPr>
  </w:style>
  <w:style w:type="paragraph" w:styleId="Corpodetexto">
    <w:name w:val="Body Text"/>
    <w:basedOn w:val="LO-normal1"/>
    <w:pPr>
      <w:spacing w:after="140" w:line="276" w:lineRule="auto"/>
    </w:pPr>
  </w:style>
  <w:style w:type="paragraph" w:styleId="Lista">
    <w:name w:val="List"/>
    <w:basedOn w:val="Corpodetexto"/>
    <w:rPr>
      <w:rFonts w:cs="Arial"/>
    </w:rPr>
  </w:style>
  <w:style w:type="paragraph" w:styleId="Legenda">
    <w:name w:val="caption"/>
    <w:basedOn w:val="LO-normal1"/>
    <w:qFormat w:val="1"/>
    <w:pPr>
      <w:suppressLineNumbers w:val="1"/>
      <w:spacing w:after="120" w:before="120"/>
    </w:pPr>
    <w:rPr>
      <w:rFonts w:cs="Arial"/>
      <w:i w:val="1"/>
      <w:iCs w:val="1"/>
      <w:sz w:val="24"/>
      <w:szCs w:val="24"/>
    </w:rPr>
  </w:style>
  <w:style w:type="paragraph" w:styleId="ndice" w:customStyle="1">
    <w:name w:val="Índice"/>
    <w:basedOn w:val="LO-normal1"/>
    <w:qFormat w:val="1"/>
    <w:pPr>
      <w:suppressLineNumbers w:val="1"/>
    </w:pPr>
    <w:rPr>
      <w:rFonts w:cs="Arial"/>
    </w:rPr>
  </w:style>
  <w:style w:type="paragraph" w:styleId="LO-normal1" w:customStyle="1">
    <w:name w:val="LO-normal1"/>
    <w:qFormat w:val="1"/>
  </w:style>
  <w:style w:type="paragraph" w:styleId="LO-normal" w:customStyle="1">
    <w:name w:val="LO-normal"/>
    <w:qFormat w:val="1"/>
  </w:style>
  <w:style w:type="paragraph" w:styleId="TableParagraph" w:customStyle="1">
    <w:name w:val="Table Paragraph"/>
    <w:basedOn w:val="LO-normal"/>
    <w:uiPriority w:val="1"/>
    <w:qFormat w:val="1"/>
    <w:rsid w:val="00683D4C"/>
    <w:pPr>
      <w:widowControl w:val="0"/>
      <w:spacing w:after="0" w:line="240" w:lineRule="auto"/>
    </w:pPr>
    <w:rPr>
      <w:rFonts w:ascii="Caladea" w:cs="Caladea" w:eastAsia="Caladea" w:hAnsi="Caladea"/>
      <w:lang w:val="es-ES"/>
    </w:rPr>
  </w:style>
  <w:style w:type="paragraph" w:styleId="PargrafodaLista">
    <w:name w:val="List Paragraph"/>
    <w:basedOn w:val="LO-normal"/>
    <w:uiPriority w:val="34"/>
    <w:qFormat w:val="1"/>
    <w:rsid w:val="000421EB"/>
    <w:pPr>
      <w:ind w:left="720"/>
      <w:contextualSpacing w:val="1"/>
    </w:pPr>
  </w:style>
  <w:style w:type="paragraph" w:styleId="CabealhoeRodap" w:customStyle="1">
    <w:name w:val="Cabeçalho e Rodapé"/>
    <w:basedOn w:val="LO-normal1"/>
    <w:qFormat w:val="1"/>
  </w:style>
  <w:style w:type="paragraph" w:styleId="Cabealho">
    <w:name w:val="header"/>
    <w:basedOn w:val="CabealhoeRodap"/>
  </w:style>
  <w:style w:type="paragraph" w:styleId="Rodap">
    <w:name w:val="footer"/>
    <w:basedOn w:val="CabealhoeRodap"/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uiPriority w:val="2"/>
    <w:semiHidden w:val="1"/>
    <w:unhideWhenUsed w:val="1"/>
    <w:qFormat w:val="1"/>
    <w:rsid w:val="00683D4C"/>
    <w:rPr>
      <w:lang w:val="en-US"/>
    </w:rPr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elacomgrade">
    <w:name w:val="Table Grid"/>
    <w:basedOn w:val="Tabelanormal"/>
    <w:uiPriority w:val="39"/>
    <w:rsid w:val="00276E13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unhideWhenUsed w:val="1"/>
    <w:rsid w:val="00127D2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Forte">
    <w:name w:val="Strong"/>
    <w:basedOn w:val="Fontepargpadro"/>
    <w:uiPriority w:val="22"/>
    <w:qFormat w:val="1"/>
    <w:rsid w:val="00127D2E"/>
    <w:rPr>
      <w:b w:val="1"/>
      <w:bCs w:val="1"/>
    </w:rPr>
  </w:style>
  <w:style w:type="table" w:styleId="a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="24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ZiS0b0x8S/bwsdhrb0z1t22tdA==">CgMxLjAyD2lkLjF2M282Y2U0bXRpMjgAciExaUU1U0hWZm5ac2VpVy14ZlNQUUx6Y0JuNzdKaWQ3V2k=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2022-01-09T15:01:00Z</dcterms:created>
  <dc:creator>Gilberto Endrio</dc:creator>
</cp:coreProperties>
</file>