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0F1F3D"/>
          <w:sz w:val="40"/>
          <w:szCs w:val="40"/>
        </w:rPr>
        <w:t xml:space="preserve">⚖️ Ponderaciones del Balanced Scorecard</w:t>
      </w:r>
    </w:p>
    <w:p>
      <w:pPr>
        <w:spacing w:after="40"/>
      </w:pPr>
      <w:r>
        <w:rPr>
          <w:b/>
          <w:bCs/>
          <w:color w:val="1A6CF0"/>
          <w:sz w:val="26"/>
          <w:szCs w:val="26"/>
        </w:rPr>
        <w:t xml:space="preserve">Sistema Intel Comercial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Peso de cada KPI dentro del tablero. La ponderación de cada KPI ya es su porcentaje directo del 100% total, y los KPIs de cada perspectiva suman el peso de esa perspectiva.</w:t>
      </w:r>
    </w:p>
    <w:p>
      <w:pPr>
        <w:pStyle w:val="Heading1"/>
        <w:spacing w:after="140" w:before="280"/>
      </w:pPr>
      <w:r>
        <w:t xml:space="preserve">Resumen por perspectiva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5860"/>
        <w:gridCol w:w="1750"/>
        <w:gridCol w:w="1750"/>
      </w:tblGrid>
      <w:tr>
        <w:trPr>
          <w:tblHeader/>
        </w:trPr>
        <w:tc>
          <w:tcPr>
            <w:tcW w:type="dxa" w:w="5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Perspectiva</w:t>
            </w:r>
          </w:p>
        </w:tc>
        <w:tc>
          <w:tcPr>
            <w:tcW w:type="dxa" w:w="175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de KPIs</w:t>
            </w:r>
          </w:p>
        </w:tc>
        <w:tc>
          <w:tcPr>
            <w:tcW w:type="dxa" w:w="175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 en BSC</w:t>
            </w:r>
          </w:p>
        </w:tc>
      </w:tr>
      <w:tr>
        <w:tc>
          <w:tcPr>
            <w:tcW w:type="dxa" w:w="5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Incrementar ventas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5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Estrategia de venta por productos</w:t>
            </w:r>
          </w:p>
        </w:tc>
        <w:tc>
          <w:tcPr>
            <w:tcW w:type="dxa" w:w="175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Incrementar clientes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Calidad de entregas</w:t>
            </w:r>
          </w:p>
        </w:tc>
        <w:tc>
          <w:tcPr>
            <w:tcW w:type="dxa" w:w="175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Nuevas oportunidades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Total</w:t>
            </w:r>
          </w:p>
        </w:tc>
        <w:tc>
          <w:tcPr>
            <w:tcW w:type="dxa" w:w="175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1F3D"/>
                <w:sz w:val="20"/>
                <w:szCs w:val="20"/>
              </w:rPr>
              <w:t xml:space="preserve">19</w:t>
            </w:r>
          </w:p>
        </w:tc>
        <w:tc>
          <w:tcPr>
            <w:tcW w:type="dxa" w:w="175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after="140" w:before="280"/>
      </w:pPr>
      <w:r>
        <w:t xml:space="preserve">1. Incrementar ventas — 40% del BSC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Crecimiento de ventas en el periodo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Meta alcanzada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 con incremento de ticket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Primer ticket de cliente nuevo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Tickets únicos atendidos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6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40%</w:t>
            </w:r>
          </w:p>
        </w:tc>
      </w:tr>
    </w:tbl>
    <w:p>
      <w:pPr>
        <w:pStyle w:val="Heading1"/>
        <w:spacing w:after="140" w:before="280"/>
      </w:pPr>
      <w:r>
        <w:t xml:space="preserve">2. Estrategia de venta por productos — 15% del BSC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Promociones aplicadas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 por promociones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type="dxa" w:w="6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1"/>
        <w:spacing w:after="140" w:before="280"/>
      </w:pPr>
      <w:r>
        <w:t xml:space="preserve">3. Incrementar clientes — 30% del BSC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 perdidos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Visitas de atención a clientes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Cobertura de cartera total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Cobertura de clientes nuevos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Nuevos clientes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 recuperados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6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30%</w:t>
            </w:r>
          </w:p>
        </w:tc>
      </w:tr>
    </w:tbl>
    <w:p>
      <w:pPr>
        <w:pStyle w:val="Heading1"/>
        <w:spacing w:after="140" w:before="280"/>
      </w:pPr>
      <w:r>
        <w:t xml:space="preserve">4. Calidad de entregas — 10% del BSC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Cantidad de incidencias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140" w:before="280"/>
      </w:pPr>
      <w:r>
        <w:t xml:space="preserve">5. Nuevas oportunidades — 5% del BSC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Ponderación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Tasa de conversión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Cotizaciones realizadas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6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Visitas realizadas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68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Leads generados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68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1F3D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6CF0"/>
                <w:sz w:val="20"/>
                <w:szCs w:val="20"/>
              </w:rPr>
              <w:t xml:space="preserve">5%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color w:val="0F1F3D"/>
          <w:sz w:val="22"/>
          <w:szCs w:val="22"/>
        </w:rPr>
        <w:t xml:space="preserve">Cómo se calcula la calificación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La columna "Calificación" de cada KPI = Ponderación × (vs Meta, con tope de 100%).</w:t>
      </w:r>
    </w:p>
    <w:p>
      <w:pPr>
        <w:spacing w:after="120"/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t xml:space="preserve">Ejemplos: "Meta alcanzada" pesa 12% y logró 92.31% → 11.1%. "Crecimiento de ventas" pesa 10%, pero como su avance fue negativo se topa en 0% → 0.0%.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0F1F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Ponderaciones del Balanced Scorecard</dc:title>
  <dc:creator>Sistema Intel Comercial</dc:creator>
  <cp:lastModifiedBy>Un-named</cp:lastModifiedBy>
  <cp:revision>1</cp:revision>
  <dcterms:created xsi:type="dcterms:W3CDTF">2026-07-30T21:34:11.354Z</dcterms:created>
  <dcterms:modified xsi:type="dcterms:W3CDTF">2026-07-30T21:34:11.355Z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