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jdgxs"/>
      <w:bookmarkEnd w:id="0"/>
      <w:r>
        <w:rPr/>
        <w:t>Lista de Características</w:t>
      </w:r>
    </w:p>
    <w:p>
      <w:pPr>
        <w:pStyle w:val="Subttulo"/>
        <w:rPr/>
      </w:pPr>
      <w:bookmarkStart w:id="1" w:name="_30j0zll"/>
      <w:bookmarkEnd w:id="1"/>
      <w:r>
        <w:rPr/>
        <w:t>(P)rioridade X (E)sforço X (R)isco X (B)aseline</w:t>
      </w:r>
    </w:p>
    <w:tbl>
      <w:tblPr>
        <w:tblStyle w:val="Table1"/>
        <w:tblW w:w="9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98"/>
        <w:gridCol w:w="5403"/>
        <w:gridCol w:w="880"/>
        <w:gridCol w:w="878"/>
        <w:gridCol w:w="900"/>
        <w:gridCol w:w="880"/>
      </w:tblGrid>
      <w:tr>
        <w:trPr>
          <w:trHeight w:val="315" w:hRule="atLeast"/>
        </w:trPr>
        <w:tc>
          <w:tcPr>
            <w:tcW w:w="6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Sistema WEB</w:t>
            </w:r>
          </w:p>
        </w:tc>
        <w:tc>
          <w:tcPr>
            <w:tcW w:w="880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878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00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880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</w:rPr>
              <w:t>Gestão de Trajes a Rigor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Consulta de Trajes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Locar Trajes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Cancelamento de Locação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sz w:val="22"/>
                <w:szCs w:val="22"/>
              </w:rPr>
              <w:t>Manutenção da Ficha de Medidas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</w:rPr>
              <w:t>Manutenção do Contrato de Locação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de Inventario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Resumo das Locações em movimento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Resumo das Devoluções Pendentes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Fechamento de locações não retiradas no prazo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Avisos via WhatsApp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U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6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403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Avisos via e-mail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U</w:t>
            </w:r>
          </w:p>
        </w:tc>
        <w:tc>
          <w:tcPr>
            <w:tcW w:w="878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Onormal1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>
      <w:pPr>
        <w:pStyle w:val="LO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LO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LO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LOnormal1"/>
        <w:ind w:left="1279" w:hanging="285"/>
        <w:rPr/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LibreOffice/6.4.3.2$Windows_X86_64 LibreOffice_project/747b5d0ebf89f41c860ec2a39efd7cb15b54f2d8</Application>
  <Pages>1</Pages>
  <Words>268</Words>
  <Characters>1230</Characters>
  <CharactersWithSpaces>1389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2020-11-11T05:26:21Z</dcterms:modified>
  <cp:revision>4</cp:revision>
  <dc:subject/>
  <dc:title/>
</cp:coreProperties>
</file>