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Toc454119879"/>
      <w:bookmarkStart w:id="1" w:name="_Ref436641646"/>
      <w:r>
        <w:rPr>
          <w:rFonts w:ascii="Arial" w:hAnsi="Arial"/>
          <w:b/>
          <w:bCs/>
          <w:lang w:val="x-none"/>
        </w:rPr>
        <w:t>Requisitos do Sistema</w:t>
      </w:r>
      <w:r>
        <w:rPr>
          <w:rFonts w:ascii="Arial" w:hAnsi="Arial"/>
          <w:b/>
          <w:bCs/>
        </w:rPr>
        <w:t xml:space="preserve"> x Característica</w:t>
      </w:r>
      <w:bookmarkEnd w:id="0"/>
      <w:bookmarkEnd w:id="1"/>
    </w:p>
    <w:tbl>
      <w:tblPr>
        <w:tblW w:w="59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10"/>
        <w:gridCol w:w="3543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t>Característica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t>Requisito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CAR01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</w:t>
            </w:r>
            <w:r>
              <w:rPr>
                <w:rFonts w:ascii="Arial" w:hAnsi="Arial"/>
              </w:rPr>
              <w:t>2, SSS03, SSS12, SSS16, SSS19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CAR02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SSS01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CAR03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SSS0</w:t>
            </w:r>
            <w:r>
              <w:rPr>
                <w:rFonts w:ascii="Arial" w:hAnsi="Arial"/>
              </w:rPr>
              <w:t>4, SSS06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CAR04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</w:rPr>
              <w:t>SSS0</w:t>
            </w:r>
            <w:r>
              <w:rPr>
                <w:rFonts w:ascii="Arial" w:hAnsi="Arial"/>
              </w:rPr>
              <w:t>4, SSS05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CAR05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15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CAR06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07, SSS08, SSS11, SSS15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CAR07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10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CAR08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SSS08, </w:t>
            </w:r>
            <w:r>
              <w:rPr>
                <w:rFonts w:ascii="Arial" w:hAnsi="Arial"/>
              </w:rPr>
              <w:t>SSS07, SSS09, SSS20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CAR09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17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CAR10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17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CAR11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10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CAR12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>SSS</w:t>
            </w:r>
            <w:r>
              <w:rPr>
                <w:rFonts w:ascii="Arial" w:hAnsi="Arial"/>
                <w:lang w:val="en-US"/>
              </w:rPr>
              <w:t>14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CAR13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SSS1</w:t>
            </w:r>
            <w:r>
              <w:rPr>
                <w:rFonts w:ascii="Arial" w:hAnsi="Arial"/>
              </w:rPr>
              <w:t>4</w:t>
            </w:r>
          </w:p>
        </w:tc>
      </w:tr>
      <w:tr>
        <w:trPr>
          <w:cantSplit w:val="true"/>
        </w:trPr>
        <w:tc>
          <w:tcPr>
            <w:tcW w:w="241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CAR14</w:t>
            </w:r>
          </w:p>
        </w:tc>
        <w:tc>
          <w:tcPr>
            <w:tcW w:w="3543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</w:rPr>
              <w:t>SSS</w:t>
            </w:r>
            <w:r>
              <w:rPr>
                <w:rFonts w:ascii="Arial" w:hAnsi="Arial"/>
              </w:rPr>
              <w:t>14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  <w:bookmarkStart w:id="2" w:name="_Toc454119872"/>
      <w:bookmarkStart w:id="3" w:name="_Ref444596324"/>
      <w:bookmarkStart w:id="4" w:name="_Toc454119872"/>
      <w:bookmarkStart w:id="5" w:name="_Ref444596324"/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Assinatura"/>
        <w:jc w:val="left"/>
        <w:rPr>
          <w:rFonts w:ascii="Arial" w:hAnsi="Arial"/>
        </w:rPr>
      </w:pPr>
      <w:bookmarkStart w:id="6" w:name="_Toc454119872"/>
      <w:bookmarkStart w:id="7" w:name="_Ref444596324"/>
      <w:bookmarkStart w:id="8" w:name="_GoBack"/>
      <w:bookmarkEnd w:id="8"/>
      <w:r>
        <w:rPr>
          <w:rFonts w:ascii="Arial" w:hAnsi="Arial"/>
        </w:rPr>
        <w:br/>
        <w:br/>
        <w:br/>
        <w:br/>
        <w:br/>
        <w:t>Lista de Características</w:t>
      </w:r>
      <w:bookmarkEnd w:id="6"/>
      <w:bookmarkEnd w:id="7"/>
    </w:p>
    <w:tbl>
      <w:tblPr>
        <w:tblW w:w="9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4"/>
        <w:gridCol w:w="1536"/>
        <w:gridCol w:w="2246"/>
        <w:gridCol w:w="1510"/>
        <w:gridCol w:w="1858"/>
        <w:gridCol w:w="881"/>
      </w:tblGrid>
      <w:tr>
        <w:trPr>
          <w:tblHeader w:val="true"/>
          <w:cantSplit w:val="true"/>
        </w:trPr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ID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Titulo</w:t>
            </w:r>
          </w:p>
        </w:tc>
        <w:tc>
          <w:tcPr>
            <w:tcW w:w="2246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510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Priorização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Complexidade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rPr>
                <w:b/>
                <w:b/>
              </w:rPr>
            </w:pPr>
            <w:r>
              <w:rPr>
                <w:rFonts w:ascii="Arial" w:hAnsi="Arial"/>
                <w:b/>
              </w:rPr>
              <w:t>Risco</w:t>
            </w:r>
          </w:p>
        </w:tc>
      </w:tr>
      <w:tr>
        <w:trPr>
          <w:cantSplit w:val="true"/>
        </w:trPr>
        <w:tc>
          <w:tcPr>
            <w:tcW w:w="994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CAR01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Logar</w:t>
            </w:r>
          </w:p>
        </w:tc>
        <w:tc>
          <w:tcPr>
            <w:tcW w:w="224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Formulário de </w:t>
            </w:r>
            <w:r>
              <w:rPr>
                <w:rFonts w:ascii="Arial" w:hAnsi="Arial"/>
                <w:i/>
                <w:iCs/>
              </w:rPr>
              <w:t xml:space="preserve">login </w:t>
            </w:r>
            <w:r>
              <w:rPr>
                <w:rFonts w:ascii="Arial" w:hAnsi="Arial"/>
              </w:rPr>
              <w:t xml:space="preserve">Este deve ficar disponível para os usuários que já possuem registro. </w:t>
            </w:r>
          </w:p>
        </w:tc>
        <w:tc>
          <w:tcPr>
            <w:tcW w:w="151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Critico</w:t>
            </w:r>
          </w:p>
        </w:tc>
        <w:tc>
          <w:tcPr>
            <w:tcW w:w="1858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881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Médio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CAR02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Cadastrar usuário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Formulário de </w:t>
            </w:r>
            <w:r>
              <w:rPr>
                <w:rFonts w:ascii="Arial" w:hAnsi="Arial"/>
                <w:i/>
                <w:iCs/>
              </w:rPr>
              <w:t>cadastro de usuário.</w:t>
            </w:r>
            <w:r>
              <w:rPr>
                <w:rFonts w:ascii="Arial" w:hAnsi="Arial"/>
              </w:rPr>
              <w:t xml:space="preserve"> Este deve ficar disponível para cadastrar novos usuários.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Critico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CAR03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Atualizar usuário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Formulário para </w:t>
            </w:r>
            <w:r>
              <w:rPr>
                <w:rFonts w:ascii="Arial" w:hAnsi="Arial"/>
                <w:i/>
                <w:iCs/>
              </w:rPr>
              <w:t>atualizar usuário.</w:t>
            </w:r>
            <w:r>
              <w:rPr>
                <w:rFonts w:ascii="Arial" w:hAnsi="Arial"/>
              </w:rPr>
              <w:t xml:space="preserve"> Este deve ficar disponível para atualizar usuários.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Critico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4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CAR0</w:t>
            </w:r>
            <w:r>
              <w:rPr>
                <w:rFonts w:ascii="Arial" w:hAnsi="Arial"/>
                <w:lang w:val="pt-BR"/>
              </w:rPr>
              <w:t>4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Cadastrar clientes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Formulário de </w:t>
            </w:r>
            <w:r>
              <w:rPr>
                <w:rFonts w:ascii="Arial" w:hAnsi="Arial"/>
                <w:i/>
                <w:iCs/>
              </w:rPr>
              <w:t>cadastro de clientes.</w:t>
            </w:r>
            <w:r>
              <w:rPr>
                <w:rFonts w:ascii="Arial" w:hAnsi="Arial"/>
              </w:rPr>
              <w:t xml:space="preserve"> Este deve ficar disponível para cadastrar novos clientes. </w:t>
            </w:r>
          </w:p>
        </w:tc>
        <w:tc>
          <w:tcPr>
            <w:tcW w:w="151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Critico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</w:tr>
      <w:tr>
        <w:trPr>
          <w:cantSplit w:val="true"/>
        </w:trPr>
        <w:tc>
          <w:tcPr>
            <w:tcW w:w="994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CAR05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Atualizar clientes</w:t>
            </w:r>
          </w:p>
        </w:tc>
        <w:tc>
          <w:tcPr>
            <w:tcW w:w="224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Formulário para </w:t>
            </w:r>
            <w:r>
              <w:rPr>
                <w:rFonts w:ascii="Arial" w:hAnsi="Arial"/>
                <w:i/>
                <w:iCs/>
              </w:rPr>
              <w:t>atualizar clientes</w:t>
            </w:r>
            <w:r>
              <w:rPr>
                <w:rFonts w:ascii="Arial" w:hAnsi="Arial"/>
              </w:rPr>
              <w:t xml:space="preserve"> Este deve ficar disponível para atualizar clientes.</w:t>
            </w:r>
          </w:p>
        </w:tc>
        <w:tc>
          <w:tcPr>
            <w:tcW w:w="151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Critico</w:t>
            </w:r>
          </w:p>
        </w:tc>
        <w:tc>
          <w:tcPr>
            <w:tcW w:w="1858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CAR06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Validar Campos de Cadastro 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Validação de campos obrigatórios de cadastro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Importante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CAR0</w:t>
            </w:r>
            <w:r>
              <w:rPr>
                <w:rFonts w:ascii="Arial" w:hAnsi="Arial"/>
                <w:lang w:val="pt-BR"/>
              </w:rPr>
              <w:t>7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Cadastrar serviços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</w:rPr>
              <w:t xml:space="preserve">Formulário de </w:t>
            </w:r>
            <w:r>
              <w:rPr>
                <w:rFonts w:cs="Arial" w:ascii="Arial" w:hAnsi="Arial"/>
                <w:i/>
                <w:iCs/>
                <w:szCs w:val="24"/>
              </w:rPr>
              <w:t xml:space="preserve">cadastro de </w:t>
            </w:r>
            <w:r>
              <w:rPr>
                <w:rFonts w:cs="Arial" w:ascii="Arial" w:hAnsi="Arial"/>
                <w:i/>
                <w:iCs/>
                <w:szCs w:val="24"/>
                <w:lang w:val="pt-BR"/>
              </w:rPr>
              <w:t>ordem de serviço</w:t>
            </w:r>
            <w:r>
              <w:rPr>
                <w:rFonts w:cs="Arial" w:ascii="Arial" w:hAnsi="Arial"/>
                <w:i/>
                <w:iCs/>
                <w:szCs w:val="24"/>
              </w:rPr>
              <w:t>.</w:t>
            </w:r>
            <w:r>
              <w:rPr>
                <w:rFonts w:cs="Arial" w:ascii="Arial" w:hAnsi="Arial"/>
                <w:szCs w:val="24"/>
              </w:rPr>
              <w:t xml:space="preserve"> Este deve ficar disponível para cadastrar nov</w:t>
            </w:r>
            <w:r>
              <w:rPr>
                <w:rFonts w:cs="Arial" w:ascii="Arial" w:hAnsi="Arial"/>
                <w:szCs w:val="24"/>
                <w:lang w:val="pt-BR"/>
              </w:rPr>
              <w:t xml:space="preserve">as ordens de serviços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Critico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CAR08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Atualizar serviço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Formulário </w:t>
            </w:r>
            <w:r>
              <w:rPr>
                <w:rFonts w:cs="Arial" w:ascii="Arial" w:hAnsi="Arial"/>
                <w:szCs w:val="24"/>
                <w:lang w:val="pt-BR"/>
              </w:rPr>
              <w:t>para</w:t>
            </w:r>
            <w:r>
              <w:rPr>
                <w:rFonts w:cs="Arial" w:ascii="Arial" w:hAnsi="Arial"/>
                <w:szCs w:val="24"/>
              </w:rPr>
              <w:t xml:space="preserve"> </w:t>
            </w:r>
            <w:r>
              <w:rPr>
                <w:rFonts w:cs="Arial" w:ascii="Arial" w:hAnsi="Arial"/>
                <w:i/>
                <w:iCs/>
                <w:szCs w:val="24"/>
                <w:lang w:val="pt-BR"/>
              </w:rPr>
              <w:t>atualizar a</w:t>
            </w:r>
            <w:r>
              <w:rPr>
                <w:rFonts w:cs="Arial" w:ascii="Arial" w:hAnsi="Arial"/>
                <w:i/>
                <w:iCs/>
                <w:szCs w:val="24"/>
              </w:rPr>
              <w:t xml:space="preserve"> </w:t>
            </w:r>
            <w:r>
              <w:rPr>
                <w:rFonts w:cs="Arial" w:ascii="Arial" w:hAnsi="Arial"/>
                <w:i/>
                <w:iCs/>
                <w:szCs w:val="24"/>
                <w:lang w:val="pt-BR"/>
              </w:rPr>
              <w:t>ordem de serviço</w:t>
            </w:r>
            <w:r>
              <w:rPr>
                <w:rFonts w:cs="Arial" w:ascii="Arial" w:hAnsi="Arial"/>
                <w:i/>
                <w:iCs/>
                <w:szCs w:val="24"/>
              </w:rPr>
              <w:t>.</w:t>
            </w:r>
            <w:r>
              <w:rPr>
                <w:rFonts w:cs="Arial" w:ascii="Arial" w:hAnsi="Arial"/>
                <w:szCs w:val="24"/>
              </w:rPr>
              <w:t xml:space="preserve"> Este deve ficar disponível para </w:t>
            </w:r>
            <w:r>
              <w:rPr>
                <w:rFonts w:cs="Arial" w:ascii="Arial" w:hAnsi="Arial"/>
                <w:szCs w:val="24"/>
                <w:lang w:val="pt-BR"/>
              </w:rPr>
              <w:t>atualizar ordens de serviços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Critico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CAR0</w:t>
            </w:r>
            <w:r>
              <w:rPr>
                <w:rFonts w:ascii="Arial" w:hAnsi="Arial"/>
                <w:lang w:val="pt-BR"/>
              </w:rPr>
              <w:t>9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Importante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Médio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  <w:lang w:val="pt-BR"/>
              </w:rPr>
              <w:t>10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Atualização real-time assíncrona  </w:t>
            </w:r>
          </w:p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interface do sistema deverá ter carregamento assíncrono, ou seja, as atualizações de dados não dependerão de atualização do navegador 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pt-BR"/>
              </w:rPr>
              <w:t>Importante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Alto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</w:tr>
      <w:tr>
        <w:trPr>
          <w:cantSplit w:val="true"/>
        </w:trPr>
        <w:tc>
          <w:tcPr>
            <w:tcW w:w="994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CAR11</w:t>
            </w:r>
          </w:p>
        </w:tc>
        <w:tc>
          <w:tcPr>
            <w:tcW w:w="153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Perfil de usuário</w:t>
            </w:r>
          </w:p>
        </w:tc>
        <w:tc>
          <w:tcPr>
            <w:tcW w:w="2246" w:type="dxa"/>
            <w:tcBorders/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Controle de informações do usuário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pt-BR"/>
              </w:rPr>
              <w:t>Importante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Alto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Alto</w:t>
            </w:r>
          </w:p>
        </w:tc>
      </w:tr>
      <w:tr>
        <w:trPr>
          <w:cantSplit w:val="true"/>
        </w:trPr>
        <w:tc>
          <w:tcPr>
            <w:tcW w:w="994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CAR12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Integração com a API Google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Consumir dados de rotas disponibilizadas para facilitar os serviços de entrega</w:t>
            </w:r>
          </w:p>
        </w:tc>
        <w:tc>
          <w:tcPr>
            <w:tcW w:w="1510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Importante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881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Alto</w:t>
            </w:r>
          </w:p>
        </w:tc>
      </w:tr>
      <w:tr>
        <w:trPr>
          <w:cantSplit w:val="true"/>
        </w:trPr>
        <w:tc>
          <w:tcPr>
            <w:tcW w:w="994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  <w:lang w:val="pt-BR"/>
              </w:rPr>
              <w:t>13</w:t>
            </w:r>
          </w:p>
        </w:tc>
        <w:tc>
          <w:tcPr>
            <w:tcW w:w="153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246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Importante</w:t>
            </w:r>
          </w:p>
        </w:tc>
        <w:tc>
          <w:tcPr>
            <w:tcW w:w="1858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Médio</w:t>
            </w:r>
          </w:p>
        </w:tc>
      </w:tr>
      <w:tr>
        <w:trPr>
          <w:cantSplit w:val="true"/>
        </w:trPr>
        <w:tc>
          <w:tcPr>
            <w:tcW w:w="994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</w:rPr>
              <w:t>CAR</w:t>
            </w:r>
            <w:r>
              <w:rPr>
                <w:rFonts w:ascii="Arial" w:hAnsi="Arial"/>
                <w:lang w:val="pt-BR"/>
              </w:rPr>
              <w:t>14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Listar ordem de serviço no mobile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TCCTextodeTabela"/>
              <w:spacing w:before="60" w:after="60"/>
              <w:jc w:val="left"/>
              <w:rPr>
                <w:rFonts w:cs="Arial"/>
                <w:szCs w:val="24"/>
                <w:lang w:val="pt-BR"/>
              </w:rPr>
            </w:pPr>
            <w:r>
              <w:rPr>
                <w:rFonts w:cs="Arial" w:ascii="Arial" w:hAnsi="Arial"/>
                <w:szCs w:val="24"/>
                <w:lang w:val="pt-BR"/>
              </w:rPr>
              <w:t>O mensageiro tem acesso a lista das ordens de serviço disponível em seu dispositivo móvel</w:t>
            </w:r>
          </w:p>
        </w:tc>
        <w:tc>
          <w:tcPr>
            <w:tcW w:w="1510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Importante</w:t>
            </w:r>
          </w:p>
        </w:tc>
        <w:tc>
          <w:tcPr>
            <w:tcW w:w="1858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Baixo</w:t>
            </w:r>
          </w:p>
        </w:tc>
        <w:tc>
          <w:tcPr>
            <w:tcW w:w="881" w:type="dxa"/>
            <w:tcBorders/>
            <w:shd w:color="000000" w:fill="FFFFFF" w:val="clear"/>
          </w:tcPr>
          <w:p>
            <w:pPr>
              <w:pStyle w:val="TCCTextodeTabela"/>
              <w:spacing w:before="60" w:after="60"/>
              <w:jc w:val="left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Médio</w:t>
            </w:r>
          </w:p>
        </w:tc>
      </w:tr>
    </w:tbl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0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76c4e"/>
    <w:rPr>
      <w:rFonts w:ascii="Segoe UI" w:hAnsi="Segoe UI" w:cs="Segoe UI"/>
      <w:sz w:val="18"/>
      <w:szCs w:val="18"/>
    </w:rPr>
  </w:style>
  <w:style w:type="character" w:styleId="AssinaturaChar" w:customStyle="1">
    <w:name w:val="Assinatura Char"/>
    <w:basedOn w:val="DefaultParagraphFont"/>
    <w:link w:val="Assinatura"/>
    <w:qFormat/>
    <w:rsid w:val="00776c4e"/>
    <w:rPr>
      <w:rFonts w:ascii="Arial" w:hAnsi="Arial" w:eastAsia="Times New Roman" w:cs="Times New Roman"/>
      <w:b/>
      <w:bCs/>
      <w:sz w:val="24"/>
      <w:szCs w:val="24"/>
      <w:lang w:val="x-none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76c4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ssinatura">
    <w:name w:val="Signature"/>
    <w:basedOn w:val="Normal"/>
    <w:next w:val="Normal"/>
    <w:link w:val="AssinaturaChar"/>
    <w:unhideWhenUsed/>
    <w:qFormat/>
    <w:rsid w:val="00776c4e"/>
    <w:pPr>
      <w:spacing w:lineRule="auto" w:line="240" w:before="0" w:after="0"/>
      <w:jc w:val="center"/>
    </w:pPr>
    <w:rPr>
      <w:rFonts w:ascii="Arial" w:hAnsi="Arial" w:eastAsia="Times New Roman" w:cs="Times New Roman"/>
      <w:b/>
      <w:bCs/>
      <w:sz w:val="24"/>
      <w:szCs w:val="24"/>
      <w:lang w:val="x-none" w:eastAsia="x-none"/>
    </w:rPr>
  </w:style>
  <w:style w:type="paragraph" w:styleId="TCCTextodeTabela" w:customStyle="1">
    <w:name w:val="TCC - Texto de Tabela"/>
    <w:basedOn w:val="Normal"/>
    <w:qFormat/>
    <w:rsid w:val="00776c4e"/>
    <w:pPr>
      <w:spacing w:lineRule="auto" w:line="240" w:before="60" w:after="60"/>
      <w:jc w:val="both"/>
    </w:pPr>
    <w:rPr>
      <w:rFonts w:ascii="Arial" w:hAnsi="Arial" w:eastAsia="Times New Roman" w:cs="Times New Roman"/>
      <w:sz w:val="24"/>
      <w:szCs w:val="20"/>
      <w:lang w:val="x-none" w:eastAsia="pt-BR"/>
    </w:rPr>
  </w:style>
  <w:style w:type="paragraph" w:styleId="Default" w:customStyle="1">
    <w:name w:val="Default"/>
    <w:qFormat/>
    <w:rsid w:val="00776c4e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pt-BR" w:val="pt-BR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LibreOffice/6.4.3.2$Windows_X86_64 LibreOffice_project/747b5d0ebf89f41c860ec2a39efd7cb15b54f2d8</Application>
  <Pages>3</Pages>
  <Words>340</Words>
  <Characters>1991</Characters>
  <CharactersWithSpaces>2223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2019-04-15T23:13:00Z</dcterms:created>
  <dc:creator>Alexander Oliveira</dc:creator>
  <dc:description/>
  <dc:language>pt-BR</dc:language>
  <cp:lastModifiedBy/>
  <dcterms:modified xsi:type="dcterms:W3CDTF">2020-09-26T16:16:47Z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pplication">
    <vt:lpwstr>Microsoft Azure Information Protection</vt:lpwstr>
  </property>
  <property fmtid="{D5CDD505-2E9C-101B-9397-08002B2CF9AE}" pid="7" name="MSIP_Label_236020b0-6d69-48c1-9bb5-c586c1062b70_Enabled">
    <vt:lpwstr>True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236020b0-6d69-48c1-9bb5-c586c1062b70_Name">
    <vt:lpwstr>Confidential</vt:lpwstr>
  </property>
  <property fmtid="{D5CDD505-2E9C-101B-9397-08002B2CF9AE}" pid="10" name="MSIP_Label_236020b0-6d69-48c1-9bb5-c586c1062b70_Owner">
    <vt:lpwstr>alexander.oliveira@avanade.com</vt:lpwstr>
  </property>
  <property fmtid="{D5CDD505-2E9C-101B-9397-08002B2CF9AE}" pid="11" name="MSIP_Label_236020b0-6d69-48c1-9bb5-c586c1062b70_SetDate">
    <vt:lpwstr>2019-04-15T23:13:19.5475182Z</vt:lpwstr>
  </property>
  <property fmtid="{D5CDD505-2E9C-101B-9397-08002B2CF9AE}" pid="12" name="MSIP_Label_236020b0-6d69-48c1-9bb5-c586c1062b70_SiteId">
    <vt:lpwstr>cf36141c-ddd7-45a7-b073-111f66d0b30c</vt:lpwstr>
  </property>
  <property fmtid="{D5CDD505-2E9C-101B-9397-08002B2CF9AE}" pid="13" name="MSIP_Label_5fae8262-b78e-4366-8929-a5d6aac95320_Application">
    <vt:lpwstr>Microsoft Azure Information Protection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MSIP_Label_5fae8262-b78e-4366-8929-a5d6aac95320_Name">
    <vt:lpwstr>Recipients Have Full Control</vt:lpwstr>
  </property>
  <property fmtid="{D5CDD505-2E9C-101B-9397-08002B2CF9AE}" pid="17" name="MSIP_Label_5fae8262-b78e-4366-8929-a5d6aac95320_Owner">
    <vt:lpwstr>alexander.oliveira@avanade.com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SetDate">
    <vt:lpwstr>2019-04-15T23:13:19.5475182Z</vt:lpwstr>
  </property>
  <property fmtid="{D5CDD505-2E9C-101B-9397-08002B2CF9AE}" pid="20" name="MSIP_Label_5fae8262-b78e-4366-8929-a5d6aac95320_SiteId">
    <vt:lpwstr>cf36141c-ddd7-45a7-b073-111f66d0b30c</vt:lpwstr>
  </property>
  <property fmtid="{D5CDD505-2E9C-101B-9397-08002B2CF9AE}" pid="21" name="ScaleCrop">
    <vt:bool>0</vt:bool>
  </property>
  <property fmtid="{D5CDD505-2E9C-101B-9397-08002B2CF9AE}" pid="22" name="Sensitivity">
    <vt:lpwstr>Confidential Recipients Have Full Control</vt:lpwstr>
  </property>
  <property fmtid="{D5CDD505-2E9C-101B-9397-08002B2CF9AE}" pid="23" name="ShareDoc">
    <vt:bool>0</vt:bool>
  </property>
</Properties>
</file>