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11B544">
      <w:pPr>
        <w:pStyle w:val="83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 w:line="288" w:lineRule="auto"/>
        <w:ind w:right="0" w:firstLine="0" w:left="0"/>
        <w:rPr/>
      </w:pPr>
      <w:r>
        <w:rPr>
          <w:rFonts w:ascii="Arial" w:hAnsi="Arial" w:eastAsia="Arial" w:cs="Arial"/>
          <w:b/>
          <w:color w:val="005036"/>
          <w:sz w:val="48"/>
        </w:rPr>
        <w:t xml:space="preserve">Práctica 1.</w:t>
      </w:r>
      <w:r>
        <w:rPr>
          <w:rFonts w:ascii="Arial" w:hAnsi="Arial" w:eastAsia="Arial" w:cs="Arial"/>
          <w:sz w:val="48"/>
        </w:rPr>
      </w:r>
    </w:p>
    <w:p w14:paraId="0046B76F">
      <w:pPr>
        <w:pBdr/>
        <w:spacing/>
        <w:ind/>
        <w:rPr>
          <w:b w:val="0"/>
          <w:bCs w:val="0"/>
          <w:sz w:val="32"/>
          <w:szCs w:val="32"/>
        </w:rPr>
      </w:pPr>
      <w:r>
        <w:rPr>
          <w:rFonts w:ascii="Arial" w:hAnsi="Arial" w:eastAsia="Arial" w:cs="Arial"/>
          <w:b w:val="0"/>
          <w:bCs w:val="0"/>
          <w:color w:val="005036"/>
          <w:sz w:val="32"/>
          <w:szCs w:val="32"/>
        </w:rPr>
        <w:t xml:space="preserve">Ruben Santacatalina Pellicer</w:t>
      </w:r>
      <w:r>
        <w:rPr>
          <w:b w:val="0"/>
          <w:bCs w:val="0"/>
          <w:sz w:val="32"/>
          <w:szCs w:val="32"/>
        </w:rPr>
      </w:r>
      <w:r>
        <w:rPr>
          <w:b w:val="0"/>
          <w:bCs w:val="0"/>
          <w:sz w:val="32"/>
          <w:szCs w:val="32"/>
        </w:rPr>
      </w:r>
    </w:p>
    <w:p w14:paraId="72BAC84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3606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38625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3360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62.6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8ECBD93">
      <w:pPr>
        <w:pStyle w:val="89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>
        <w:rPr>
          <w:rFonts w:ascii="Arial" w:hAnsi="Arial" w:eastAsia="Arial" w:cs="Arial"/>
          <w:color w:val="212529"/>
          <w:sz w:val="24"/>
        </w:rPr>
        <w:t xml:space="preserve">Ir a Resource groups → Create.</w:t>
      </w:r>
      <w:r/>
    </w:p>
    <w:p w14:paraId="26EF951F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302848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3.1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DD48393">
      <w:pPr>
        <w:pStyle w:val="896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239" w:before="0"/>
        <w:ind w:right="0"/>
        <w:rPr/>
      </w:pPr>
      <w:r>
        <w:rPr>
          <w:rFonts w:ascii="Arial" w:hAnsi="Arial" w:eastAsia="Arial" w:cs="Arial"/>
          <w:color w:val="212529"/>
          <w:sz w:val="24"/>
        </w:rPr>
        <w:t xml:space="preserve">Añadir estas tags (etiquetas):</w:t>
      </w:r>
      <w:r/>
    </w:p>
    <w:p w14:paraId="41D1E9B0">
      <w:pPr>
        <w:pStyle w:val="896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>
        <w:rPr>
          <w:rFonts w:ascii="Arial" w:hAnsi="Arial" w:eastAsia="Arial" w:cs="Arial"/>
          <w:color w:val="e83e8c"/>
          <w:sz w:val="21"/>
        </w:rPr>
        <w:t xml:space="preserve">project=odoo-migracion</w:t>
      </w:r>
      <w:r/>
    </w:p>
    <w:p w14:paraId="092DB196">
      <w:pPr>
        <w:pStyle w:val="896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>
        <w:rPr>
          <w:rFonts w:ascii="Arial" w:hAnsi="Arial" w:eastAsia="Arial" w:cs="Arial"/>
          <w:color w:val="e83e8c"/>
          <w:sz w:val="21"/>
        </w:rPr>
        <w:t xml:space="preserve">env=dev</w:t>
      </w:r>
      <w:r/>
    </w:p>
    <w:p w14:paraId="652551DF">
      <w:pPr>
        <w:pStyle w:val="896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>
        <w:rPr>
          <w:rFonts w:ascii="Arial" w:hAnsi="Arial" w:eastAsia="Arial" w:cs="Arial"/>
          <w:color w:val="e83e8c"/>
          <w:sz w:val="21"/>
        </w:rPr>
        <w:t xml:space="preserve">owner=equipoX</w:t>
      </w:r>
      <w:r/>
    </w:p>
    <w:p w14:paraId="5B783D6E">
      <w:pPr>
        <w:pStyle w:val="896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>
        <w:rPr>
          <w:rFonts w:ascii="Arial" w:hAnsi="Arial" w:eastAsia="Arial" w:cs="Arial"/>
          <w:color w:val="e83e8c"/>
          <w:sz w:val="21"/>
        </w:rPr>
        <w:t xml:space="preserve">costcenter=dam2</w:t>
      </w:r>
      <w:r/>
    </w:p>
    <w:p w14:paraId="22AC2839">
      <w:pPr>
        <w:pStyle w:val="896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>
        <w:rPr>
          <w:rFonts w:ascii="Arial" w:hAnsi="Arial" w:eastAsia="Arial" w:cs="Arial"/>
          <w:color w:val="e83e8c"/>
          <w:sz w:val="21"/>
        </w:rPr>
        <w:t xml:space="preserve">service=odoo</w:t>
      </w:r>
      <w:r/>
    </w:p>
    <w:p w14:paraId="0BDC4A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/>
      <w:r/>
      <w:r/>
    </w:p>
    <w:p w14:paraId="6636B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/>
      <w:r/>
      <w:r/>
    </w:p>
    <w:p w14:paraId="065C7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/>
      <w:r/>
      <w:r/>
    </w:p>
    <w:p w14:paraId="7494F7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/>
      <w:r/>
      <w:r/>
    </w:p>
    <w:p w14:paraId="61887C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/>
      <w:r/>
      <w:r/>
    </w:p>
    <w:p w14:paraId="0904D524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>
        <w:rPr>
          <w:rFonts w:ascii="Arial" w:hAnsi="Arial" w:eastAsia="Arial" w:cs="Arial"/>
          <w:color w:val="212529"/>
          <w:sz w:val="24"/>
        </w:rPr>
        <w:t xml:space="preserve">Ir a Cost Management + Billing → Budgets → Add.</w:t>
      </w:r>
      <w:r/>
    </w:p>
    <w:p w14:paraId="55C65058">
      <w:pPr>
        <w:pStyle w:val="896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/>
        <w:rPr/>
      </w:pPr>
      <w:r>
        <w:rPr>
          <w:rFonts w:ascii="Arial" w:hAnsi="Arial" w:eastAsia="Arial" w:cs="Arial"/>
          <w:color w:val="212529"/>
          <w:sz w:val="24"/>
        </w:rPr>
        <w:t xml:space="preserve">Alcance: ese Resource Group (no la suscripción entera).</w:t>
      </w:r>
      <w:r/>
      <w:r>
        <w:rPr>
          <w:rFonts w:ascii="Arial" w:hAnsi="Arial" w:eastAsia="Arial" w:cs="Arial"/>
          <w:color w:val="e83e8c"/>
          <w:sz w:val="21"/>
          <w:highlight w:val="none"/>
        </w:rPr>
      </w:r>
      <w:r>
        <w:rPr>
          <w:rFonts w:ascii="Arial" w:hAnsi="Arial" w:eastAsia="Arial" w:cs="Arial"/>
          <w:color w:val="e83e8c"/>
          <w:sz w:val="21"/>
          <w:highlight w:val="none"/>
        </w:rPr>
      </w:r>
      <w:r>
        <w:rPr>
          <w:rFonts w:ascii="Arial" w:hAnsi="Arial" w:eastAsia="Arial" w:cs="Arial"/>
          <w:color w:val="e83e8c"/>
          <w:sz w:val="21"/>
          <w:highlight w:val="none"/>
        </w:rPr>
      </w:r>
      <w:r>
        <w:rPr>
          <w:rFonts w:ascii="Arial" w:hAnsi="Arial" w:eastAsia="Arial" w:cs="Arial"/>
          <w:sz w:val="24"/>
        </w:rPr>
      </w:r>
    </w:p>
    <w:p w14:paraId="6054FF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8f9fa" w:fill="f8f9fa"/>
        <w:spacing w:after="0" w:before="0"/>
        <w:ind w:right="0" w:firstLine="0" w:left="709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e83e8c"/>
          <w:sz w:val="21"/>
          <w:highlight w:val="none"/>
        </w:rPr>
      </w:r>
      <w:r>
        <w:rPr>
          <w:rFonts w:ascii="Arial" w:hAnsi="Arial" w:eastAsia="Arial" w:cs="Arial"/>
          <w:color w:val="e83e8c"/>
          <w:sz w:val="21"/>
          <w:highlight w:val="none"/>
        </w:rPr>
      </w:r>
      <w:r>
        <w:rPr>
          <w:rFonts w:ascii="Arial" w:hAnsi="Arial" w:eastAsia="Arial" w:cs="Arial"/>
          <w:color w:val="e83e8c"/>
          <w:sz w:val="21"/>
          <w:highlight w:val="none"/>
        </w:rPr>
      </w:r>
    </w:p>
    <w:p w14:paraId="3A9A1F9A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36476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263.1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/>
      <w:r/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</w:p>
    <w:p w14:paraId="0D9FDBF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5578BA">
      <w:pPr>
        <w:pBdr/>
        <w:spacing/>
        <w:ind/>
        <w:rPr>
          <w:highlight w:val="none"/>
        </w:rPr>
      </w:pP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50916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263.1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6474F6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C00793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8FAC5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2D789D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1FF4739D">
      <w:pPr>
        <w:pBdr/>
        <w:spacing/>
        <w:ind/>
        <w:rPr>
          <w:highlight w:val="none"/>
        </w:rPr>
      </w:pPr>
      <w:r>
        <w:rPr>
          <w:highlight w:val="none"/>
        </w:rPr>
        <w:t xml:space="preserve">Mitjançant Azure Calculator Mostre els presupostos tant de una part com de l’altra que es demana.</w:t>
      </w:r>
      <w:r>
        <w:rPr>
          <w:highlight w:val="none"/>
        </w:rPr>
      </w:r>
    </w:p>
    <w:tbl>
      <w:tblPr>
        <w:tblStyle w:val="707"/>
        <w:tblW w:w="0" w:type="auto"/>
        <w:tblBorders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  <w:gridCol w:w="5250"/>
        <w:gridCol w:w="3150"/>
      </w:tblGrid>
      <w:tr>
        <w:trPr>
          <w:trHeight w:val="405"/>
        </w:trPr>
        <w:tc>
          <w:tcPr>
            <w:gridSpan w:val="3"/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560" w:type="dxa"/>
            <w:vAlign w:val="top"/>
            <w:textDirection w:val="lrTb"/>
            <w:noWrap w:val="false"/>
          </w:tcPr>
          <w:p w14:paraId="3A422C50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8"/>
                <w:u w:val="none"/>
                <w:vertAlign w:val="baseline"/>
              </w:rPr>
              <w:t xml:space="preserve">Microsoft Azure Estimate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5DF9D91F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3A5125BB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0E99FCD2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360"/>
        </w:trPr>
        <w:tc>
          <w:tcPr>
            <w:gridSpan w:val="3"/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560" w:type="dxa"/>
            <w:vAlign w:val="top"/>
            <w:textDirection w:val="lrTb"/>
            <w:noWrap w:val="false"/>
          </w:tcPr>
          <w:p w14:paraId="7DAC6792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Your Estimate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46AE486B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3DCDA70D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1096AFD7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315"/>
        </w:trPr>
        <w:tc>
          <w:tcPr>
            <w:shd w:val="clear" w:color="ddebf7" w:fill="ddebf7"/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37A7FF35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Service category</w:t>
            </w:r>
            <w:r/>
            <w:r/>
          </w:p>
        </w:tc>
        <w:tc>
          <w:tcPr>
            <w:shd w:val="clear" w:color="ddebf7" w:fill="ddebf7"/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3441F526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Service type</w:t>
            </w:r>
            <w:r/>
            <w:r/>
          </w:p>
        </w:tc>
        <w:tc>
          <w:tcPr>
            <w:shd w:val="clear" w:color="ddebf7" w:fill="ddebf7"/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19745935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Custom name</w:t>
            </w:r>
            <w:r/>
            <w:r/>
          </w:p>
        </w:tc>
        <w:tc>
          <w:tcPr>
            <w:shd w:val="clear" w:color="ddebf7" w:fill="ddebf7"/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45BFF6D1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Region</w:t>
            </w:r>
            <w:r/>
            <w:r/>
          </w:p>
        </w:tc>
        <w:tc>
          <w:tcPr>
            <w:shd w:val="clear" w:color="ddebf7" w:fill="ddebf7"/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294845EB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Description</w:t>
            </w:r>
            <w:r/>
            <w:r/>
          </w:p>
        </w:tc>
        <w:tc>
          <w:tcPr>
            <w:shd w:val="clear" w:color="ddebf7" w:fill="ddebf7"/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61045F1B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Estimated monthly cost</w:t>
            </w:r>
            <w:r/>
            <w:r/>
          </w:p>
        </w:tc>
      </w:tr>
      <w:tr>
        <w:trPr>
          <w:trHeight w:val="630"/>
        </w:trPr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088A9881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Compute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23894394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Azure Container Instances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1AF01763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5D8E70C9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East US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3E706BF2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Container group(s) x 10 Second(s), Linux OS, Pay as you go, 1 GB Memory, 1 vCPU(s)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783F0A37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$0,00</w:t>
            </w:r>
            <w:r/>
            <w:r/>
          </w:p>
        </w:tc>
      </w:tr>
      <w:tr>
        <w:trPr>
          <w:trHeight w:val="1575"/>
        </w:trPr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1B6F9BBA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Databases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6D166A1C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Azure Database for PostgreSQL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0252F4E8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66DE5E13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Spain Central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52F13B6C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Flexible Server Deployment, General Purpose Tier, 1 D2ds v5 (2 vCores) (1 year reserved), Storage - Premium SSD, 5 GiB Storage, 0 Provisioned IOPS, 0 GiB Additional Backup storage - LRS redundancy, without High Availability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73899B8F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$62,57</w:t>
            </w:r>
            <w:r/>
            <w:r/>
          </w:p>
        </w:tc>
      </w:tr>
      <w:tr>
        <w:trPr>
          <w:trHeight w:val="1890"/>
        </w:trPr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54609CEA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Storage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1F8D6E70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Azure Files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4D8EBE0C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1E2A6E98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Spain Central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single" w:color="e0e0e0" w:sz="6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7A029A53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HDD (Standard) Media tier, LRS Redundancy, Provisioned v2 Billing model, Provisioned capacity – 256 GiB Provisioned storage, 1,052 Provisioned IOPS, 66 MiB/sec Provisioned throughput, Used capacity - 0 GiB Overflow used snapshot storage, 0 GiB Used soft-deleted storage, 0 File sync servers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68035918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$62,88</w:t>
            </w:r>
            <w:r/>
            <w:r/>
          </w:p>
        </w:tc>
      </w:tr>
      <w:tr>
        <w:trPr>
          <w:trHeight w:val="315"/>
        </w:trPr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656909EE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Support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43447D9C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70A1D5AD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6BE525B0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Support</w:t>
            </w:r>
            <w:r/>
            <w:r/>
          </w:p>
        </w:tc>
        <w:tc>
          <w:tcPr>
            <w:tcBorders>
              <w:top w:val="single" w:color="e0e0e0" w:sz="6" w:space="0"/>
              <w:left w:val="none" w:color="e0e0e0" w:sz="4" w:space="0"/>
              <w:bottom w:val="single" w:color="e0e0e0" w:sz="6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6A5096E2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7E26FAFF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$0,00</w:t>
            </w:r>
            <w:r/>
            <w:r/>
          </w:p>
        </w:tc>
      </w:tr>
      <w:tr>
        <w:trPr>
          <w:trHeight w:val="315"/>
        </w:trPr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04B81521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51F9C656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44C15E23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0AFB343F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Licensing Program</w:t>
            </w:r>
            <w:r/>
            <w:r/>
          </w:p>
        </w:tc>
        <w:tc>
          <w:tcPr>
            <w:tcBorders>
              <w:top w:val="single" w:color="e0e0e0" w:sz="6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7866A26C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Microsoft Customer Agreement (MCA)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7FF07A1A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315"/>
        </w:trPr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16638623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10B1C5F2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44EE8784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11EAE08B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Billing Account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4D48FC30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69562A6B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315"/>
        </w:trPr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789FFBB9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1CF5431A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4BB8E35F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single" w:color="e0e0e0" w:sz="6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4AF7983B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Billing Profile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single" w:color="e0e0e0" w:sz="6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521D86A6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single" w:color="e0e0e0" w:sz="6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59AC3382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315"/>
        </w:trPr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054D581D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3E20D4C5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0AC46A63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e0e0e0" w:sz="6" w:space="0"/>
              <w:left w:val="none" w:color="e0e0e0" w:sz="4" w:space="0"/>
              <w:bottom w:val="single" w:color="e0e0e0" w:sz="6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2F19FE37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Total</w:t>
            </w:r>
            <w:r/>
            <w:r/>
          </w:p>
        </w:tc>
        <w:tc>
          <w:tcPr>
            <w:tcBorders>
              <w:top w:val="single" w:color="e0e0e0" w:sz="6" w:space="0"/>
              <w:left w:val="none" w:color="e0e0e0" w:sz="4" w:space="0"/>
              <w:bottom w:val="single" w:color="e0e0e0" w:sz="6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5A2AFCFF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e0e0e0" w:sz="6" w:space="0"/>
              <w:left w:val="none" w:color="e0e0e0" w:sz="4" w:space="0"/>
              <w:bottom w:val="single" w:color="e0e0e0" w:sz="6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2AC2D6BF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$125,45</w:t>
            </w:r>
            <w:r/>
            <w:r/>
          </w:p>
        </w:tc>
      </w:tr>
    </w:tbl>
    <w:p w14:paraId="4DC2D18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0ABAC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996433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965CAD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3BE89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707"/>
        <w:tblW w:w="0" w:type="auto"/>
        <w:tblBorders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  <w:gridCol w:w="5250"/>
        <w:gridCol w:w="3150"/>
      </w:tblGrid>
      <w:tr>
        <w:trPr>
          <w:trHeight w:val="405"/>
        </w:trPr>
        <w:tc>
          <w:tcPr>
            <w:gridSpan w:val="3"/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560" w:type="dxa"/>
            <w:vAlign w:val="top"/>
            <w:textDirection w:val="lrTb"/>
            <w:noWrap w:val="false"/>
          </w:tcPr>
          <w:p w14:paraId="6B32C6AA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8"/>
                <w:u w:val="none"/>
                <w:vertAlign w:val="baseline"/>
              </w:rPr>
              <w:t xml:space="preserve">Microsoft Azure Estimate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68C7F3B9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2BB22850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3003E8E6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360"/>
        </w:trPr>
        <w:tc>
          <w:tcPr>
            <w:gridSpan w:val="3"/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7560" w:type="dxa"/>
            <w:vAlign w:val="top"/>
            <w:textDirection w:val="lrTb"/>
            <w:noWrap w:val="false"/>
          </w:tcPr>
          <w:p w14:paraId="7A1CEEC3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4"/>
                <w:u w:val="none"/>
                <w:vertAlign w:val="baseline"/>
              </w:rPr>
              <w:t xml:space="preserve">Your Estimate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237A02D2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434F6034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357D8CAA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315"/>
        </w:trPr>
        <w:tc>
          <w:tcPr>
            <w:shd w:val="clear" w:color="ddebf7" w:fill="ddebf7"/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4F3C7A72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Service category</w:t>
            </w:r>
            <w:r/>
            <w:r/>
          </w:p>
        </w:tc>
        <w:tc>
          <w:tcPr>
            <w:shd w:val="clear" w:color="ddebf7" w:fill="ddebf7"/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072C05FA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Service type</w:t>
            </w:r>
            <w:r/>
            <w:r/>
          </w:p>
        </w:tc>
        <w:tc>
          <w:tcPr>
            <w:shd w:val="clear" w:color="ddebf7" w:fill="ddebf7"/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13F618B7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Custom name</w:t>
            </w:r>
            <w:r/>
            <w:r/>
          </w:p>
        </w:tc>
        <w:tc>
          <w:tcPr>
            <w:shd w:val="clear" w:color="ddebf7" w:fill="ddebf7"/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062D1825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Region</w:t>
            </w:r>
            <w:r/>
            <w:r/>
          </w:p>
        </w:tc>
        <w:tc>
          <w:tcPr>
            <w:shd w:val="clear" w:color="ddebf7" w:fill="ddebf7"/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76FC72C6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Description</w:t>
            </w:r>
            <w:r/>
            <w:r/>
          </w:p>
        </w:tc>
        <w:tc>
          <w:tcPr>
            <w:shd w:val="clear" w:color="ddebf7" w:fill="ddebf7"/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199F0ED2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Estimated monthly cost</w:t>
            </w:r>
            <w:r/>
            <w:r/>
          </w:p>
        </w:tc>
      </w:tr>
      <w:tr>
        <w:trPr>
          <w:trHeight w:val="1260"/>
        </w:trPr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4BFFEE49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Compute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1AB52B91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Virtual Machines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4D879939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330F7CC8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Spain Central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17168AD3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1 B1s (1 Core, 1 GB RAM) (3 year savings plan), Linux,  (Pay as you go); 0 managed disks – S4; Inter Region transfer type, 5 GB outbound data transfer from Spain Central to East Asia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0A124C5C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$4,58</w:t>
            </w:r>
            <w:r/>
            <w:r/>
          </w:p>
        </w:tc>
      </w:tr>
      <w:tr>
        <w:trPr>
          <w:trHeight w:val="1890"/>
        </w:trPr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3444B252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Storage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1C406F44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Azure Files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264DF41C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1C1D1E4C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Spain Central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single" w:color="e0e0e0" w:sz="6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12C1EE51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HDD (Standard) Media tier, LRS Redundancy, Provisioned v2 Billing model, Provisioned capacity – 256 GiB Provisioned storage, 1,052 Provisioned IOPS, 66 MiB/sec Provisioned throughput, Used capacity - 0 GiB Overflow used snapshot storage, 0 GiB Used soft-deleted storage, 0 File sync servers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33A3567A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$62,88</w:t>
            </w:r>
            <w:r/>
            <w:r/>
          </w:p>
        </w:tc>
      </w:tr>
      <w:tr>
        <w:trPr>
          <w:trHeight w:val="315"/>
        </w:trPr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502D5FE2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Support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7E115F3B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22001A18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5E5AC204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Support</w:t>
            </w:r>
            <w:r/>
            <w:r/>
          </w:p>
        </w:tc>
        <w:tc>
          <w:tcPr>
            <w:tcBorders>
              <w:top w:val="single" w:color="e0e0e0" w:sz="6" w:space="0"/>
              <w:left w:val="none" w:color="e0e0e0" w:sz="4" w:space="0"/>
              <w:bottom w:val="single" w:color="e0e0e0" w:sz="6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7D909B03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5413F8EF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$0,00</w:t>
            </w:r>
            <w:r/>
            <w:r/>
          </w:p>
        </w:tc>
      </w:tr>
      <w:tr>
        <w:trPr>
          <w:trHeight w:val="315"/>
        </w:trPr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378C4B3C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7242C323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06A93E86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7BD7491E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Licensing Program</w:t>
            </w:r>
            <w:r/>
            <w:r/>
          </w:p>
        </w:tc>
        <w:tc>
          <w:tcPr>
            <w:tcBorders>
              <w:top w:val="single" w:color="e0e0e0" w:sz="6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1A32BCCE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Microsoft Customer Agreement (MCA)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36DFE0AE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315"/>
        </w:trPr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6E8F2884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7A67C844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684037F9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136003ED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Billing Account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16D29F76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7EEE13F6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315"/>
        </w:trPr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2048CE90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5E70D701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1CC241C5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single" w:color="e0e0e0" w:sz="6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7459D36D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Billing Profile</w:t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single" w:color="e0e0e0" w:sz="6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7ABBE924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single" w:color="e0e0e0" w:sz="6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4ED1AA80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</w:tr>
      <w:tr>
        <w:trPr>
          <w:trHeight w:val="315"/>
        </w:trPr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33B3D40F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763AE416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none" w:color="e0e0e0" w:sz="4" w:space="0"/>
              <w:left w:val="none" w:color="e0e0e0" w:sz="4" w:space="0"/>
              <w:bottom w:val="none" w:color="e0e0e0" w:sz="4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30811FEA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e0e0e0" w:sz="6" w:space="0"/>
              <w:left w:val="none" w:color="e0e0e0" w:sz="4" w:space="0"/>
              <w:bottom w:val="single" w:color="e0e0e0" w:sz="6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520" w:type="dxa"/>
            <w:vAlign w:val="top"/>
            <w:textDirection w:val="lrTb"/>
            <w:noWrap w:val="false"/>
          </w:tcPr>
          <w:p w14:paraId="54587125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Total</w:t>
            </w:r>
            <w:r/>
            <w:r/>
          </w:p>
        </w:tc>
        <w:tc>
          <w:tcPr>
            <w:tcBorders>
              <w:top w:val="single" w:color="e0e0e0" w:sz="6" w:space="0"/>
              <w:left w:val="none" w:color="e0e0e0" w:sz="4" w:space="0"/>
              <w:bottom w:val="single" w:color="e0e0e0" w:sz="6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250" w:type="dxa"/>
            <w:vAlign w:val="top"/>
            <w:textDirection w:val="lrTb"/>
            <w:noWrap w:val="false"/>
          </w:tcPr>
          <w:p w14:paraId="210ED38B">
            <w:pPr>
              <w:pBdr/>
              <w:spacing/>
              <w:ind/>
              <w:rPr/>
            </w:pPr>
            <w:r>
              <w:rPr>
                <w:rFonts w:ascii="Segoe UI Light" w:hAnsi="Segoe UI Light" w:eastAsia="Segoe UI Light" w:cs="Segoe UI Light"/>
                <w:b w:val="0"/>
                <w:i w:val="0"/>
                <w:strike w:val="0"/>
                <w:color w:val="000000"/>
                <w:sz w:val="22"/>
                <w:u w:val="none"/>
                <w:vertAlign w:val="baseline"/>
              </w:rPr>
            </w:r>
            <w:r/>
            <w:r/>
          </w:p>
        </w:tc>
        <w:tc>
          <w:tcPr>
            <w:tcBorders>
              <w:top w:val="single" w:color="e0e0e0" w:sz="6" w:space="0"/>
              <w:left w:val="none" w:color="e0e0e0" w:sz="4" w:space="0"/>
              <w:bottom w:val="single" w:color="e0e0e0" w:sz="6" w:space="0"/>
              <w:right w:val="none" w:color="e0e0e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50" w:type="dxa"/>
            <w:vAlign w:val="top"/>
            <w:textDirection w:val="lrTb"/>
            <w:noWrap w:val="false"/>
          </w:tcPr>
          <w:p w14:paraId="2D172FB0">
            <w:pPr>
              <w:pBdr/>
              <w:spacing/>
              <w:ind/>
              <w:jc w:val="left"/>
              <w:rPr/>
            </w:pPr>
            <w:r>
              <w:rPr>
                <w:rFonts w:ascii="Segoe UI Light" w:hAnsi="Segoe UI Light" w:eastAsia="Segoe UI Light" w:cs="Segoe UI Light"/>
                <w:b/>
                <w:i w:val="0"/>
                <w:strike w:val="0"/>
                <w:color w:val="000000"/>
                <w:sz w:val="22"/>
                <w:u w:val="none"/>
                <w:vertAlign w:val="baseline"/>
              </w:rPr>
              <w:t xml:space="preserve">$67,45</w:t>
            </w:r>
            <w:r/>
            <w:r/>
          </w:p>
        </w:tc>
      </w:tr>
    </w:tbl>
    <w:p w14:paraId="2BDF604F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248E92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9C5D1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B4DC8C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5F2AD8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8A541B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F80B8E5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Comprobar el cost del grup que haviem creat anteriorment i veure si es pot buscar per etiqueta.</w:t>
      </w:r>
      <w:r>
        <w:rPr>
          <w:highlight w:val="none"/>
        </w:rPr>
      </w:r>
    </w:p>
    <w:p w14:paraId="5C12EA76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1ACB7A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8A805C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05605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263.1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AA80E9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EAD88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Light">
    <w:panose1 w:val="020B0502040204020203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A7A6C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">
    <w:nsid w:val="64410C3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0388B8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08E390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7">
    <w:name w:val="Table Grid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 Light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1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dfdfd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dfdfd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2"/>
    <w:basedOn w:val="8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dfdfd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dfdfd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dfdfd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dfdfd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dfdfd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dfdfd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f9f9f9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f9f9f9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f9f9f9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f9f9f9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f9f9f9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f9f9f9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e0e0e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1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2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3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4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5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6"/>
    <w:basedOn w:val="8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f7f7f7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f1f1f1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f1f1f1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e0e0e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e0e0e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e0e0e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e0e0e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f9f9f9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f9f9f9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c8c8c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c8c8c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8c8c8c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c8c8c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8c8c8c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dfdfd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dfdfd" w:themeFill="text1" w:themeFillTint="0D"/>
        <w:tcBorders/>
      </w:tcPr>
    </w:tblStylePr>
    <w:tblStylePr w:type="band2Horz">
      <w:rPr>
        <w:rFonts w:ascii="Arial" w:hAnsi="Arial"/>
        <w:color w:val="8c8c8c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c8c8c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8c8c8c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c8c8c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c8c8c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f7f7f7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f7f7f7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f7f7f7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f7f7f7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e0e0e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f7f7f7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f7f7f7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e0e0e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efefe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efefe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efefe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efefe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efefe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202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202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202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202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202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202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20202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2020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f7f7f7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f7f7f7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e0e0e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e0e0e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e0e0e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e0e0e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8c8c8c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f7f7f7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f7f7f7" w:themeFill="text1" w:themeFillTint="40"/>
        <w:tcBorders/>
      </w:tcPr>
    </w:tblStylePr>
    <w:tblStylePr w:type="band2Horz">
      <w:rPr>
        <w:rFonts w:ascii="Arial" w:hAnsi="Arial"/>
        <w:color w:val="8c8c8c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c8c8c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8c8c8c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c8c8c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c8c8c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8c8c8c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202020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dfdfd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dfdfd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efefe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efefe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efefe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efefe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dfdfd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dfdfd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efefe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efefe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efefe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efefe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1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2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3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4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5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6"/>
    <w:basedOn w:val="8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1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2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3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4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5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6"/>
    <w:basedOn w:val="8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3">
    <w:name w:val="Heading 1"/>
    <w:basedOn w:val="892"/>
    <w:next w:val="892"/>
    <w:link w:val="8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4">
    <w:name w:val="Heading 2"/>
    <w:basedOn w:val="892"/>
    <w:next w:val="892"/>
    <w:link w:val="8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5">
    <w:name w:val="Heading 3"/>
    <w:basedOn w:val="892"/>
    <w:next w:val="892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6">
    <w:name w:val="Heading 4"/>
    <w:basedOn w:val="892"/>
    <w:next w:val="892"/>
    <w:link w:val="8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7">
    <w:name w:val="Heading 5"/>
    <w:basedOn w:val="892"/>
    <w:next w:val="892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8">
    <w:name w:val="Heading 6"/>
    <w:basedOn w:val="892"/>
    <w:next w:val="892"/>
    <w:link w:val="8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9">
    <w:name w:val="Heading 7"/>
    <w:basedOn w:val="892"/>
    <w:next w:val="892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0">
    <w:name w:val="Heading 8"/>
    <w:basedOn w:val="892"/>
    <w:next w:val="892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Heading 9"/>
    <w:basedOn w:val="892"/>
    <w:next w:val="892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2" w:default="1">
    <w:name w:val="Default Paragraph Font"/>
    <w:uiPriority w:val="1"/>
    <w:semiHidden/>
    <w:unhideWhenUsed/>
    <w:pPr>
      <w:pBdr/>
      <w:spacing/>
      <w:ind/>
    </w:pPr>
  </w:style>
  <w:style w:type="character" w:styleId="843">
    <w:name w:val="Heading 1 Char"/>
    <w:basedOn w:val="842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2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2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2"/>
    <w:link w:val="8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2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2"/>
    <w:link w:val="8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2"/>
    <w:link w:val="8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2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2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2">
    <w:name w:val="Title"/>
    <w:basedOn w:val="892"/>
    <w:next w:val="892"/>
    <w:link w:val="8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Title Char"/>
    <w:basedOn w:val="842"/>
    <w:link w:val="8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4">
    <w:name w:val="Subtitle"/>
    <w:basedOn w:val="892"/>
    <w:next w:val="892"/>
    <w:link w:val="8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5">
    <w:name w:val="Subtitle Char"/>
    <w:basedOn w:val="842"/>
    <w:link w:val="8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2"/>
    <w:next w:val="892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2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Intense Emphasis"/>
    <w:basedOn w:val="84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9">
    <w:name w:val="Intense Quote"/>
    <w:basedOn w:val="892"/>
    <w:next w:val="892"/>
    <w:link w:val="86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0">
    <w:name w:val="Intense Quote Char"/>
    <w:basedOn w:val="842"/>
    <w:link w:val="85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1">
    <w:name w:val="Intense Reference"/>
    <w:basedOn w:val="84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2">
    <w:name w:val="Subtle Emphasis"/>
    <w:basedOn w:val="8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2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2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2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2"/>
    <w:link w:val="867"/>
    <w:uiPriority w:val="99"/>
    <w:pPr>
      <w:pBdr/>
      <w:spacing/>
      <w:ind/>
    </w:pPr>
  </w:style>
  <w:style w:type="paragraph" w:styleId="869">
    <w:name w:val="Footer"/>
    <w:basedOn w:val="892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2"/>
    <w:link w:val="869"/>
    <w:uiPriority w:val="99"/>
    <w:pPr>
      <w:pBdr/>
      <w:spacing/>
      <w:ind/>
    </w:pPr>
  </w:style>
  <w:style w:type="paragraph" w:styleId="871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2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2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2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2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2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1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2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3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4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5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6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7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8">
    <w:name w:val="toc 9"/>
    <w:basedOn w:val="892"/>
    <w:next w:val="892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2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table" w:styleId="8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4" w:default="1">
    <w:name w:val="No List"/>
    <w:uiPriority w:val="99"/>
    <w:semiHidden/>
    <w:unhideWhenUsed/>
    <w:pPr>
      <w:pBdr/>
      <w:spacing/>
      <w:ind/>
    </w:pPr>
  </w:style>
  <w:style w:type="paragraph" w:styleId="895">
    <w:name w:val="No Spacing"/>
    <w:basedOn w:val="892"/>
    <w:uiPriority w:val="1"/>
    <w:qFormat/>
    <w:pPr>
      <w:pBdr/>
      <w:spacing w:after="0" w:line="240" w:lineRule="auto"/>
      <w:ind/>
    </w:pPr>
  </w:style>
  <w:style w:type="paragraph" w:styleId="896">
    <w:name w:val="List Paragraph"/>
    <w:basedOn w:val="89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E0E0E0"/>
      </a:dk1>
      <a:lt1>
        <a:sysClr val="window" lastClr="20202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2026-01-16T15:05:33Z</dcterms:modified>
</cp:coreProperties>
</file>