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E2F2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E2F2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E2F2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E2F2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E2F2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A66E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RK10</w:t>
              </w:r>
              <w:r w:rsidR="00C45BC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-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Factores que pueden alterar el ritmo de trabajo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E2F2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2A66E4" w:rsidRDefault="002A66E4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2A66E4" w:rsidRDefault="002A66E4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BE2F2E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BE2F2E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BE2F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E2F2E">
            <w:fldChar w:fldCharType="begin"/>
          </w:r>
          <w:r w:rsidR="000F79DF">
            <w:instrText xml:space="preserve"> TOC \o "1-3" \h \z \u </w:instrText>
          </w:r>
          <w:r w:rsidRPr="00BE2F2E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E2F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2A66E4">
              <w:rPr>
                <w:rStyle w:val="Hipervnculo"/>
                <w:noProof/>
              </w:rPr>
              <w:t>RK10 Factores que pueden alterar el ritmo del trabajo actual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E2F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E2F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E2F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BE2F2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E2F2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A66E4" w:rsidP="009A3173">
          <w:pPr>
            <w:pStyle w:val="PSI-Ttulo"/>
          </w:pPr>
          <w:r>
            <w:rPr>
              <w:lang w:val="es-AR"/>
            </w:rPr>
            <w:t xml:space="preserve">RK10-Factores que pueden alterar el ritmo de trabajo 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740084" w:rsidRDefault="00740084" w:rsidP="00670E9F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C40667">
            <w:pPr>
              <w:jc w:val="both"/>
            </w:pPr>
            <w:r>
              <w:t>RK</w:t>
            </w:r>
            <w:r w:rsidR="002A66E4">
              <w:t>10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740084">
            <w:pPr>
              <w:jc w:val="both"/>
            </w:pPr>
            <w:r>
              <w:t>10 de Noviembre</w:t>
            </w:r>
            <w:r w:rsidR="006A088F">
              <w:t xml:space="preserve"> </w:t>
            </w:r>
            <w:r w:rsidR="00AC01D0">
              <w:t xml:space="preserve"> de 2017</w:t>
            </w:r>
          </w:p>
        </w:tc>
      </w:tr>
      <w:tr w:rsidR="00287695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6A088F" w:rsidP="00740084">
            <w:pPr>
              <w:jc w:val="both"/>
            </w:pPr>
            <w:r>
              <w:t>Fase  Construcción</w:t>
            </w:r>
            <w:r w:rsidR="00C40667">
              <w:t xml:space="preserve"> – Iteración </w:t>
            </w:r>
            <w:r w:rsidR="00783A2A">
              <w:t>2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740084">
            <w:pPr>
              <w:jc w:val="both"/>
            </w:pPr>
            <w:r>
              <w:t xml:space="preserve">Factores que puedan alterar el ritmo del trabajo 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740084">
            <w:pPr>
              <w:jc w:val="both"/>
            </w:pPr>
            <w:r>
              <w:t>Duración y Tamaño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2A66E4">
            <w:pPr>
              <w:jc w:val="both"/>
            </w:pPr>
            <w:r>
              <w:t xml:space="preserve">Se evalúa </w:t>
            </w:r>
            <w:r w:rsidR="002A66E4">
              <w:t>los factores que pueden alterar el ritmo de trabajo. Son aquellos que se presentan durante los siguientes meses siendo</w:t>
            </w:r>
            <w:r w:rsidR="00C579C4">
              <w:t xml:space="preserve"> estas: mesas de examen</w:t>
            </w:r>
            <w:r w:rsidR="002A66E4">
              <w:t xml:space="preserve">, </w:t>
            </w:r>
            <w:r w:rsidR="00C579C4">
              <w:t>situaciones personales</w:t>
            </w:r>
            <w:r w:rsidR="002A66E4">
              <w:t xml:space="preserve">, entre otras. 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C40667">
            <w:pPr>
              <w:jc w:val="both"/>
            </w:pPr>
            <w:r>
              <w:t>3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740084">
            <w:pPr>
              <w:jc w:val="both"/>
            </w:pPr>
            <w:r>
              <w:t>7</w:t>
            </w:r>
            <w:r w:rsidR="00B23D37">
              <w:t>0%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B23D37" w:rsidP="00740084">
            <w:pPr>
              <w:jc w:val="both"/>
            </w:pPr>
            <w:r>
              <w:t>2</w:t>
            </w:r>
            <w:r w:rsidR="002A66E4">
              <w:t>10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C40667" w:rsidRPr="00D43375" w:rsidRDefault="00C40667" w:rsidP="00C579C4">
            <w:pPr>
              <w:jc w:val="both"/>
            </w:pPr>
            <w:r>
              <w:t xml:space="preserve">El presente riesgo existe </w:t>
            </w:r>
            <w:r w:rsidR="002A66E4">
              <w:t>porque todos los integrantes tienen que rendir una mesa de examen o bien una integrante le surja un imprevisto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C579C4">
            <w:pPr>
              <w:jc w:val="both"/>
            </w:pPr>
            <w:r>
              <w:t>Mesas de examen.</w:t>
            </w:r>
            <w:r w:rsidR="00C579C4">
              <w:t xml:space="preserve"> Situaciones personales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740084">
            <w:pPr>
              <w:jc w:val="both"/>
            </w:pPr>
            <w:r>
              <w:t>Reducción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C40667">
            <w:pPr>
              <w:jc w:val="both"/>
            </w:pPr>
            <w:r>
              <w:t>Oyarzo Mariela.</w:t>
            </w:r>
          </w:p>
        </w:tc>
      </w:tr>
      <w:tr w:rsidR="00670E9F" w:rsidTr="00740084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6238E0" w:rsidP="006238E0">
            <w:pPr>
              <w:jc w:val="both"/>
            </w:pPr>
            <w:r>
              <w:t>Coordinar los tiempos que tiene cada uno de los integrantes</w:t>
            </w:r>
            <w:r w:rsidR="002A66E4">
              <w:t xml:space="preserve"> para llevar a cabo lo que </w:t>
            </w:r>
            <w:r w:rsidR="00B3289F">
              <w:t>más</w:t>
            </w:r>
            <w:r w:rsidR="002A66E4">
              <w:t xml:space="preserve"> se pueda con el avance del proyecto.</w:t>
            </w:r>
          </w:p>
        </w:tc>
      </w:tr>
    </w:tbl>
    <w:p w:rsidR="0064728C" w:rsidRDefault="0064728C" w:rsidP="005B5AEE">
      <w:pPr>
        <w:pStyle w:val="PSI-Ttulo1"/>
      </w:pPr>
      <w:bookmarkStart w:id="2" w:name="_Toc493597043"/>
    </w:p>
    <w:p w:rsidR="00441FF1" w:rsidRDefault="002C2348" w:rsidP="005B5AEE">
      <w:pPr>
        <w:pStyle w:val="PSI-Ttulo1"/>
      </w:pPr>
      <w:r>
        <w:t>RK</w:t>
      </w:r>
      <w:r w:rsidR="00441FF1">
        <w:t>01</w:t>
      </w:r>
      <w:bookmarkEnd w:id="2"/>
    </w:p>
    <w:p w:rsidR="00441FF1" w:rsidRDefault="00441FF1" w:rsidP="00441FF1">
      <w:pPr>
        <w:pStyle w:val="PSI-Ttulo2"/>
      </w:pPr>
      <w:bookmarkStart w:id="3" w:name="_Toc493597044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287695" w:rsidRPr="00670E9F" w:rsidTr="00740084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3F06D6" w:rsidRDefault="003F06D6" w:rsidP="00002D2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 w:rsidRPr="003F06D6">
              <w:rPr>
                <w:color w:val="000000" w:themeColor="text1"/>
                <w:sz w:val="22"/>
              </w:rPr>
              <w:t>RK</w:t>
            </w:r>
            <w:r w:rsidR="002A66E4">
              <w:rPr>
                <w:color w:val="000000" w:themeColor="text1"/>
                <w:sz w:val="22"/>
              </w:rPr>
              <w:t>10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3F06D6" w:rsidRDefault="002A66E4" w:rsidP="00002D2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10-NOV-17</w:t>
            </w:r>
          </w:p>
        </w:tc>
        <w:tc>
          <w:tcPr>
            <w:tcW w:w="2788" w:type="dxa"/>
            <w:shd w:val="clear" w:color="auto" w:fill="auto"/>
          </w:tcPr>
          <w:p w:rsidR="00287695" w:rsidRPr="003F06D6" w:rsidRDefault="002A66E4" w:rsidP="00002D2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E52496" w:rsidRPr="00670E9F" w:rsidTr="00740084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002D2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E52496" w:rsidRPr="00740084" w:rsidRDefault="00E52496" w:rsidP="00002D2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Pr="003F06D6" w:rsidRDefault="002A66E4" w:rsidP="00002D26">
            <w:pPr>
              <w:pStyle w:val="PSI-Normal"/>
              <w:jc w:val="center"/>
              <w:rPr>
                <w:sz w:val="22"/>
              </w:rPr>
            </w:pPr>
            <w:r>
              <w:t xml:space="preserve">Factores que puedan alterar el ritmo del </w:t>
            </w:r>
            <w:r>
              <w:lastRenderedPageBreak/>
              <w:t>trabajo</w:t>
            </w:r>
          </w:p>
        </w:tc>
        <w:tc>
          <w:tcPr>
            <w:tcW w:w="4186" w:type="dxa"/>
            <w:gridSpan w:val="2"/>
          </w:tcPr>
          <w:p w:rsidR="00E52496" w:rsidRPr="003F06D6" w:rsidRDefault="002A66E4" w:rsidP="00002D26">
            <w:pPr>
              <w:pStyle w:val="PSI-Normal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Duración y Tamaño</w:t>
            </w: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E52496" w:rsidRPr="00740084" w:rsidRDefault="00E52496" w:rsidP="00002D2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lastRenderedPageBreak/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C579C4" w:rsidP="002A66E4">
            <w:pPr>
              <w:pStyle w:val="PSI-Normal"/>
              <w:jc w:val="center"/>
            </w:pPr>
            <w:r>
              <w:t>Se evalúa los factores que pueden alterar el ritmo de trabajo. Son aquellos que se presentan durante los siguientes meses siendo estas: mesas de examen, situaciones personales, entre otras.</w:t>
            </w:r>
          </w:p>
        </w:tc>
      </w:tr>
      <w:tr w:rsidR="00EB16E9" w:rsidTr="00740084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EB16E9" w:rsidRPr="00740084" w:rsidRDefault="00EB16E9" w:rsidP="00002D26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 xml:space="preserve">Estado del Riesgo (Activo, </w:t>
            </w:r>
            <w:r w:rsidR="00617909" w:rsidRPr="00740084">
              <w:rPr>
                <w:b/>
                <w:color w:val="000000" w:themeColor="text1"/>
                <w:sz w:val="22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3F06D6" w:rsidP="00002D26">
            <w:pPr>
              <w:pStyle w:val="PSI-Normal"/>
              <w:jc w:val="center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493597045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E52496" w:rsidRPr="00670E9F" w:rsidTr="00740084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BA362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2A66E4" w:rsidP="00BA362B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813" w:type="dxa"/>
          </w:tcPr>
          <w:p w:rsidR="00E52496" w:rsidRDefault="002A66E4" w:rsidP="00BA362B">
            <w:pPr>
              <w:pStyle w:val="PSI-Normal"/>
              <w:jc w:val="center"/>
            </w:pPr>
            <w:r>
              <w:t>7</w:t>
            </w:r>
            <w:r w:rsidR="00BA362B">
              <w:t>0%</w:t>
            </w:r>
          </w:p>
        </w:tc>
        <w:tc>
          <w:tcPr>
            <w:tcW w:w="2765" w:type="dxa"/>
          </w:tcPr>
          <w:p w:rsidR="00E52496" w:rsidRDefault="002A66E4" w:rsidP="00BA362B">
            <w:pPr>
              <w:pStyle w:val="PSI-Normal"/>
              <w:jc w:val="center"/>
            </w:pPr>
            <w:r>
              <w:t>21</w:t>
            </w:r>
            <w:r w:rsidR="00BA362B">
              <w:t>0</w:t>
            </w: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BA362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3D0533" w:rsidP="00BA362B">
            <w:pPr>
              <w:pStyle w:val="PSI-Normal"/>
              <w:jc w:val="center"/>
            </w:pPr>
            <w:r>
              <w:t>El presente riesgo existe porque todos los integrantes tienen que rendir una mesa de examen o bien una integrante le surja un imprevisto</w:t>
            </w: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BA362B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E52496" w:rsidTr="00BA362B">
        <w:trPr>
          <w:trHeight w:val="70"/>
        </w:trPr>
        <w:tc>
          <w:tcPr>
            <w:tcW w:w="8754" w:type="dxa"/>
            <w:gridSpan w:val="3"/>
          </w:tcPr>
          <w:p w:rsidR="00E52496" w:rsidRDefault="002A66E4" w:rsidP="003D0533">
            <w:pPr>
              <w:pStyle w:val="PSI-Normal"/>
              <w:jc w:val="center"/>
            </w:pPr>
            <w:r>
              <w:t xml:space="preserve">Mesas de examen. </w:t>
            </w:r>
            <w:r w:rsidR="003D0533">
              <w:t>Situaciones personales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493597046"/>
      <w:r>
        <w:t>Plan de Riesgos</w:t>
      </w:r>
      <w:bookmarkEnd w:id="5"/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CD2020" w:rsidRPr="00287695" w:rsidTr="00740084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695075" w:rsidTr="00502548">
        <w:trPr>
          <w:trHeight w:val="454"/>
        </w:trPr>
        <w:tc>
          <w:tcPr>
            <w:tcW w:w="2660" w:type="dxa"/>
            <w:vAlign w:val="center"/>
          </w:tcPr>
          <w:p w:rsidR="00695075" w:rsidRDefault="00695075" w:rsidP="00740084">
            <w:pPr>
              <w:pStyle w:val="PSI-Normal"/>
              <w:jc w:val="center"/>
            </w:pPr>
            <w:r>
              <w:t>Reducción</w:t>
            </w:r>
          </w:p>
        </w:tc>
        <w:tc>
          <w:tcPr>
            <w:tcW w:w="1701" w:type="dxa"/>
          </w:tcPr>
          <w:p w:rsidR="00695075" w:rsidRDefault="00695075" w:rsidP="00670E9F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95075" w:rsidRPr="00D43375" w:rsidRDefault="00B3289F" w:rsidP="00502548">
            <w:pPr>
              <w:jc w:val="both"/>
            </w:pPr>
            <w:r>
              <w:t>Coordinar los tiempos que tiene cada uno de los integrantes para llevar a cabo lo que más se pueda con el avance del proyecto.</w:t>
            </w:r>
          </w:p>
        </w:tc>
        <w:tc>
          <w:tcPr>
            <w:tcW w:w="1701" w:type="dxa"/>
            <w:shd w:val="clear" w:color="auto" w:fill="auto"/>
          </w:tcPr>
          <w:p w:rsidR="00695075" w:rsidRDefault="00CA0103" w:rsidP="00670E9F">
            <w:pPr>
              <w:pStyle w:val="PSI-Normal"/>
            </w:pPr>
            <w:r>
              <w:t xml:space="preserve">Fase Construcción – Iteración </w:t>
            </w:r>
            <w:r w:rsidR="00783A2A">
              <w:t>2</w:t>
            </w: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493597047"/>
      <w:r>
        <w:t>Seguimiento</w:t>
      </w:r>
      <w:bookmarkEnd w:id="6"/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CD2020" w:rsidTr="00740084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B3289F" w:rsidP="0087174D">
            <w:pPr>
              <w:pStyle w:val="PSI-Normal"/>
              <w:jc w:val="center"/>
            </w:pPr>
            <w:r>
              <w:t>10-NOV</w:t>
            </w:r>
            <w:r w:rsidR="008D13DF">
              <w:t>-2017</w:t>
            </w:r>
          </w:p>
        </w:tc>
        <w:tc>
          <w:tcPr>
            <w:tcW w:w="2161" w:type="dxa"/>
          </w:tcPr>
          <w:p w:rsidR="00CD2020" w:rsidRDefault="00CA0103" w:rsidP="0087174D">
            <w:pPr>
              <w:pStyle w:val="PSI-Normal"/>
              <w:jc w:val="center"/>
            </w:pPr>
            <w:r>
              <w:t>Fase Construcción</w:t>
            </w:r>
            <w:r w:rsidR="008D13DF">
              <w:t xml:space="preserve"> – Iteración </w:t>
            </w:r>
            <w:r w:rsidR="00783A2A">
              <w:t>2</w:t>
            </w:r>
          </w:p>
        </w:tc>
        <w:tc>
          <w:tcPr>
            <w:tcW w:w="2161" w:type="dxa"/>
          </w:tcPr>
          <w:p w:rsidR="00CD2020" w:rsidRDefault="008D13DF" w:rsidP="0087174D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CD2020" w:rsidRDefault="008D13DF" w:rsidP="0087174D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CD2020" w:rsidRDefault="00CD2020" w:rsidP="00670E9F">
      <w:pPr>
        <w:pStyle w:val="PSI-Normal"/>
      </w:pPr>
    </w:p>
    <w:p w:rsidR="00502548" w:rsidRDefault="00502548" w:rsidP="00812875">
      <w:pPr>
        <w:pStyle w:val="PSI-Ttulo1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F1" w:rsidRDefault="000403F1" w:rsidP="00C94FBE">
      <w:pPr>
        <w:spacing w:before="0" w:line="240" w:lineRule="auto"/>
      </w:pPr>
      <w:r>
        <w:separator/>
      </w:r>
    </w:p>
    <w:p w:rsidR="000403F1" w:rsidRDefault="000403F1"/>
  </w:endnote>
  <w:endnote w:type="continuationSeparator" w:id="1">
    <w:p w:rsidR="000403F1" w:rsidRDefault="000403F1" w:rsidP="00C94FBE">
      <w:pPr>
        <w:spacing w:before="0" w:line="240" w:lineRule="auto"/>
      </w:pPr>
      <w:r>
        <w:continuationSeparator/>
      </w:r>
    </w:p>
    <w:p w:rsidR="000403F1" w:rsidRDefault="000403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E4" w:rsidRDefault="00BE2F2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A66E4">
          <w:rPr>
            <w:rFonts w:asciiTheme="majorHAnsi" w:hAnsiTheme="majorHAnsi"/>
          </w:rPr>
          <w:t>GRUPO DE DESARROLLO YENÚ</w:t>
        </w:r>
      </w:sdtContent>
    </w:sdt>
    <w:r w:rsidRPr="00BE2F2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2A66E4">
          <w:tab/>
        </w:r>
        <w:r w:rsidR="002A66E4">
          <w:tab/>
        </w:r>
        <w:r w:rsidR="002A66E4">
          <w:tab/>
        </w:r>
        <w:r w:rsidR="002A66E4">
          <w:tab/>
        </w:r>
        <w:r w:rsidR="002A66E4">
          <w:tab/>
        </w:r>
        <w:r w:rsidR="002A66E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2A66E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D0533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2A66E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2A66E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D0533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2A66E4" w:rsidRDefault="002A66E4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F1" w:rsidRDefault="000403F1" w:rsidP="00C94FBE">
      <w:pPr>
        <w:spacing w:before="0" w:line="240" w:lineRule="auto"/>
      </w:pPr>
      <w:r>
        <w:separator/>
      </w:r>
    </w:p>
    <w:p w:rsidR="000403F1" w:rsidRDefault="000403F1"/>
  </w:footnote>
  <w:footnote w:type="continuationSeparator" w:id="1">
    <w:p w:rsidR="000403F1" w:rsidRDefault="000403F1" w:rsidP="00C94FBE">
      <w:pPr>
        <w:spacing w:before="0" w:line="240" w:lineRule="auto"/>
      </w:pPr>
      <w:r>
        <w:continuationSeparator/>
      </w:r>
    </w:p>
    <w:p w:rsidR="000403F1" w:rsidRDefault="000403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66E4" w:rsidRDefault="002A66E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 xml:space="preserve">RK10-Factores que pueden alterar el ritmo de trabajo </w:t>
        </w:r>
      </w:p>
    </w:sdtContent>
  </w:sdt>
  <w:p w:rsidR="002A66E4" w:rsidRPr="000F4F97" w:rsidRDefault="00BE2F2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E2F2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2A66E4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2A66E4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03F1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3F56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A66E4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D0533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2AAB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83A2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2875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368E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4052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289F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BE2F2E"/>
    <w:rsid w:val="00C05700"/>
    <w:rsid w:val="00C23F8C"/>
    <w:rsid w:val="00C24CDC"/>
    <w:rsid w:val="00C26C78"/>
    <w:rsid w:val="00C40667"/>
    <w:rsid w:val="00C42873"/>
    <w:rsid w:val="00C45BC9"/>
    <w:rsid w:val="00C5135E"/>
    <w:rsid w:val="00C579C4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C34FC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6C15"/>
    <w:rsid w:val="00EA7D8C"/>
    <w:rsid w:val="00EB16E9"/>
    <w:rsid w:val="00EE0084"/>
    <w:rsid w:val="00F045A2"/>
    <w:rsid w:val="00F163F8"/>
    <w:rsid w:val="00F36808"/>
    <w:rsid w:val="00F438B1"/>
    <w:rsid w:val="00F44F07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305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RK01-Tiempo de actividades del proyecto</vt:lpstr>
    </vt:vector>
  </TitlesOfParts>
  <Company>GRUPO DE DESARROLLO YENÚ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RK10-Factores que pueden alterar el ritmo de trabajo </dc:title>
  <dc:subject>TEMPUS</dc:subject>
  <dc:creator>Emanuel Marquez</dc:creator>
  <cp:keywords/>
  <dc:description/>
  <cp:lastModifiedBy>Mariela</cp:lastModifiedBy>
  <cp:revision>40</cp:revision>
  <dcterms:created xsi:type="dcterms:W3CDTF">2017-09-19T15:22:00Z</dcterms:created>
  <dcterms:modified xsi:type="dcterms:W3CDTF">2017-11-14T16:12:00Z</dcterms:modified>
</cp:coreProperties>
</file>