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425F8D">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425F8D">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425F8D">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425F8D">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54468E">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CU03 – Importar </w:t>
              </w:r>
              <w:r w:rsidR="00CA1648">
                <w:rPr>
                  <w:rFonts w:asciiTheme="majorHAnsi" w:eastAsiaTheme="majorEastAsia" w:hAnsiTheme="majorHAnsi" w:cstheme="majorBidi"/>
                  <w:sz w:val="72"/>
                  <w:szCs w:val="72"/>
                </w:rPr>
                <w:t>mesas de examen</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425F8D"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425F8D" w:rsidP="006C6F01">
          <w:pPr>
            <w:pStyle w:val="PSI-Comentario"/>
            <w:ind w:left="0" w:firstLine="0"/>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425F8D"/>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EF4C85" w:rsidRDefault="0034690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425F8D">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sidR="0034690E">
              <w:rPr>
                <w:noProof/>
                <w:webHidden/>
              </w:rPr>
              <w:fldChar w:fldCharType="begin"/>
            </w:r>
            <w:r w:rsidR="00EF4C85">
              <w:rPr>
                <w:noProof/>
                <w:webHidden/>
              </w:rPr>
              <w:instrText xml:space="preserve"> PAGEREF _Toc257615430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425F8D">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sidR="0034690E">
              <w:rPr>
                <w:noProof/>
                <w:webHidden/>
              </w:rPr>
              <w:fldChar w:fldCharType="begin"/>
            </w:r>
            <w:r w:rsidR="00EF4C85">
              <w:rPr>
                <w:noProof/>
                <w:webHidden/>
              </w:rPr>
              <w:instrText xml:space="preserve"> PAGEREF _Toc257615431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425F8D">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sidR="0034690E">
              <w:rPr>
                <w:noProof/>
                <w:webHidden/>
              </w:rPr>
              <w:fldChar w:fldCharType="begin"/>
            </w:r>
            <w:r w:rsidR="00EF4C85">
              <w:rPr>
                <w:noProof/>
                <w:webHidden/>
              </w:rPr>
              <w:instrText xml:space="preserve"> PAGEREF _Toc257615432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425F8D">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sidR="0034690E">
              <w:rPr>
                <w:noProof/>
                <w:webHidden/>
              </w:rPr>
              <w:fldChar w:fldCharType="begin"/>
            </w:r>
            <w:r w:rsidR="00EF4C85">
              <w:rPr>
                <w:noProof/>
                <w:webHidden/>
              </w:rPr>
              <w:instrText xml:space="preserve"> PAGEREF _Toc257615433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425F8D">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sidR="0034690E">
              <w:rPr>
                <w:noProof/>
                <w:webHidden/>
              </w:rPr>
              <w:fldChar w:fldCharType="begin"/>
            </w:r>
            <w:r w:rsidR="00EF4C85">
              <w:rPr>
                <w:noProof/>
                <w:webHidden/>
              </w:rPr>
              <w:instrText xml:space="preserve"> PAGEREF _Toc257615434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425F8D">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sidR="0034690E">
              <w:rPr>
                <w:noProof/>
                <w:webHidden/>
              </w:rPr>
              <w:fldChar w:fldCharType="begin"/>
            </w:r>
            <w:r w:rsidR="00EF4C85">
              <w:rPr>
                <w:noProof/>
                <w:webHidden/>
              </w:rPr>
              <w:instrText xml:space="preserve"> PAGEREF _Toc257615435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425F8D">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sidR="0034690E">
              <w:rPr>
                <w:noProof/>
                <w:webHidden/>
              </w:rPr>
              <w:fldChar w:fldCharType="begin"/>
            </w:r>
            <w:r w:rsidR="00EF4C85">
              <w:rPr>
                <w:noProof/>
                <w:webHidden/>
              </w:rPr>
              <w:instrText xml:space="preserve"> PAGEREF _Toc257615436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425F8D">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sidR="0034690E">
              <w:rPr>
                <w:noProof/>
                <w:webHidden/>
              </w:rPr>
              <w:fldChar w:fldCharType="begin"/>
            </w:r>
            <w:r w:rsidR="00EF4C85">
              <w:rPr>
                <w:noProof/>
                <w:webHidden/>
              </w:rPr>
              <w:instrText xml:space="preserve"> PAGEREF _Toc257615437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425F8D">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sidR="0034690E">
              <w:rPr>
                <w:noProof/>
                <w:webHidden/>
              </w:rPr>
              <w:fldChar w:fldCharType="begin"/>
            </w:r>
            <w:r w:rsidR="00EF4C85">
              <w:rPr>
                <w:noProof/>
                <w:webHidden/>
              </w:rPr>
              <w:instrText xml:space="preserve"> PAGEREF _Toc257615438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425F8D">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sidR="0034690E">
              <w:rPr>
                <w:noProof/>
                <w:webHidden/>
              </w:rPr>
              <w:fldChar w:fldCharType="begin"/>
            </w:r>
            <w:r w:rsidR="00EF4C85">
              <w:rPr>
                <w:noProof/>
                <w:webHidden/>
              </w:rPr>
              <w:instrText xml:space="preserve"> PAGEREF _Toc257615439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CA1648" w:rsidP="009A3173">
          <w:pPr>
            <w:pStyle w:val="PSI-Ttulo"/>
          </w:pPr>
          <w:r>
            <w:t>CU03 – Importar mesas de examen</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9F5691" w:rsidRDefault="00C46671" w:rsidP="009F5691">
      <w:pPr>
        <w:jc w:val="both"/>
      </w:pPr>
      <w:r>
        <w:t>Este caso de uso es iniciado por el actor. Tiene la opción de</w:t>
      </w:r>
      <w:r w:rsidR="001A07DA">
        <w:t xml:space="preserve"> importar un archivo con mesas de examen. </w:t>
      </w:r>
      <w:r>
        <w:t xml:space="preserve"> </w:t>
      </w: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9F5691" w:rsidRDefault="009F5691" w:rsidP="009F5691">
      <w:pPr>
        <w:pStyle w:val="Prrafodelista"/>
        <w:numPr>
          <w:ilvl w:val="0"/>
          <w:numId w:val="14"/>
        </w:numPr>
        <w:jc w:val="both"/>
      </w:pPr>
      <w:r>
        <w:t>Administrador.</w:t>
      </w:r>
    </w:p>
    <w:p w:rsidR="00F532CF" w:rsidRPr="002E175C" w:rsidRDefault="009F5691" w:rsidP="004D416F">
      <w:pPr>
        <w:pStyle w:val="Prrafodelista"/>
        <w:numPr>
          <w:ilvl w:val="0"/>
          <w:numId w:val="14"/>
        </w:numPr>
        <w:jc w:val="both"/>
      </w:pPr>
      <w:r>
        <w:t>Secretaría Académica.</w:t>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F532CF" w:rsidRPr="004D416F" w:rsidRDefault="00785DBB" w:rsidP="004D416F">
      <w:pPr>
        <w:jc w:val="both"/>
        <w:rPr>
          <w:lang w:eastAsia="ar-SA"/>
        </w:rPr>
      </w:pPr>
      <w:r>
        <w:rPr>
          <w:lang w:eastAsia="ar-SA"/>
        </w:rPr>
        <w:t>El actor  Administrador o Secretaria Académica  ha solicitado ingresar al sistema y se le ha permitido el ingreso</w:t>
      </w:r>
      <w:r w:rsidR="001A07DA">
        <w:rPr>
          <w:lang w:eastAsia="ar-SA"/>
        </w:rPr>
        <w:t xml:space="preserve"> (ingreso correcto de usuario)</w:t>
      </w:r>
      <w:r>
        <w:rPr>
          <w:lang w:eastAsia="ar-SA"/>
        </w:rPr>
        <w:t>.</w:t>
      </w:r>
      <w:r w:rsidR="001A07DA">
        <w:rPr>
          <w:lang w:eastAsia="ar-SA"/>
        </w:rPr>
        <w:t xml:space="preserve"> </w:t>
      </w: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C46671" w:rsidRDefault="00C46671" w:rsidP="004D416F">
      <w:pPr>
        <w:pStyle w:val="Prrafodelista"/>
        <w:numPr>
          <w:ilvl w:val="0"/>
          <w:numId w:val="15"/>
        </w:numPr>
        <w:jc w:val="both"/>
      </w:pPr>
      <w:r>
        <w:t>El actor solicita “Importar”</w:t>
      </w:r>
      <w:r w:rsidR="004D416F">
        <w:t xml:space="preserve"> en la I</w:t>
      </w:r>
      <w:r w:rsidR="00BD38A4">
        <w:t>nterface</w:t>
      </w:r>
      <w:r w:rsidR="004D416F">
        <w:t xml:space="preserve"> </w:t>
      </w:r>
      <w:r>
        <w:t>U</w:t>
      </w:r>
      <w:r w:rsidR="00BD38A4">
        <w:t>suario.</w:t>
      </w:r>
    </w:p>
    <w:p w:rsidR="00BD38A4" w:rsidRDefault="00BD38A4" w:rsidP="004D416F">
      <w:pPr>
        <w:pStyle w:val="Prrafodelista"/>
        <w:numPr>
          <w:ilvl w:val="0"/>
          <w:numId w:val="15"/>
        </w:numPr>
        <w:jc w:val="both"/>
      </w:pPr>
      <w:r>
        <w:t>La Interface</w:t>
      </w:r>
      <w:r w:rsidR="004D416F">
        <w:t xml:space="preserve"> </w:t>
      </w:r>
      <w:r>
        <w:t xml:space="preserve">Usuario </w:t>
      </w:r>
      <w:r w:rsidR="004D416F">
        <w:t>despliega la P</w:t>
      </w:r>
      <w:r>
        <w:t>antalla</w:t>
      </w:r>
      <w:r w:rsidR="004D416F">
        <w:t xml:space="preserve"> </w:t>
      </w:r>
      <w:r>
        <w:t>Importar</w:t>
      </w:r>
      <w:r w:rsidR="004D416F">
        <w:t xml:space="preserve"> </w:t>
      </w:r>
      <w:r>
        <w:t>Mesas.</w:t>
      </w:r>
    </w:p>
    <w:p w:rsidR="00BD38A4" w:rsidRDefault="004D416F" w:rsidP="004D416F">
      <w:pPr>
        <w:pStyle w:val="Prrafodelista"/>
        <w:numPr>
          <w:ilvl w:val="0"/>
          <w:numId w:val="15"/>
        </w:numPr>
        <w:jc w:val="both"/>
      </w:pPr>
      <w:r>
        <w:t>La P</w:t>
      </w:r>
      <w:r w:rsidR="00BD38A4">
        <w:t>antalla</w:t>
      </w:r>
      <w:r>
        <w:t xml:space="preserve"> </w:t>
      </w:r>
      <w:r w:rsidR="00BD38A4">
        <w:t>Importar</w:t>
      </w:r>
      <w:r>
        <w:t xml:space="preserve"> </w:t>
      </w:r>
      <w:r w:rsidR="00BD38A4">
        <w:t>Mesas se despliega.</w:t>
      </w:r>
    </w:p>
    <w:p w:rsidR="00BC3596" w:rsidRDefault="00BC3596" w:rsidP="004D416F">
      <w:pPr>
        <w:pStyle w:val="Prrafodelista"/>
        <w:numPr>
          <w:ilvl w:val="0"/>
          <w:numId w:val="15"/>
        </w:numPr>
        <w:jc w:val="both"/>
      </w:pPr>
      <w:r>
        <w:t>El actor presiona “Seleccionar” para elegir un archivo.</w:t>
      </w:r>
    </w:p>
    <w:p w:rsidR="00FE664B" w:rsidRDefault="004D416F" w:rsidP="004D416F">
      <w:pPr>
        <w:pStyle w:val="Prrafodelista"/>
        <w:numPr>
          <w:ilvl w:val="0"/>
          <w:numId w:val="15"/>
        </w:numPr>
        <w:jc w:val="both"/>
      </w:pPr>
      <w:r>
        <w:t>La P</w:t>
      </w:r>
      <w:r w:rsidR="00FE664B">
        <w:t>antalla</w:t>
      </w:r>
      <w:r>
        <w:t xml:space="preserve"> </w:t>
      </w:r>
      <w:r w:rsidR="00FE664B">
        <w:t>Importar</w:t>
      </w:r>
      <w:r>
        <w:t xml:space="preserve"> </w:t>
      </w:r>
      <w:r w:rsidR="00FE664B">
        <w:t>Mesas muestra el nombre del archivo seleccionado.</w:t>
      </w:r>
    </w:p>
    <w:p w:rsidR="00FE664B" w:rsidRDefault="00FE664B" w:rsidP="004D416F">
      <w:pPr>
        <w:pStyle w:val="Prrafodelista"/>
        <w:numPr>
          <w:ilvl w:val="0"/>
          <w:numId w:val="15"/>
        </w:numPr>
        <w:jc w:val="both"/>
      </w:pPr>
      <w:r>
        <w:t>El actor presiona “Cargar”</w:t>
      </w:r>
      <w:r w:rsidR="004D416F">
        <w:t xml:space="preserve"> sobre la Pantalla Importar Mesas</w:t>
      </w:r>
      <w:r>
        <w:t>.</w:t>
      </w:r>
    </w:p>
    <w:p w:rsidR="00FE664B" w:rsidRDefault="004D416F" w:rsidP="004D416F">
      <w:pPr>
        <w:pStyle w:val="Prrafodelista"/>
        <w:numPr>
          <w:ilvl w:val="0"/>
          <w:numId w:val="15"/>
        </w:numPr>
        <w:jc w:val="both"/>
      </w:pPr>
      <w:r>
        <w:t>La Pantalla Importar Mesas envía el evento “Cargar” al Manejador Mesas.</w:t>
      </w:r>
    </w:p>
    <w:p w:rsidR="004D416F" w:rsidRDefault="004D416F" w:rsidP="004D416F">
      <w:pPr>
        <w:pStyle w:val="Prrafodelista"/>
        <w:numPr>
          <w:ilvl w:val="0"/>
          <w:numId w:val="15"/>
        </w:numPr>
        <w:jc w:val="both"/>
      </w:pPr>
      <w:r>
        <w:t>El Manejador Mesas lee el archivo seleccionado.</w:t>
      </w:r>
    </w:p>
    <w:p w:rsidR="004D416F" w:rsidRDefault="004D416F" w:rsidP="004D416F">
      <w:pPr>
        <w:pStyle w:val="Prrafodelista"/>
        <w:numPr>
          <w:ilvl w:val="0"/>
          <w:numId w:val="15"/>
        </w:numPr>
        <w:jc w:val="both"/>
      </w:pPr>
      <w:r>
        <w:t>Mientras haya filas en el archivo:</w:t>
      </w:r>
    </w:p>
    <w:p w:rsidR="004D416F" w:rsidRDefault="004D416F" w:rsidP="004D416F">
      <w:pPr>
        <w:pStyle w:val="Prrafodelista"/>
        <w:numPr>
          <w:ilvl w:val="1"/>
          <w:numId w:val="15"/>
        </w:numPr>
        <w:jc w:val="both"/>
      </w:pPr>
      <w:r>
        <w:t>El Manejador Mesas lee fila.</w:t>
      </w:r>
    </w:p>
    <w:p w:rsidR="004D416F" w:rsidRDefault="004D416F" w:rsidP="004D416F">
      <w:pPr>
        <w:pStyle w:val="Prrafodelista"/>
        <w:numPr>
          <w:ilvl w:val="1"/>
          <w:numId w:val="15"/>
        </w:numPr>
        <w:jc w:val="both"/>
      </w:pPr>
      <w:r>
        <w:t>El Manejador Mesas solicita crear (</w:t>
      </w:r>
      <w:proofErr w:type="spellStart"/>
      <w:r>
        <w:t>MesaExamen</w:t>
      </w:r>
      <w:proofErr w:type="spellEnd"/>
      <w:r>
        <w:t>) a Mesa Examen.</w:t>
      </w:r>
    </w:p>
    <w:p w:rsidR="004D416F" w:rsidRDefault="004D416F" w:rsidP="004D416F">
      <w:pPr>
        <w:pStyle w:val="Prrafodelista"/>
        <w:numPr>
          <w:ilvl w:val="1"/>
          <w:numId w:val="15"/>
        </w:numPr>
        <w:jc w:val="both"/>
      </w:pPr>
      <w:r>
        <w:t>Mesa Examen solicita crear mesa de examen a la base de datos.</w:t>
      </w:r>
    </w:p>
    <w:p w:rsidR="004D416F" w:rsidRDefault="004D416F" w:rsidP="004D416F">
      <w:pPr>
        <w:pStyle w:val="Prrafodelista"/>
        <w:numPr>
          <w:ilvl w:val="1"/>
          <w:numId w:val="15"/>
        </w:numPr>
        <w:jc w:val="both"/>
      </w:pPr>
      <w:r>
        <w:t>La base de datos envía el evento “ok” a Mesa Examen.</w:t>
      </w:r>
    </w:p>
    <w:p w:rsidR="004D416F" w:rsidRDefault="004D416F" w:rsidP="004D416F">
      <w:pPr>
        <w:pStyle w:val="Prrafodelista"/>
        <w:numPr>
          <w:ilvl w:val="1"/>
          <w:numId w:val="15"/>
        </w:numPr>
        <w:jc w:val="both"/>
      </w:pPr>
      <w:r>
        <w:t>Mesa Examen envía el evento “ok” al Manejador Mesas.</w:t>
      </w:r>
    </w:p>
    <w:p w:rsidR="004D416F" w:rsidRDefault="004D416F" w:rsidP="004D416F">
      <w:pPr>
        <w:pStyle w:val="Prrafodelista"/>
        <w:numPr>
          <w:ilvl w:val="1"/>
          <w:numId w:val="15"/>
        </w:numPr>
        <w:jc w:val="both"/>
      </w:pPr>
      <w:r>
        <w:t>El Manejador Mesas guarda la mesa de examen en un arreglo de éxito.</w:t>
      </w:r>
    </w:p>
    <w:p w:rsidR="004D416F" w:rsidRDefault="004D416F" w:rsidP="004D416F">
      <w:pPr>
        <w:pStyle w:val="Prrafodelista"/>
        <w:numPr>
          <w:ilvl w:val="0"/>
          <w:numId w:val="15"/>
        </w:numPr>
        <w:jc w:val="both"/>
      </w:pPr>
      <w:r>
        <w:t>El Manejador Mesas solicita desplegar Pantalla Resultado Importar Mesas.</w:t>
      </w:r>
    </w:p>
    <w:p w:rsidR="00F532CF" w:rsidRDefault="004D416F" w:rsidP="004D416F">
      <w:pPr>
        <w:pStyle w:val="Prrafodelista"/>
        <w:numPr>
          <w:ilvl w:val="0"/>
          <w:numId w:val="15"/>
        </w:numPr>
        <w:jc w:val="both"/>
      </w:pPr>
      <w:r>
        <w:t xml:space="preserve">La Pantalla Resultado Importar Mesas se despliega mostrando las mesas de examen que se han guardado correctamente. </w:t>
      </w:r>
    </w:p>
    <w:p w:rsidR="00F532CF" w:rsidRDefault="00F532CF" w:rsidP="00F532CF">
      <w:pPr>
        <w:pStyle w:val="PSI-Ttulo1"/>
      </w:pPr>
      <w:bookmarkStart w:id="12" w:name="_Toc228206479"/>
      <w:bookmarkStart w:id="13" w:name="_Toc234686584"/>
      <w:bookmarkStart w:id="14" w:name="_Toc257615433"/>
      <w:proofErr w:type="spellStart"/>
      <w:r>
        <w:t>Poscondiciones</w:t>
      </w:r>
      <w:bookmarkEnd w:id="12"/>
      <w:bookmarkEnd w:id="13"/>
      <w:bookmarkEnd w:id="14"/>
      <w:proofErr w:type="spellEnd"/>
      <w:r>
        <w:t xml:space="preserve"> </w:t>
      </w:r>
    </w:p>
    <w:p w:rsidR="00B34860" w:rsidRPr="002E175C" w:rsidRDefault="00B34860" w:rsidP="006C6F01">
      <w:pPr>
        <w:jc w:val="both"/>
      </w:pPr>
      <w:r>
        <w:rPr>
          <w:lang w:eastAsia="ar-SA"/>
        </w:rPr>
        <w:t>La instancia del caso de uso termina cuando el archivo se ha cargado satisfactoriamente. O bien si no se ha realizado ninguna modificación y seg</w:t>
      </w:r>
      <w:r w:rsidR="00317B9C">
        <w:rPr>
          <w:lang w:eastAsia="ar-SA"/>
        </w:rPr>
        <w:t>uirán vigentes las mesas cargada</w:t>
      </w:r>
      <w:r>
        <w:rPr>
          <w:lang w:eastAsia="ar-SA"/>
        </w:rPr>
        <w:t>s anteriormente.</w:t>
      </w: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257615434"/>
      <w:r>
        <w:lastRenderedPageBreak/>
        <w:t>Flujo de Eventos Alternativo</w:t>
      </w:r>
      <w:bookmarkEnd w:id="15"/>
      <w:bookmarkEnd w:id="16"/>
      <w:bookmarkEnd w:id="17"/>
    </w:p>
    <w:p w:rsidR="007C39B1" w:rsidRPr="002E175C" w:rsidRDefault="00F532CF" w:rsidP="006C6F01">
      <w:pPr>
        <w:jc w:val="both"/>
      </w:pPr>
      <w:r w:rsidRPr="002E175C">
        <w:t xml:space="preserve">[Descripción del flujo alternativo, en </w:t>
      </w:r>
      <w:proofErr w:type="spellStart"/>
      <w:r w:rsidRPr="002E175C">
        <w:t>qu</w:t>
      </w:r>
      <w:r w:rsidR="00AD2232">
        <w:t>e</w:t>
      </w:r>
      <w:proofErr w:type="spellEnd"/>
      <w:r w:rsidRPr="002E175C">
        <w:t xml:space="preserve"> punto se puede producir, qu</w:t>
      </w:r>
      <w:r w:rsidR="00AD2232">
        <w:t>e</w:t>
      </w:r>
      <w:r w:rsidRPr="002E175C">
        <w:t xml:space="preserve"> acciones se realizarán, etc.]</w:t>
      </w:r>
      <w:r>
        <w:br/>
      </w:r>
    </w:p>
    <w:p w:rsidR="00F532CF" w:rsidRDefault="00F532CF" w:rsidP="00F532CF">
      <w:pPr>
        <w:pStyle w:val="PSI-Ttulo1"/>
      </w:pPr>
      <w:bookmarkStart w:id="18" w:name="_Toc228206481"/>
      <w:bookmarkStart w:id="19" w:name="_Toc234686586"/>
      <w:bookmarkStart w:id="20" w:name="_Toc257615435"/>
      <w:r>
        <w:t>Diagramas Asociados</w:t>
      </w:r>
      <w:bookmarkEnd w:id="18"/>
      <w:bookmarkEnd w:id="19"/>
      <w:bookmarkEnd w:id="20"/>
    </w:p>
    <w:p w:rsidR="00F9473E" w:rsidRDefault="00F9473E" w:rsidP="006C6F01">
      <w:pPr>
        <w:jc w:val="both"/>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21" w:name="_Toc257615436"/>
      <w:r>
        <w:t>Diagrama de Casos de Uso</w:t>
      </w:r>
      <w:bookmarkEnd w:id="21"/>
    </w:p>
    <w:p w:rsidR="007C39B1" w:rsidRDefault="002F700F" w:rsidP="006C6F01">
      <w:pPr>
        <w:jc w:val="both"/>
      </w:pPr>
      <w:r>
        <w:t>Se observa a continuación una extracción del diagrama de casos de uso del sistema. Se puede ver como los actores interactúan con el presente caso de uso y la relación que este tiene con el caso de uso ingresar al sistema.</w:t>
      </w:r>
    </w:p>
    <w:p w:rsidR="002F700F" w:rsidRDefault="002F700F" w:rsidP="006C6F01">
      <w:pPr>
        <w:jc w:val="both"/>
      </w:pPr>
      <w:r>
        <w:rPr>
          <w:noProof/>
          <w:lang w:val="es-AR" w:eastAsia="es-AR"/>
        </w:rPr>
        <w:drawing>
          <wp:inline distT="0" distB="0" distL="0" distR="0">
            <wp:extent cx="5400040" cy="17265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U - CU03 - Importar mesas de examen .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1726565"/>
                    </a:xfrm>
                    <a:prstGeom prst="rect">
                      <a:avLst/>
                    </a:prstGeom>
                  </pic:spPr>
                </pic:pic>
              </a:graphicData>
            </a:graphic>
          </wp:inline>
        </w:drawing>
      </w:r>
    </w:p>
    <w:p w:rsidR="002F700F" w:rsidRDefault="002F700F" w:rsidP="00C84374">
      <w:pPr>
        <w:pStyle w:val="PSI-Comentario"/>
        <w:ind w:left="0" w:firstLine="0"/>
      </w:pPr>
    </w:p>
    <w:p w:rsidR="007C39B1" w:rsidRDefault="007C39B1" w:rsidP="007C39B1">
      <w:pPr>
        <w:pStyle w:val="PSI-Ttulo2"/>
      </w:pPr>
      <w:bookmarkStart w:id="22" w:name="_Toc257615437"/>
      <w:r>
        <w:t>Diagrama de Secuencia</w:t>
      </w:r>
      <w:bookmarkEnd w:id="22"/>
    </w:p>
    <w:p w:rsidR="007C39B1" w:rsidRDefault="00E60FBF" w:rsidP="007C39B1">
      <w:pPr>
        <w:pStyle w:val="PSI-Normal"/>
        <w:jc w:val="center"/>
      </w:pPr>
      <w:r>
        <w:rPr>
          <w:noProof/>
          <w:lang w:eastAsia="es-AR"/>
        </w:rPr>
        <w:drawing>
          <wp:inline distT="0" distB="0" distL="0" distR="0">
            <wp:extent cx="5400040" cy="269113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 - CU03 - Importar mesas de examen.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2691130"/>
                    </a:xfrm>
                    <a:prstGeom prst="rect">
                      <a:avLst/>
                    </a:prstGeom>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3" w:name="_Toc257615438"/>
      <w:r w:rsidRPr="00B64180">
        <w:lastRenderedPageBreak/>
        <w:t>Diagrama de Colaboración</w:t>
      </w:r>
      <w:bookmarkEnd w:id="23"/>
    </w:p>
    <w:p w:rsidR="00B64180" w:rsidRPr="00B64180" w:rsidRDefault="00F368E5" w:rsidP="006C6F01">
      <w:pPr>
        <w:jc w:val="both"/>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6C6F01">
      <w:pPr>
        <w:jc w:val="both"/>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6C6F01">
      <w:pPr>
        <w:jc w:val="both"/>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4D4B15" w:rsidP="00B24DEA">
      <w:pPr>
        <w:pStyle w:val="PSI-Normal"/>
        <w:jc w:val="center"/>
      </w:pPr>
      <w:bookmarkStart w:id="24" w:name="_GoBack"/>
      <w:r>
        <w:rPr>
          <w:noProof/>
          <w:lang w:eastAsia="es-AR"/>
        </w:rPr>
        <w:drawing>
          <wp:inline distT="0" distB="0" distL="0" distR="0">
            <wp:extent cx="5400040" cy="34004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Comunicación1.jpg"/>
                    <pic:cNvPicPr/>
                  </pic:nvPicPr>
                  <pic:blipFill rotWithShape="1">
                    <a:blip r:embed="rId15">
                      <a:extLst>
                        <a:ext uri="{28A0092B-C50C-407E-A947-70E740481C1C}">
                          <a14:useLocalDpi xmlns:a14="http://schemas.microsoft.com/office/drawing/2010/main" val="0"/>
                        </a:ext>
                      </a:extLst>
                    </a:blip>
                    <a:srcRect b="7942"/>
                    <a:stretch/>
                  </pic:blipFill>
                  <pic:spPr bwMode="auto">
                    <a:xfrm>
                      <a:off x="0" y="0"/>
                      <a:ext cx="5400040" cy="3400425"/>
                    </a:xfrm>
                    <a:prstGeom prst="rect">
                      <a:avLst/>
                    </a:prstGeom>
                    <a:ln>
                      <a:noFill/>
                    </a:ln>
                    <a:extLst>
                      <a:ext uri="{53640926-AAD7-44D8-BBD7-CCE9431645EC}">
                        <a14:shadowObscured xmlns:a14="http://schemas.microsoft.com/office/drawing/2010/main"/>
                      </a:ext>
                    </a:extLst>
                  </pic:spPr>
                </pic:pic>
              </a:graphicData>
            </a:graphic>
          </wp:inline>
        </w:drawing>
      </w:r>
      <w:bookmarkEnd w:id="24"/>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257615439"/>
      <w:r>
        <w:t>Diagrama de Estados</w:t>
      </w:r>
      <w:bookmarkEnd w:id="25"/>
    </w:p>
    <w:p w:rsidR="00B24DEA" w:rsidRPr="00B24DEA" w:rsidRDefault="001953ED" w:rsidP="006C6F01">
      <w:pPr>
        <w:jc w:val="both"/>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6C6F01">
      <w:pPr>
        <w:jc w:val="both"/>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6C6F01">
      <w:pPr>
        <w:jc w:val="both"/>
      </w:pPr>
      <w:r w:rsidRPr="00B24DEA">
        <w:lastRenderedPageBreak/>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B24DEA">
      <w:pPr>
        <w:pStyle w:val="PSI-Ttulo1"/>
      </w:pPr>
      <w:r>
        <w:rPr>
          <w:noProof/>
          <w:lang w:eastAsia="es-AR"/>
        </w:rPr>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6"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F8D" w:rsidRDefault="00425F8D" w:rsidP="00C94FBE">
      <w:pPr>
        <w:spacing w:before="0" w:line="240" w:lineRule="auto"/>
      </w:pPr>
      <w:r>
        <w:separator/>
      </w:r>
    </w:p>
    <w:p w:rsidR="00425F8D" w:rsidRDefault="00425F8D"/>
  </w:endnote>
  <w:endnote w:type="continuationSeparator" w:id="0">
    <w:p w:rsidR="00425F8D" w:rsidRDefault="00425F8D" w:rsidP="00C94FBE">
      <w:pPr>
        <w:spacing w:before="0" w:line="240" w:lineRule="auto"/>
      </w:pPr>
      <w:r>
        <w:continuationSeparator/>
      </w:r>
    </w:p>
    <w:p w:rsidR="00425F8D" w:rsidRDefault="00425F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425F8D"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4D4B15">
          <w:rPr>
            <w:rFonts w:asciiTheme="majorHAnsi" w:hAnsiTheme="majorHAnsi" w:cstheme="majorHAnsi"/>
            <w:noProof/>
          </w:rPr>
          <w:t>6</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4D4B15">
          <w:rPr>
            <w:rFonts w:asciiTheme="majorHAnsi" w:hAnsiTheme="majorHAnsi" w:cstheme="majorHAnsi"/>
            <w:noProof/>
          </w:rPr>
          <w:t>7</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F8D" w:rsidRDefault="00425F8D" w:rsidP="00C94FBE">
      <w:pPr>
        <w:spacing w:before="0" w:line="240" w:lineRule="auto"/>
      </w:pPr>
      <w:r>
        <w:separator/>
      </w:r>
    </w:p>
    <w:p w:rsidR="00425F8D" w:rsidRDefault="00425F8D"/>
  </w:footnote>
  <w:footnote w:type="continuationSeparator" w:id="0">
    <w:p w:rsidR="00425F8D" w:rsidRDefault="00425F8D" w:rsidP="00C94FBE">
      <w:pPr>
        <w:spacing w:before="0" w:line="240" w:lineRule="auto"/>
      </w:pPr>
      <w:r>
        <w:continuationSeparator/>
      </w:r>
    </w:p>
    <w:p w:rsidR="00425F8D" w:rsidRDefault="00425F8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CA1648">
        <w:pPr>
          <w:pStyle w:val="Encabezado"/>
          <w:rPr>
            <w:rFonts w:asciiTheme="majorHAnsi" w:eastAsiaTheme="majorEastAsia" w:hAnsiTheme="majorHAnsi" w:cstheme="majorBidi"/>
          </w:rPr>
        </w:pPr>
        <w:r>
          <w:rPr>
            <w:rFonts w:asciiTheme="majorHAnsi" w:eastAsiaTheme="majorEastAsia" w:hAnsiTheme="majorHAnsi" w:cstheme="majorBidi"/>
          </w:rPr>
          <w:t>CU03 – Importar mesas de examen</w:t>
        </w:r>
      </w:p>
    </w:sdtContent>
  </w:sdt>
  <w:p w:rsidR="00D255E1" w:rsidRPr="000F4F97" w:rsidRDefault="00425F8D"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72A61DB"/>
    <w:multiLevelType w:val="hybridMultilevel"/>
    <w:tmpl w:val="4FA61FF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58377E9D"/>
    <w:multiLevelType w:val="hybridMultilevel"/>
    <w:tmpl w:val="AFCC9FA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9"/>
  </w:num>
  <w:num w:numId="13">
    <w:abstractNumId w:val="7"/>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7EFE"/>
    <w:rsid w:val="00026B02"/>
    <w:rsid w:val="00045F1A"/>
    <w:rsid w:val="00063180"/>
    <w:rsid w:val="00066EA1"/>
    <w:rsid w:val="00084CED"/>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07DA"/>
    <w:rsid w:val="001A2EE6"/>
    <w:rsid w:val="001C3DCF"/>
    <w:rsid w:val="001C6104"/>
    <w:rsid w:val="001C799E"/>
    <w:rsid w:val="001F5F92"/>
    <w:rsid w:val="0020621B"/>
    <w:rsid w:val="00217A70"/>
    <w:rsid w:val="00224B75"/>
    <w:rsid w:val="00253D2B"/>
    <w:rsid w:val="00266C42"/>
    <w:rsid w:val="00295CA9"/>
    <w:rsid w:val="002A41AA"/>
    <w:rsid w:val="002B506A"/>
    <w:rsid w:val="002B5AF9"/>
    <w:rsid w:val="002D0CCB"/>
    <w:rsid w:val="002E0AB6"/>
    <w:rsid w:val="002E7874"/>
    <w:rsid w:val="002F1461"/>
    <w:rsid w:val="002F700F"/>
    <w:rsid w:val="003130E3"/>
    <w:rsid w:val="00313D10"/>
    <w:rsid w:val="003149A1"/>
    <w:rsid w:val="003163C6"/>
    <w:rsid w:val="00317B9C"/>
    <w:rsid w:val="00344258"/>
    <w:rsid w:val="00346864"/>
    <w:rsid w:val="0034690E"/>
    <w:rsid w:val="00350E39"/>
    <w:rsid w:val="003560F2"/>
    <w:rsid w:val="00363FD1"/>
    <w:rsid w:val="003841FD"/>
    <w:rsid w:val="00397566"/>
    <w:rsid w:val="003B09CA"/>
    <w:rsid w:val="003B7F1F"/>
    <w:rsid w:val="003C54B1"/>
    <w:rsid w:val="003E12FE"/>
    <w:rsid w:val="0040066E"/>
    <w:rsid w:val="00425F8D"/>
    <w:rsid w:val="004525FF"/>
    <w:rsid w:val="004807AF"/>
    <w:rsid w:val="00484C92"/>
    <w:rsid w:val="004A54C8"/>
    <w:rsid w:val="004C5D7E"/>
    <w:rsid w:val="004D416F"/>
    <w:rsid w:val="004D45CD"/>
    <w:rsid w:val="004D4B15"/>
    <w:rsid w:val="004D5185"/>
    <w:rsid w:val="004E4935"/>
    <w:rsid w:val="004F4D25"/>
    <w:rsid w:val="005017FA"/>
    <w:rsid w:val="005046A5"/>
    <w:rsid w:val="00504A67"/>
    <w:rsid w:val="00511D9A"/>
    <w:rsid w:val="00515617"/>
    <w:rsid w:val="0052017A"/>
    <w:rsid w:val="0054468E"/>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919D5"/>
    <w:rsid w:val="006A2495"/>
    <w:rsid w:val="006B3371"/>
    <w:rsid w:val="006C6F01"/>
    <w:rsid w:val="006D0E55"/>
    <w:rsid w:val="006E235A"/>
    <w:rsid w:val="006E3853"/>
    <w:rsid w:val="006F3234"/>
    <w:rsid w:val="0070494E"/>
    <w:rsid w:val="00705C02"/>
    <w:rsid w:val="00710BA6"/>
    <w:rsid w:val="00711DF8"/>
    <w:rsid w:val="00716211"/>
    <w:rsid w:val="007447BE"/>
    <w:rsid w:val="00785DBB"/>
    <w:rsid w:val="007A33C6"/>
    <w:rsid w:val="007B151B"/>
    <w:rsid w:val="007B2E53"/>
    <w:rsid w:val="007C39B1"/>
    <w:rsid w:val="007C742C"/>
    <w:rsid w:val="007D7477"/>
    <w:rsid w:val="007E65AD"/>
    <w:rsid w:val="007E66A5"/>
    <w:rsid w:val="007F38C0"/>
    <w:rsid w:val="008003C5"/>
    <w:rsid w:val="00801130"/>
    <w:rsid w:val="00816B5F"/>
    <w:rsid w:val="00817955"/>
    <w:rsid w:val="00822C20"/>
    <w:rsid w:val="008539BD"/>
    <w:rsid w:val="00861B8F"/>
    <w:rsid w:val="008652EE"/>
    <w:rsid w:val="00866124"/>
    <w:rsid w:val="00866435"/>
    <w:rsid w:val="00867DE9"/>
    <w:rsid w:val="00870574"/>
    <w:rsid w:val="00885BB2"/>
    <w:rsid w:val="008860FE"/>
    <w:rsid w:val="00886C98"/>
    <w:rsid w:val="008970F4"/>
    <w:rsid w:val="008B1983"/>
    <w:rsid w:val="008B3B0F"/>
    <w:rsid w:val="008C36AB"/>
    <w:rsid w:val="008E48FB"/>
    <w:rsid w:val="00904CB6"/>
    <w:rsid w:val="0092483A"/>
    <w:rsid w:val="00942049"/>
    <w:rsid w:val="0096683E"/>
    <w:rsid w:val="0098045E"/>
    <w:rsid w:val="009A3173"/>
    <w:rsid w:val="009E25EF"/>
    <w:rsid w:val="009E4DA8"/>
    <w:rsid w:val="009F4449"/>
    <w:rsid w:val="009F5691"/>
    <w:rsid w:val="00A0436A"/>
    <w:rsid w:val="00A12B5B"/>
    <w:rsid w:val="00A13DBA"/>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4860"/>
    <w:rsid w:val="00B36B62"/>
    <w:rsid w:val="00B64180"/>
    <w:rsid w:val="00B77F48"/>
    <w:rsid w:val="00B92D9A"/>
    <w:rsid w:val="00BA699A"/>
    <w:rsid w:val="00BB23C2"/>
    <w:rsid w:val="00BB4A41"/>
    <w:rsid w:val="00BB6AAE"/>
    <w:rsid w:val="00BB7855"/>
    <w:rsid w:val="00BC31E6"/>
    <w:rsid w:val="00BC3596"/>
    <w:rsid w:val="00BC5404"/>
    <w:rsid w:val="00BD38A4"/>
    <w:rsid w:val="00C05700"/>
    <w:rsid w:val="00C05B05"/>
    <w:rsid w:val="00C23F8C"/>
    <w:rsid w:val="00C24CDC"/>
    <w:rsid w:val="00C26C78"/>
    <w:rsid w:val="00C42873"/>
    <w:rsid w:val="00C46234"/>
    <w:rsid w:val="00C46671"/>
    <w:rsid w:val="00C50315"/>
    <w:rsid w:val="00C5135E"/>
    <w:rsid w:val="00C6733A"/>
    <w:rsid w:val="00C67EBC"/>
    <w:rsid w:val="00C7670E"/>
    <w:rsid w:val="00C84374"/>
    <w:rsid w:val="00C872BB"/>
    <w:rsid w:val="00C94FBE"/>
    <w:rsid w:val="00C97237"/>
    <w:rsid w:val="00C97238"/>
    <w:rsid w:val="00CA164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93143"/>
    <w:rsid w:val="00DA08B9"/>
    <w:rsid w:val="00DA2741"/>
    <w:rsid w:val="00DA284A"/>
    <w:rsid w:val="00DD0159"/>
    <w:rsid w:val="00DD5A70"/>
    <w:rsid w:val="00E01FEC"/>
    <w:rsid w:val="00E037C9"/>
    <w:rsid w:val="00E34178"/>
    <w:rsid w:val="00E36A01"/>
    <w:rsid w:val="00E41820"/>
    <w:rsid w:val="00E41E7A"/>
    <w:rsid w:val="00E438FE"/>
    <w:rsid w:val="00E5392A"/>
    <w:rsid w:val="00E60FBF"/>
    <w:rsid w:val="00E67DB5"/>
    <w:rsid w:val="00E7708C"/>
    <w:rsid w:val="00E8096E"/>
    <w:rsid w:val="00E84E25"/>
    <w:rsid w:val="00E93312"/>
    <w:rsid w:val="00EA6844"/>
    <w:rsid w:val="00EA7D8C"/>
    <w:rsid w:val="00EB080E"/>
    <w:rsid w:val="00EB62A6"/>
    <w:rsid w:val="00EE0084"/>
    <w:rsid w:val="00EF4C85"/>
    <w:rsid w:val="00F00114"/>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664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9B979C8A-3C36-4673-9A58-FFBC7AD3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785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D9E989-8BF7-4B22-8CFC-F96887F76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197</TotalTime>
  <Pages>7</Pages>
  <Words>782</Words>
  <Characters>4307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CU03 – Importar mesas de examen</vt:lpstr>
    </vt:vector>
  </TitlesOfParts>
  <Company>GRUPO DE DESARROLLO YENÚ</Company>
  <LinksUpToDate>false</LinksUpToDate>
  <CharactersWithSpaces>5079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CU03 – Importar mesas de examen</dc:title>
  <dc:subject>TEMPUS</dc:subject>
  <dc:creator>Emanuel</dc:creator>
  <cp:keywords/>
  <dc:description/>
  <cp:lastModifiedBy>Emanuel Marquez</cp:lastModifiedBy>
  <cp:revision>22</cp:revision>
  <dcterms:created xsi:type="dcterms:W3CDTF">2017-08-30T14:42:00Z</dcterms:created>
  <dcterms:modified xsi:type="dcterms:W3CDTF">2017-09-22T00:19:00Z</dcterms:modified>
</cp:coreProperties>
</file>