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86432">
          <w:pPr>
            <w:pStyle w:val="Sinespaciado"/>
            <w:rPr>
              <w:rFonts w:asciiTheme="majorHAnsi" w:eastAsiaTheme="majorEastAsia" w:hAnsiTheme="majorHAnsi" w:cstheme="majorBidi"/>
              <w:sz w:val="72"/>
              <w:szCs w:val="72"/>
            </w:rPr>
          </w:pPr>
          <w:r w:rsidRPr="00B86432">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8643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8643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B86432">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86432"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F7391" w:rsidRPr="007531CC" w:rsidRDefault="002F7391"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F7391" w:rsidRPr="006C0E65" w:rsidRDefault="002F7391" w:rsidP="007531CC">
                      <w:pPr>
                        <w:pStyle w:val="PSI-Comentario"/>
                      </w:pPr>
                    </w:p>
                    <w:p w:rsidR="002F7391" w:rsidRPr="005D1034" w:rsidRDefault="002F7391" w:rsidP="000C5BA0">
                      <w:pPr>
                        <w:pStyle w:val="PSI-DescripcindelDocumentos"/>
                      </w:pPr>
                    </w:p>
                  </w:txbxContent>
                </v:textbox>
                <w10:wrap type="square" anchorx="margin" anchory="margin"/>
              </v:shape>
            </w:pict>
          </w:r>
        </w:p>
        <w:p w:rsidR="00397566" w:rsidRPr="005313D3" w:rsidRDefault="00B86432"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B86432"/>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B86432">
          <w:pPr>
            <w:pStyle w:val="TDC1"/>
            <w:rPr>
              <w:rFonts w:eastAsiaTheme="minorEastAsia"/>
              <w:b w:val="0"/>
              <w:bCs w:val="0"/>
              <w:noProof/>
              <w:sz w:val="22"/>
              <w:szCs w:val="22"/>
              <w:lang w:eastAsia="es-ES"/>
            </w:rPr>
          </w:pPr>
          <w:r w:rsidRPr="00B86432">
            <w:fldChar w:fldCharType="begin"/>
          </w:r>
          <w:r w:rsidR="000F79DF">
            <w:instrText xml:space="preserve"> TOC \o "1-3" \h \z \u </w:instrText>
          </w:r>
          <w:r w:rsidRPr="00B86432">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86432">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B8643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w:t>
      </w:r>
      <w:r w:rsidR="007331A6" w:rsidRPr="003B3DBF">
        <w:lastRenderedPageBreak/>
        <w:t xml:space="preserve">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0334C9">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0334C9">
      <w:pPr>
        <w:pStyle w:val="PSI-Normal"/>
      </w:pPr>
    </w:p>
    <w:p w:rsidR="001D4D5C" w:rsidRDefault="001D4D5C" w:rsidP="000334C9">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0334C9">
      <w:pPr>
        <w:pStyle w:val="PSI-Normal"/>
      </w:pP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Pr="00CC4490" w:rsidRDefault="003B3DBF" w:rsidP="000334C9">
      <w:pPr>
        <w:pStyle w:val="PSI-Normal"/>
        <w:rPr>
          <w:color w:val="4BACC6" w:themeColor="accent5"/>
          <w:sz w:val="36"/>
          <w:szCs w:val="36"/>
        </w:rPr>
      </w:pPr>
      <w:r w:rsidRPr="00CC4490">
        <w:rPr>
          <w:color w:val="4BACC6" w:themeColor="accent5"/>
          <w:sz w:val="36"/>
          <w:szCs w:val="36"/>
        </w:rPr>
        <w:t>Gestión de Riesgo</w:t>
      </w:r>
    </w:p>
    <w:p w:rsidR="00CC4490" w:rsidRDefault="00CC4490" w:rsidP="000334C9">
      <w:pPr>
        <w:pStyle w:val="PSI-Normal"/>
      </w:pPr>
    </w:p>
    <w:p w:rsidR="00221747" w:rsidRDefault="00CC4490" w:rsidP="000334C9">
      <w:pPr>
        <w:pStyle w:val="PSI-Normal"/>
      </w:pPr>
      <w:r>
        <w:tab/>
      </w:r>
      <w:r w:rsidR="00221747">
        <w:t>En la siguiente evaluación de gestión de riesgo se realizaron los siguientes pasos:</w:t>
      </w:r>
    </w:p>
    <w:p w:rsidR="00221747" w:rsidRDefault="00665630" w:rsidP="000334C9">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334C9">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334C9">
      <w:pPr>
        <w:pStyle w:val="PSI-Normal"/>
      </w:pPr>
      <w:r>
        <w:tab/>
      </w:r>
      <w:r w:rsidR="00E159E4">
        <w:t xml:space="preserve">A continuación deberá indicarse una valoración para el impacto que este grupo de riesgos en su conjunto representa para el proyecto, siendo 5 el más alto impacto y 1 el más bajo. Una vez seleccionado este valor, se obtiene automáticamente un rating </w:t>
      </w:r>
      <w:r w:rsidR="00E159E4">
        <w:lastRenderedPageBreak/>
        <w:t>(Puntuación/Puntos Posibles x Impacto), el cual servirá para determinar en una etapa posterior el riesgo total del proyecto para la etapa actual de trabajo.</w:t>
      </w:r>
    </w:p>
    <w:p w:rsidR="00E159E4" w:rsidRDefault="00CC4490" w:rsidP="000334C9">
      <w:pPr>
        <w:pStyle w:val="PSI-Normal"/>
      </w:pPr>
      <w:r>
        <w:tab/>
      </w:r>
      <w:r w:rsidR="00E159E4">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0C5BA0">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0C5BA0">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0C5BA0">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0C5BA0">
      <w:pPr>
        <w:pStyle w:val="PSI-Normal"/>
      </w:pPr>
      <w:r>
        <w:lastRenderedPageBreak/>
        <w:tab/>
      </w:r>
      <w:r w:rsidRPr="000C5BA0">
        <w:t>Se había realizado considerando los casos de uso descriptos en el documento Modelo de Casos de Uso que no habían sido implementados hasta el momento.</w:t>
      </w:r>
    </w:p>
    <w:p w:rsidR="000C5BA0" w:rsidRPr="000C5BA0" w:rsidRDefault="000C5BA0" w:rsidP="000C5BA0">
      <w:pPr>
        <w:pStyle w:val="PSI-Normal"/>
      </w:pPr>
      <w:r>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0C5BA0">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0C5BA0">
      <w:pPr>
        <w:pStyle w:val="PSI-Normal"/>
      </w:pPr>
      <w:r w:rsidRPr="000C5BA0">
        <w:t xml:space="preserve">14 Casos de Usos, </w:t>
      </w:r>
    </w:p>
    <w:p w:rsidR="000C5BA0" w:rsidRPr="000C5BA0" w:rsidRDefault="000C5BA0" w:rsidP="000C5BA0">
      <w:pPr>
        <w:pStyle w:val="PSI-Normal"/>
      </w:pPr>
      <w:r w:rsidRPr="000C5BA0">
        <w:t>3 actores (administrador, público en general y secretaria académica)</w:t>
      </w:r>
    </w:p>
    <w:p w:rsidR="000C5BA0" w:rsidRPr="001867B5" w:rsidRDefault="000C5BA0" w:rsidP="000C5BA0">
      <w:pPr>
        <w:pStyle w:val="PSI-Normal"/>
        <w:rPr>
          <w:sz w:val="24"/>
          <w:szCs w:val="24"/>
        </w:rPr>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lastRenderedPageBreak/>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355B36" w:rsidRDefault="00BD24D5" w:rsidP="00355B36">
      <w:pPr>
        <w:pStyle w:val="Prrafodelista"/>
        <w:numPr>
          <w:ilvl w:val="0"/>
          <w:numId w:val="8"/>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55B36" w:rsidRDefault="0033141D" w:rsidP="00355B36">
      <w:pPr>
        <w:pStyle w:val="Prrafodelista"/>
        <w:numPr>
          <w:ilvl w:val="0"/>
          <w:numId w:val="9"/>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lastRenderedPageBreak/>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lastRenderedPageBreak/>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B86432"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7EF" w:rsidRDefault="00F517EF" w:rsidP="00C94FBE">
      <w:pPr>
        <w:spacing w:before="0" w:line="240" w:lineRule="auto"/>
      </w:pPr>
      <w:r>
        <w:separator/>
      </w:r>
    </w:p>
    <w:p w:rsidR="00F517EF" w:rsidRDefault="00F517EF"/>
  </w:endnote>
  <w:endnote w:type="continuationSeparator" w:id="1">
    <w:p w:rsidR="00F517EF" w:rsidRDefault="00F517EF" w:rsidP="00C94FBE">
      <w:pPr>
        <w:spacing w:before="0" w:line="240" w:lineRule="auto"/>
      </w:pPr>
      <w:r>
        <w:continuationSeparator/>
      </w:r>
    </w:p>
    <w:p w:rsidR="00F517EF" w:rsidRDefault="00F517E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91" w:rsidRDefault="002F739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B8643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20D3B">
          <w:rPr>
            <w:rFonts w:asciiTheme="majorHAnsi" w:hAnsiTheme="majorHAnsi" w:cstheme="majorHAnsi"/>
            <w:noProof/>
          </w:rPr>
          <w:t>30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20D3B">
          <w:rPr>
            <w:rFonts w:asciiTheme="majorHAnsi" w:hAnsiTheme="majorHAnsi" w:cstheme="majorHAnsi"/>
            <w:noProof/>
          </w:rPr>
          <w:t>30</w:t>
        </w:r>
        <w:r w:rsidRPr="00DD5A70">
          <w:rPr>
            <w:rFonts w:asciiTheme="majorHAnsi" w:hAnsiTheme="majorHAnsi" w:cstheme="majorHAnsi"/>
          </w:rPr>
          <w:fldChar w:fldCharType="end"/>
        </w:r>
      </w:sdtContent>
    </w:sdt>
  </w:p>
  <w:p w:rsidR="002F7391" w:rsidRDefault="002F7391"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7EF" w:rsidRDefault="00F517EF" w:rsidP="00C94FBE">
      <w:pPr>
        <w:spacing w:before="0" w:line="240" w:lineRule="auto"/>
      </w:pPr>
      <w:r>
        <w:separator/>
      </w:r>
    </w:p>
    <w:p w:rsidR="00F517EF" w:rsidRDefault="00F517EF"/>
  </w:footnote>
  <w:footnote w:type="continuationSeparator" w:id="1">
    <w:p w:rsidR="00F517EF" w:rsidRDefault="00F517EF" w:rsidP="00C94FBE">
      <w:pPr>
        <w:spacing w:before="0" w:line="240" w:lineRule="auto"/>
      </w:pPr>
      <w:r>
        <w:continuationSeparator/>
      </w:r>
    </w:p>
    <w:p w:rsidR="00F517EF" w:rsidRDefault="00F517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F7391" w:rsidRDefault="002F7391">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F7391" w:rsidRPr="000F4F97" w:rsidRDefault="002F73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8643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0E326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21"/>
  </w:num>
  <w:num w:numId="3">
    <w:abstractNumId w:val="15"/>
  </w:num>
  <w:num w:numId="4">
    <w:abstractNumId w:val="20"/>
  </w:num>
  <w:num w:numId="5">
    <w:abstractNumId w:val="27"/>
  </w:num>
  <w:num w:numId="6">
    <w:abstractNumId w:val="31"/>
  </w:num>
  <w:num w:numId="7">
    <w:abstractNumId w:val="17"/>
  </w:num>
  <w:num w:numId="8">
    <w:abstractNumId w:val="22"/>
  </w:num>
  <w:num w:numId="9">
    <w:abstractNumId w:val="18"/>
  </w:num>
  <w:num w:numId="10">
    <w:abstractNumId w:val="10"/>
  </w:num>
  <w:num w:numId="11">
    <w:abstractNumId w:val="6"/>
  </w:num>
  <w:num w:numId="12">
    <w:abstractNumId w:val="5"/>
  </w:num>
  <w:num w:numId="13">
    <w:abstractNumId w:val="25"/>
  </w:num>
  <w:num w:numId="14">
    <w:abstractNumId w:val="12"/>
  </w:num>
  <w:num w:numId="15">
    <w:abstractNumId w:val="7"/>
  </w:num>
  <w:num w:numId="16">
    <w:abstractNumId w:val="23"/>
  </w:num>
  <w:num w:numId="17">
    <w:abstractNumId w:val="24"/>
  </w:num>
  <w:num w:numId="18">
    <w:abstractNumId w:val="19"/>
  </w:num>
  <w:num w:numId="19">
    <w:abstractNumId w:val="30"/>
  </w:num>
  <w:num w:numId="20">
    <w:abstractNumId w:val="4"/>
  </w:num>
  <w:num w:numId="21">
    <w:abstractNumId w:val="29"/>
  </w:num>
  <w:num w:numId="22">
    <w:abstractNumId w:val="1"/>
  </w:num>
  <w:num w:numId="23">
    <w:abstractNumId w:val="16"/>
  </w:num>
  <w:num w:numId="24">
    <w:abstractNumId w:val="3"/>
  </w:num>
  <w:num w:numId="25">
    <w:abstractNumId w:val="11"/>
  </w:num>
  <w:num w:numId="26">
    <w:abstractNumId w:val="9"/>
  </w:num>
  <w:num w:numId="27">
    <w:abstractNumId w:val="32"/>
  </w:num>
  <w:num w:numId="28">
    <w:abstractNumId w:val="34"/>
  </w:num>
  <w:num w:numId="29">
    <w:abstractNumId w:val="14"/>
  </w:num>
  <w:num w:numId="30">
    <w:abstractNumId w:val="8"/>
  </w:num>
  <w:num w:numId="31">
    <w:abstractNumId w:val="26"/>
  </w:num>
  <w:num w:numId="32">
    <w:abstractNumId w:val="2"/>
  </w:num>
  <w:num w:numId="33">
    <w:abstractNumId w:val="0"/>
  </w:num>
  <w:num w:numId="34">
    <w:abstractNumId w:val="13"/>
  </w:num>
  <w:num w:numId="35">
    <w:abstractNumId w:val="2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96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3349C"/>
    <w:rsid w:val="000334C9"/>
    <w:rsid w:val="00037787"/>
    <w:rsid w:val="00045F1A"/>
    <w:rsid w:val="00047BC5"/>
    <w:rsid w:val="00083244"/>
    <w:rsid w:val="00085D4B"/>
    <w:rsid w:val="00087F53"/>
    <w:rsid w:val="00092BC0"/>
    <w:rsid w:val="000A0FE7"/>
    <w:rsid w:val="000A641D"/>
    <w:rsid w:val="000C23BE"/>
    <w:rsid w:val="000C4C42"/>
    <w:rsid w:val="000C4E31"/>
    <w:rsid w:val="000C5BA0"/>
    <w:rsid w:val="000D1034"/>
    <w:rsid w:val="000D2065"/>
    <w:rsid w:val="000D4C6E"/>
    <w:rsid w:val="000E6612"/>
    <w:rsid w:val="000E7D0D"/>
    <w:rsid w:val="000F1738"/>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756DA"/>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2080A"/>
    <w:rsid w:val="00420D3B"/>
    <w:rsid w:val="00423B81"/>
    <w:rsid w:val="00424C3F"/>
    <w:rsid w:val="00426468"/>
    <w:rsid w:val="00442291"/>
    <w:rsid w:val="0044230A"/>
    <w:rsid w:val="004525FF"/>
    <w:rsid w:val="00455A47"/>
    <w:rsid w:val="004622D7"/>
    <w:rsid w:val="0046727A"/>
    <w:rsid w:val="004807AF"/>
    <w:rsid w:val="004938E8"/>
    <w:rsid w:val="00495AF2"/>
    <w:rsid w:val="004A54C8"/>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42049"/>
    <w:rsid w:val="009426DE"/>
    <w:rsid w:val="0094444C"/>
    <w:rsid w:val="00953647"/>
    <w:rsid w:val="00954F48"/>
    <w:rsid w:val="0095690B"/>
    <w:rsid w:val="0096683E"/>
    <w:rsid w:val="00967541"/>
    <w:rsid w:val="009728C4"/>
    <w:rsid w:val="0097415C"/>
    <w:rsid w:val="009779D1"/>
    <w:rsid w:val="009A3173"/>
    <w:rsid w:val="009A393D"/>
    <w:rsid w:val="009B4C92"/>
    <w:rsid w:val="009C6398"/>
    <w:rsid w:val="009D36DF"/>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86432"/>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91122"/>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079BD"/>
    <w:rsid w:val="00E10E4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63F8"/>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96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4FF76-5318-4DB3-97AC-6ADB4070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3051</TotalTime>
  <Pages>30</Pages>
  <Words>6939</Words>
  <Characters>38170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121</cp:revision>
  <dcterms:created xsi:type="dcterms:W3CDTF">2017-09-02T01:35:00Z</dcterms:created>
  <dcterms:modified xsi:type="dcterms:W3CDTF">2020-08-31T00:41:00Z</dcterms:modified>
</cp:coreProperties>
</file>