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0C28" w:rsidRPr="003A0C28" w:rsidRDefault="00EB7A6D" w:rsidP="003A0C28">
      <w:pPr>
        <w:spacing w:after="120"/>
        <w:jc w:val="center"/>
        <w:rPr>
          <w:rFonts w:ascii="Times New Roman" w:hAnsi="Times New Roman" w:cs="Times New Roman"/>
          <w:b/>
          <w:bCs/>
          <w:sz w:val="28"/>
          <w:szCs w:val="28"/>
        </w:rPr>
      </w:pPr>
      <w:r w:rsidRPr="003A0C28">
        <w:rPr>
          <w:rFonts w:ascii="Times New Roman" w:hAnsi="Times New Roman" w:cs="Times New Roman"/>
          <w:b/>
          <w:bCs/>
          <w:sz w:val="28"/>
          <w:szCs w:val="28"/>
        </w:rPr>
        <w:t>Check on the MSE calculation of the Stable Model (&amp; the Lasso Model)</w:t>
      </w:r>
    </w:p>
    <w:p w:rsidR="00CB2052" w:rsidRDefault="00CB2052" w:rsidP="003A0C28">
      <w:pPr>
        <w:spacing w:after="120"/>
        <w:rPr>
          <w:rFonts w:ascii="Times New Roman" w:hAnsi="Times New Roman" w:cs="Times New Roman"/>
        </w:rPr>
      </w:pPr>
    </w:p>
    <w:p w:rsidR="001F54EC" w:rsidRPr="003A0C28" w:rsidRDefault="00EB7A6D" w:rsidP="003A0C28">
      <w:pPr>
        <w:spacing w:after="120"/>
        <w:rPr>
          <w:rFonts w:ascii="Times New Roman" w:hAnsi="Times New Roman" w:cs="Times New Roman"/>
        </w:rPr>
      </w:pPr>
      <w:r w:rsidRPr="003A0C28">
        <w:rPr>
          <w:rFonts w:ascii="Times New Roman" w:hAnsi="Times New Roman" w:cs="Times New Roman"/>
        </w:rPr>
        <w:t xml:space="preserve">The MSE ratio is defined by </w:t>
      </w:r>
      <m:oMath>
        <m:f>
          <m:fPr>
            <m:ctrlPr>
              <w:rPr>
                <w:rFonts w:ascii="Cambria Math" w:hAnsi="Cambria Math" w:cs="Times New Roman"/>
              </w:rPr>
            </m:ctrlPr>
          </m:fPr>
          <m:num>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Alternative</m:t>
                </m:r>
              </m:sub>
            </m:sSub>
            <m:ctrlPr>
              <w:rPr>
                <w:rFonts w:ascii="Cambria Math" w:hAnsi="Cambria Math" w:cs="Times New Roman"/>
                <w:i/>
              </w:rPr>
            </m:ctrlPr>
          </m:num>
          <m:den>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Constant</m:t>
                </m:r>
              </m:sub>
            </m:sSub>
            <m:ctrlPr>
              <w:rPr>
                <w:rFonts w:ascii="Cambria Math" w:hAnsi="Cambria Math" w:cs="Times New Roman"/>
                <w:i/>
              </w:rPr>
            </m:ctrlPr>
          </m:den>
        </m:f>
      </m:oMath>
      <w:r w:rsidRPr="003A0C28">
        <w:rPr>
          <w:rFonts w:ascii="Times New Roman" w:hAnsi="Times New Roman" w:cs="Times New Roman"/>
        </w:rPr>
        <w:t xml:space="preserve"> </w:t>
      </w:r>
      <w:r w:rsidR="00BF4AA7" w:rsidRPr="003A0C28">
        <w:rPr>
          <w:rFonts w:ascii="Times New Roman" w:hAnsi="Times New Roman" w:cs="Times New Roman"/>
        </w:rPr>
        <w:t xml:space="preserve">, where </w:t>
      </w:r>
      <m:oMath>
        <m:r>
          <w:rPr>
            <w:rFonts w:ascii="Cambria Math" w:hAnsi="Cambria Math" w:cs="Times New Roman"/>
          </w:rPr>
          <m:t>Constant</m:t>
        </m:r>
      </m:oMath>
      <w:r w:rsidR="00BF4AA7" w:rsidRPr="003A0C28">
        <w:rPr>
          <w:rFonts w:ascii="Times New Roman" w:hAnsi="Times New Roman" w:cs="Times New Roman"/>
        </w:rPr>
        <w:t xml:space="preserve"> refers to the constant model, and the </w:t>
      </w:r>
      <m:oMath>
        <m:r>
          <w:rPr>
            <w:rFonts w:ascii="Cambria Math" w:hAnsi="Cambria Math" w:cs="Times New Roman"/>
          </w:rPr>
          <m:t>Alternative</m:t>
        </m:r>
      </m:oMath>
      <w:r w:rsidR="00BF4AA7" w:rsidRPr="003A0C28">
        <w:rPr>
          <w:rFonts w:ascii="Times New Roman" w:hAnsi="Times New Roman" w:cs="Times New Roman"/>
        </w:rPr>
        <w:t xml:space="preserve"> to the Stable model or the Lasso model. The MSE’s themselves are calculated by the </w:t>
      </w:r>
      <w:r w:rsidR="001F54EC" w:rsidRPr="003A0C28">
        <w:rPr>
          <w:rFonts w:ascii="Times New Roman" w:hAnsi="Times New Roman" w:cs="Times New Roman"/>
        </w:rPr>
        <w:t xml:space="preserve">conventional </w:t>
      </w:r>
      <w:r w:rsidR="00BF4AA7" w:rsidRPr="003A0C28">
        <w:rPr>
          <w:rFonts w:ascii="Times New Roman" w:hAnsi="Times New Roman" w:cs="Times New Roman"/>
        </w:rPr>
        <w:t xml:space="preserve">definition: </w:t>
      </w:r>
      <m:oMath>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rPr>
            </m:ctrlPr>
          </m:fPr>
          <m:num>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m:t>
                    </m:r>
                  </m:sub>
                </m:sSub>
                <m:ctrlPr>
                  <w:rPr>
                    <w:rFonts w:ascii="Cambria Math" w:hAnsi="Cambria Math" w:cs="Times New Roman"/>
                    <w:i/>
                  </w:rPr>
                </m:ctrlP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y</m:t>
                                </m:r>
                                <m:ctrlPr>
                                  <w:rPr>
                                    <w:rFonts w:ascii="Cambria Math" w:hAnsi="Cambria Math" w:cs="Times New Roman"/>
                                  </w:rPr>
                                </m:ctrlPr>
                              </m:e>
                              <m:sub>
                                <m:r>
                                  <w:rPr>
                                    <w:rFonts w:ascii="Cambria Math" w:hAnsi="Cambria Math" w:cs="Times New Roman"/>
                                  </w:rPr>
                                  <m:t>i</m:t>
                                </m:r>
                              </m:sub>
                            </m:sSub>
                          </m:e>
                        </m:acc>
                      </m:e>
                    </m:d>
                  </m:e>
                  <m:sup>
                    <m:r>
                      <w:rPr>
                        <w:rFonts w:ascii="Cambria Math" w:hAnsi="Cambria Math" w:cs="Times New Roman"/>
                      </w:rPr>
                      <m:t>2</m:t>
                    </m:r>
                  </m:sup>
                </m:sSup>
                <m:ctrlPr>
                  <w:rPr>
                    <w:rFonts w:ascii="Cambria Math" w:hAnsi="Cambria Math" w:cs="Times New Roman"/>
                    <w:i/>
                  </w:rPr>
                </m:ctrlPr>
              </m:e>
            </m:nary>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m:t>
                </m:r>
              </m:sub>
            </m:sSub>
            <m:r>
              <w:rPr>
                <w:rFonts w:ascii="Cambria Math" w:hAnsi="Cambria Math" w:cs="Times New Roman"/>
              </w:rPr>
              <m:t>-1</m:t>
            </m:r>
            <m:ctrlPr>
              <w:rPr>
                <w:rFonts w:ascii="Cambria Math" w:hAnsi="Cambria Math" w:cs="Times New Roman"/>
                <w:i/>
              </w:rPr>
            </m:ctrlPr>
          </m:den>
        </m:f>
      </m:oMath>
      <w:r w:rsidR="001F54EC" w:rsidRPr="003A0C28">
        <w:rPr>
          <w:rFonts w:ascii="Times New Roman" w:hAnsi="Times New Roman" w:cs="Times New Roman"/>
        </w:rPr>
        <w:t xml:space="preserve">, where </w:t>
      </w:r>
      <m:oMath>
        <m:r>
          <w:rPr>
            <w:rFonts w:ascii="Cambria Math" w:hAnsi="Cambria Math" w:cs="Times New Roman"/>
          </w:rPr>
          <m:t>M</m:t>
        </m:r>
      </m:oMath>
      <w:r w:rsidR="001F54EC" w:rsidRPr="003A0C28">
        <w:rPr>
          <w:rFonts w:ascii="Times New Roman" w:hAnsi="Times New Roman" w:cs="Times New Roman"/>
        </w:rPr>
        <w:t xml:space="preserve"> indicates a certain model,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m:t>
            </m:r>
          </m:sub>
        </m:sSub>
      </m:oMath>
      <w:r w:rsidR="001F54EC" w:rsidRPr="003A0C28">
        <w:rPr>
          <w:rFonts w:ascii="Times New Roman" w:hAnsi="Times New Roman" w:cs="Times New Roman"/>
        </w:rPr>
        <w:t xml:space="preserve"> is the total number of predictions for that model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1F54EC" w:rsidRPr="003A0C28">
        <w:rPr>
          <w:rFonts w:ascii="Times New Roman" w:hAnsi="Times New Roman" w:cs="Times New Roman"/>
        </w:rPr>
        <w:t xml:space="preserve"> is the real data, and </w:t>
      </w: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y</m:t>
                </m:r>
                <m:ctrlPr>
                  <w:rPr>
                    <w:rFonts w:ascii="Cambria Math" w:hAnsi="Cambria Math" w:cs="Times New Roman"/>
                  </w:rPr>
                </m:ctrlPr>
              </m:e>
              <m:sub>
                <m:r>
                  <w:rPr>
                    <w:rFonts w:ascii="Cambria Math" w:hAnsi="Cambria Math" w:cs="Times New Roman"/>
                  </w:rPr>
                  <m:t>i</m:t>
                </m:r>
              </m:sub>
            </m:sSub>
          </m:e>
        </m:acc>
      </m:oMath>
      <w:r w:rsidR="001F54EC" w:rsidRPr="003A0C28">
        <w:rPr>
          <w:rFonts w:ascii="Times New Roman" w:hAnsi="Times New Roman" w:cs="Times New Roman"/>
        </w:rPr>
        <w:t xml:space="preserve"> is the forecast, sometimes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1F54EC" w:rsidRPr="003A0C28">
        <w:rPr>
          <w:rFonts w:ascii="Times New Roman" w:hAnsi="Times New Roman" w:cs="Times New Roman"/>
        </w:rPr>
        <w:t xml:space="preserve"> is missing while </w:t>
      </w: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y</m:t>
                </m:r>
                <m:ctrlPr>
                  <w:rPr>
                    <w:rFonts w:ascii="Cambria Math" w:hAnsi="Cambria Math" w:cs="Times New Roman"/>
                  </w:rPr>
                </m:ctrlPr>
              </m:e>
              <m:sub>
                <m:r>
                  <w:rPr>
                    <w:rFonts w:ascii="Cambria Math" w:hAnsi="Cambria Math" w:cs="Times New Roman"/>
                  </w:rPr>
                  <m:t>i</m:t>
                </m:r>
              </m:sub>
            </m:sSub>
          </m:e>
        </m:acc>
      </m:oMath>
      <w:r w:rsidR="001F54EC" w:rsidRPr="003A0C28">
        <w:rPr>
          <w:rFonts w:ascii="Times New Roman" w:hAnsi="Times New Roman" w:cs="Times New Roman"/>
        </w:rPr>
        <w:t xml:space="preserve"> presents, and this case will not be counted). </w:t>
      </w:r>
    </w:p>
    <w:p w:rsidR="003A0C28" w:rsidRDefault="003A0C28" w:rsidP="003A0C28">
      <w:pPr>
        <w:spacing w:after="120"/>
        <w:rPr>
          <w:rFonts w:ascii="Times New Roman" w:hAnsi="Times New Roman" w:cs="Times New Roman"/>
        </w:rPr>
      </w:pPr>
    </w:p>
    <w:p w:rsidR="001F54EC" w:rsidRPr="003A0C28" w:rsidRDefault="001F54EC" w:rsidP="003A0C28">
      <w:pPr>
        <w:spacing w:after="120"/>
        <w:rPr>
          <w:rFonts w:ascii="Times New Roman" w:hAnsi="Times New Roman" w:cs="Times New Roman"/>
        </w:rPr>
      </w:pPr>
      <w:r w:rsidRPr="003A0C28">
        <w:rPr>
          <w:rFonts w:ascii="Times New Roman" w:hAnsi="Times New Roman" w:cs="Times New Roman"/>
        </w:rPr>
        <w:t xml:space="preserve">Now, it is possible that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Alternative</m:t>
            </m:r>
          </m:sub>
        </m:sSub>
      </m:oMath>
      <w:r w:rsidRPr="003A0C28">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Constant</m:t>
            </m:r>
          </m:sub>
        </m:sSub>
      </m:oMath>
      <w:r w:rsidRPr="003A0C28">
        <w:rPr>
          <w:rFonts w:ascii="Times New Roman" w:hAnsi="Times New Roman" w:cs="Times New Roman"/>
        </w:rPr>
        <w:t xml:space="preserve"> are different, and it should be always be the case that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Alternative</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ctrlPr>
              <w:rPr>
                <w:rFonts w:ascii="Cambria Math" w:hAnsi="Cambria Math" w:cs="Times New Roman"/>
              </w:rPr>
            </m:ctrlPr>
          </m:e>
          <m:sub>
            <m:r>
              <w:rPr>
                <w:rFonts w:ascii="Cambria Math" w:hAnsi="Cambria Math" w:cs="Times New Roman"/>
              </w:rPr>
              <m:t>Constant</m:t>
            </m:r>
          </m:sub>
        </m:sSub>
      </m:oMath>
      <w:r w:rsidRPr="003A0C28">
        <w:rPr>
          <w:rFonts w:ascii="Times New Roman" w:hAnsi="Times New Roman" w:cs="Times New Roman"/>
        </w:rPr>
        <w:t xml:space="preserve">, because the constant model takes the rolling average as prediction, and so the prediction will never fail to show up if there is a valid 5-yr rolling window. However, for the Stable model, there </w:t>
      </w:r>
      <w:r w:rsidR="008D74ED" w:rsidRPr="003A0C28">
        <w:rPr>
          <w:rFonts w:ascii="Times New Roman" w:hAnsi="Times New Roman" w:cs="Times New Roman"/>
        </w:rPr>
        <w:t>exists</w:t>
      </w:r>
      <w:r w:rsidRPr="003A0C28">
        <w:rPr>
          <w:rFonts w:ascii="Times New Roman" w:hAnsi="Times New Roman" w:cs="Times New Roman"/>
        </w:rPr>
        <w:t xml:space="preserve"> </w:t>
      </w:r>
      <w:r w:rsidR="00324613" w:rsidRPr="003A0C28">
        <w:rPr>
          <w:rFonts w:ascii="Times New Roman" w:hAnsi="Times New Roman" w:cs="Times New Roman"/>
        </w:rPr>
        <w:t xml:space="preserve">certain </w:t>
      </w:r>
      <w:r w:rsidRPr="003A0C28">
        <w:rPr>
          <w:rFonts w:ascii="Times New Roman" w:hAnsi="Times New Roman" w:cs="Times New Roman"/>
        </w:rPr>
        <w:t>weeks that no stable pairs</w:t>
      </w:r>
      <w:r w:rsidR="00324613" w:rsidRPr="003A0C28">
        <w:rPr>
          <w:rFonts w:ascii="Times New Roman" w:hAnsi="Times New Roman" w:cs="Times New Roman"/>
        </w:rPr>
        <w:t xml:space="preserve"> pass the test</w:t>
      </w:r>
      <w:r w:rsidRPr="003A0C28">
        <w:rPr>
          <w:rFonts w:ascii="Times New Roman" w:hAnsi="Times New Roman" w:cs="Times New Roman"/>
        </w:rPr>
        <w:t>; for Lasso model, there might be weeks that the selected variables have missing values</w:t>
      </w:r>
      <w:r w:rsidR="00324613" w:rsidRPr="003A0C28">
        <w:rPr>
          <w:rFonts w:ascii="Times New Roman" w:hAnsi="Times New Roman" w:cs="Times New Roman"/>
        </w:rPr>
        <w:t xml:space="preserve"> (but coincidentally such case does not exist in the simulation</w:t>
      </w:r>
      <w:r w:rsidR="00CB2052">
        <w:rPr>
          <w:rFonts w:ascii="Times New Roman" w:hAnsi="Times New Roman" w:cs="Times New Roman"/>
        </w:rPr>
        <w:t>, so the following paragraphs exclude Lasso case</w:t>
      </w:r>
      <w:r w:rsidR="00324613" w:rsidRPr="003A0C28">
        <w:rPr>
          <w:rFonts w:ascii="Times New Roman" w:hAnsi="Times New Roman" w:cs="Times New Roman"/>
        </w:rPr>
        <w:t>)</w:t>
      </w:r>
      <w:r w:rsidRPr="003A0C28">
        <w:rPr>
          <w:rFonts w:ascii="Times New Roman" w:hAnsi="Times New Roman" w:cs="Times New Roman"/>
        </w:rPr>
        <w:t xml:space="preserve">. Hence there might be discrepancies in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m:t>
            </m:r>
          </m:sub>
        </m:sSub>
      </m:oMath>
      <w:r w:rsidRPr="003A0C28">
        <w:rPr>
          <w:rFonts w:ascii="Times New Roman" w:hAnsi="Times New Roman" w:cs="Times New Roman"/>
        </w:rPr>
        <w:t xml:space="preserve"> across models.</w:t>
      </w:r>
    </w:p>
    <w:p w:rsidR="003A0C28" w:rsidRDefault="003A0C28" w:rsidP="003A0C28">
      <w:pPr>
        <w:spacing w:after="120"/>
        <w:rPr>
          <w:rFonts w:ascii="Times New Roman" w:hAnsi="Times New Roman" w:cs="Times New Roman"/>
        </w:rPr>
      </w:pPr>
    </w:p>
    <w:p w:rsidR="00D4466F" w:rsidRPr="003A0C28" w:rsidRDefault="00D4466F" w:rsidP="003A0C28">
      <w:pPr>
        <w:spacing w:after="120"/>
        <w:rPr>
          <w:rFonts w:ascii="Times New Roman" w:hAnsi="Times New Roman" w:cs="Times New Roman"/>
        </w:rPr>
      </w:pPr>
      <w:r w:rsidRPr="003A0C28">
        <w:rPr>
          <w:rFonts w:ascii="Times New Roman" w:hAnsi="Times New Roman" w:cs="Times New Roman"/>
        </w:rPr>
        <w:t xml:space="preserve">To address this </w:t>
      </w:r>
      <w:r w:rsidR="0046118C" w:rsidRPr="003A0C28">
        <w:rPr>
          <w:rFonts w:ascii="Times New Roman" w:hAnsi="Times New Roman" w:cs="Times New Roman"/>
        </w:rPr>
        <w:t xml:space="preserve">obscure problem </w:t>
      </w:r>
      <w:r w:rsidRPr="003A0C28">
        <w:rPr>
          <w:rFonts w:ascii="Times New Roman" w:hAnsi="Times New Roman" w:cs="Times New Roman"/>
        </w:rPr>
        <w:t xml:space="preserve">in the MSE ratio calculation, we can take two approaches. The first is to ignore the mismatching in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m:t>
            </m:r>
          </m:sub>
        </m:sSub>
      </m:oMath>
      <w:r w:rsidRPr="003A0C28">
        <w:rPr>
          <w:rFonts w:ascii="Times New Roman" w:hAnsi="Times New Roman" w:cs="Times New Roman"/>
        </w:rPr>
        <w:t xml:space="preserve">, and so </w:t>
      </w:r>
    </w:p>
    <w:p w:rsidR="00D4466F" w:rsidRPr="003A0C28" w:rsidRDefault="00D4466F" w:rsidP="003A0C28">
      <w:pPr>
        <w:spacing w:after="120"/>
        <w:jc w:val="center"/>
        <w:rPr>
          <w:rFonts w:ascii="Times New Roman" w:hAnsi="Times New Roman" w:cs="Times New Roman"/>
        </w:rPr>
      </w:pPr>
      <m:oMathPara>
        <m:oMath>
          <m:r>
            <w:rPr>
              <w:rFonts w:ascii="Cambria Math" w:hAnsi="Cambria Math" w:cs="Times New Roman"/>
            </w:rPr>
            <m:t>MSE Ratio All=</m:t>
          </m:r>
          <m:f>
            <m:fPr>
              <m:ctrlPr>
                <w:rPr>
                  <w:rFonts w:ascii="Cambria Math" w:hAnsi="Cambria Math" w:cs="Times New Roman"/>
                </w:rPr>
              </m:ctrlPr>
            </m:fPr>
            <m:num>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Alternative</m:t>
                  </m:r>
                </m:sub>
              </m:sSub>
              <m:ctrlPr>
                <w:rPr>
                  <w:rFonts w:ascii="Cambria Math" w:hAnsi="Cambria Math" w:cs="Times New Roman"/>
                  <w:i/>
                </w:rPr>
              </m:ctrlPr>
            </m:num>
            <m:den>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Constant with all predictions</m:t>
                  </m:r>
                </m:sub>
              </m:sSub>
              <m:ctrlPr>
                <w:rPr>
                  <w:rFonts w:ascii="Cambria Math" w:hAnsi="Cambria Math" w:cs="Times New Roman"/>
                  <w:i/>
                </w:rPr>
              </m:ctrlPr>
            </m:den>
          </m:f>
        </m:oMath>
      </m:oMathPara>
    </w:p>
    <w:p w:rsidR="00D4466F" w:rsidRPr="003A0C28" w:rsidRDefault="00D4466F" w:rsidP="003A0C28">
      <w:pPr>
        <w:spacing w:after="120"/>
        <w:rPr>
          <w:rFonts w:ascii="Times New Roman" w:hAnsi="Times New Roman" w:cs="Times New Roman"/>
        </w:rPr>
      </w:pPr>
      <w:r w:rsidRPr="003A0C28">
        <w:rPr>
          <w:rFonts w:ascii="Times New Roman" w:hAnsi="Times New Roman" w:cs="Times New Roman"/>
        </w:rPr>
        <w:t xml:space="preserve">The other way is to first get rid of the constant model predictions </w:t>
      </w:r>
      <w:r w:rsidR="00324613" w:rsidRPr="003A0C28">
        <w:rPr>
          <w:rFonts w:ascii="Times New Roman" w:hAnsi="Times New Roman" w:cs="Times New Roman"/>
        </w:rPr>
        <w:t>which</w:t>
      </w:r>
      <w:r w:rsidRPr="003A0C28">
        <w:rPr>
          <w:rFonts w:ascii="Times New Roman" w:hAnsi="Times New Roman" w:cs="Times New Roman"/>
        </w:rPr>
        <w:t xml:space="preserve"> do not have a </w:t>
      </w:r>
      <w:r w:rsidR="00324613" w:rsidRPr="003A0C28">
        <w:rPr>
          <w:rFonts w:ascii="Times New Roman" w:hAnsi="Times New Roman" w:cs="Times New Roman"/>
        </w:rPr>
        <w:t>contemporaneous</w:t>
      </w:r>
      <w:r w:rsidRPr="003A0C28">
        <w:rPr>
          <w:rFonts w:ascii="Times New Roman" w:hAnsi="Times New Roman" w:cs="Times New Roman"/>
        </w:rPr>
        <w:t xml:space="preserve"> stable or Lasso prediction. In this way,</w:t>
      </w:r>
    </w:p>
    <w:p w:rsidR="00D4466F" w:rsidRPr="003A0C28" w:rsidRDefault="00975019" w:rsidP="003A0C28">
      <w:pPr>
        <w:spacing w:after="12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Alternative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Constant restricted to Alternative</m:t>
              </m:r>
            </m:sub>
          </m:sSub>
        </m:oMath>
      </m:oMathPara>
    </w:p>
    <w:p w:rsidR="00D4466F" w:rsidRPr="003A0C28" w:rsidRDefault="00D4466F" w:rsidP="003A0C28">
      <w:pPr>
        <w:spacing w:after="120"/>
        <w:rPr>
          <w:rFonts w:ascii="Times New Roman" w:hAnsi="Times New Roman" w:cs="Times New Roman"/>
        </w:rPr>
      </w:pPr>
      <w:r w:rsidRPr="003A0C28">
        <w:rPr>
          <w:rFonts w:ascii="Times New Roman" w:hAnsi="Times New Roman" w:cs="Times New Roman"/>
        </w:rPr>
        <w:t>And</w:t>
      </w:r>
    </w:p>
    <w:p w:rsidR="001F54EC" w:rsidRPr="003A0C28" w:rsidRDefault="00D4466F" w:rsidP="003A0C28">
      <w:pPr>
        <w:spacing w:after="120"/>
        <w:jc w:val="center"/>
        <w:rPr>
          <w:rFonts w:ascii="Times New Roman" w:hAnsi="Times New Roman" w:cs="Times New Roman"/>
        </w:rPr>
      </w:pPr>
      <m:oMathPara>
        <m:oMath>
          <m:r>
            <w:rPr>
              <w:rFonts w:ascii="Cambria Math" w:hAnsi="Cambria Math" w:cs="Times New Roman"/>
            </w:rPr>
            <m:t>MSE Ratio Sub=</m:t>
          </m:r>
          <m:f>
            <m:fPr>
              <m:ctrlPr>
                <w:rPr>
                  <w:rFonts w:ascii="Cambria Math" w:hAnsi="Cambria Math" w:cs="Times New Roman"/>
                </w:rPr>
              </m:ctrlPr>
            </m:fPr>
            <m:num>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Alternative</m:t>
                  </m:r>
                </m:sub>
              </m:sSub>
              <m:ctrlPr>
                <w:rPr>
                  <w:rFonts w:ascii="Cambria Math" w:hAnsi="Cambria Math" w:cs="Times New Roman"/>
                  <w:i/>
                </w:rPr>
              </m:ctrlPr>
            </m:num>
            <m:den>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Constant restricted to Alternative</m:t>
                  </m:r>
                </m:sub>
              </m:sSub>
              <m:ctrlPr>
                <w:rPr>
                  <w:rFonts w:ascii="Cambria Math" w:hAnsi="Cambria Math" w:cs="Times New Roman"/>
                  <w:i/>
                </w:rPr>
              </m:ctrlPr>
            </m:den>
          </m:f>
        </m:oMath>
      </m:oMathPara>
    </w:p>
    <w:p w:rsidR="008D74ED" w:rsidRPr="003A0C28" w:rsidRDefault="008D74ED" w:rsidP="003A0C28">
      <w:pPr>
        <w:spacing w:after="120"/>
        <w:jc w:val="center"/>
        <w:rPr>
          <w:rFonts w:ascii="Times New Roman" w:hAnsi="Times New Roman" w:cs="Times New Roman"/>
        </w:rPr>
      </w:pPr>
    </w:p>
    <w:p w:rsidR="003A0C28" w:rsidRDefault="003A0C28" w:rsidP="003A0C28">
      <w:pPr>
        <w:spacing w:after="120"/>
        <w:rPr>
          <w:rFonts w:ascii="Times New Roman" w:hAnsi="Times New Roman" w:cs="Times New Roman"/>
        </w:rPr>
      </w:pPr>
    </w:p>
    <w:p w:rsidR="003A0C28" w:rsidRDefault="0046118C" w:rsidP="003A0C28">
      <w:pPr>
        <w:spacing w:after="120"/>
        <w:rPr>
          <w:rFonts w:ascii="Times New Roman" w:hAnsi="Times New Roman" w:cs="Times New Roman"/>
        </w:rPr>
      </w:pPr>
      <w:r w:rsidRPr="003A0C28">
        <w:rPr>
          <w:rFonts w:ascii="Times New Roman" w:hAnsi="Times New Roman" w:cs="Times New Roman"/>
        </w:rPr>
        <w:t xml:space="preserve">One of the implications </w:t>
      </w:r>
      <w:r w:rsidR="00324613" w:rsidRPr="003A0C28">
        <w:rPr>
          <w:rFonts w:ascii="Times New Roman" w:hAnsi="Times New Roman" w:cs="Times New Roman"/>
        </w:rPr>
        <w:t>from</w:t>
      </w:r>
      <w:r w:rsidRPr="003A0C28">
        <w:rPr>
          <w:rFonts w:ascii="Times New Roman" w:hAnsi="Times New Roman" w:cs="Times New Roman"/>
        </w:rPr>
        <w:t xml:space="preserve"> the second approach is that, </w:t>
      </w:r>
      <w:r w:rsidR="008D74ED" w:rsidRPr="003A0C28">
        <w:rPr>
          <w:rFonts w:ascii="Times New Roman" w:hAnsi="Times New Roman" w:cs="Times New Roman"/>
        </w:rPr>
        <w:t xml:space="preserve">the MSE ratio of the </w:t>
      </w:r>
      <w:r w:rsidR="008D74ED" w:rsidRPr="003A0C28">
        <w:rPr>
          <w:rFonts w:ascii="Times New Roman" w:hAnsi="Times New Roman" w:cs="Times New Roman"/>
          <w:i/>
          <w:iCs/>
        </w:rPr>
        <w:t>Const Fillin Model</w:t>
      </w:r>
      <w:r w:rsidR="008D74ED" w:rsidRPr="003A0C28">
        <w:rPr>
          <w:rFonts w:ascii="Times New Roman" w:hAnsi="Times New Roman" w:cs="Times New Roman"/>
        </w:rPr>
        <w:t xml:space="preserve"> in the Stable model analysis </w:t>
      </w:r>
      <w:r w:rsidRPr="003A0C28">
        <w:rPr>
          <w:rFonts w:ascii="Times New Roman" w:hAnsi="Times New Roman" w:cs="Times New Roman"/>
        </w:rPr>
        <w:t xml:space="preserve">will </w:t>
      </w:r>
      <w:r w:rsidR="008D74ED" w:rsidRPr="003A0C28">
        <w:rPr>
          <w:rFonts w:ascii="Times New Roman" w:hAnsi="Times New Roman" w:cs="Times New Roman"/>
        </w:rPr>
        <w:t xml:space="preserve">always </w:t>
      </w:r>
      <w:r w:rsidRPr="003A0C28">
        <w:rPr>
          <w:rFonts w:ascii="Times New Roman" w:hAnsi="Times New Roman" w:cs="Times New Roman"/>
        </w:rPr>
        <w:t>be a weighted average of 1 and</w:t>
      </w:r>
      <w:r w:rsidR="008D74ED" w:rsidRPr="003A0C28">
        <w:rPr>
          <w:rFonts w:ascii="Times New Roman" w:hAnsi="Times New Roman" w:cs="Times New Roman"/>
        </w:rPr>
        <w:t xml:space="preserve"> this </w:t>
      </w:r>
      <w:r w:rsidR="00324613" w:rsidRPr="003A0C28">
        <w:rPr>
          <w:rFonts w:ascii="Times New Roman" w:hAnsi="Times New Roman" w:cs="Times New Roman"/>
          <w:i/>
          <w:iCs/>
        </w:rPr>
        <w:t>MSE Ratio Sub</w:t>
      </w:r>
      <w:r w:rsidRPr="003A0C28">
        <w:rPr>
          <w:rFonts w:ascii="Times New Roman" w:hAnsi="Times New Roman" w:cs="Times New Roman"/>
        </w:rPr>
        <w:t>.</w:t>
      </w:r>
      <w:r w:rsidR="008D74ED" w:rsidRPr="003A0C28">
        <w:rPr>
          <w:rFonts w:ascii="Times New Roman" w:hAnsi="Times New Roman" w:cs="Times New Roman"/>
        </w:rPr>
        <w:t xml:space="preserve"> </w:t>
      </w:r>
      <w:r w:rsidRPr="003A0C28">
        <w:rPr>
          <w:rFonts w:ascii="Times New Roman" w:hAnsi="Times New Roman" w:cs="Times New Roman"/>
        </w:rPr>
        <w:t xml:space="preserve">This is not always the case for the first approach, because it is possible that the stable model performs worse than the constant model in all the weeks where both predictions </w:t>
      </w:r>
      <w:r w:rsidR="008D74ED" w:rsidRPr="003A0C28">
        <w:rPr>
          <w:rFonts w:ascii="Times New Roman" w:hAnsi="Times New Roman" w:cs="Times New Roman"/>
        </w:rPr>
        <w:t xml:space="preserve">are valid, but then the constant model is more disastrous in the rest of the weeks, where there is no stable model forecast. The MSE ratio will be less than 1 here, but it doesn’t mean the </w:t>
      </w:r>
      <w:r w:rsidR="00324613" w:rsidRPr="003A0C28">
        <w:rPr>
          <w:rFonts w:ascii="Times New Roman" w:hAnsi="Times New Roman" w:cs="Times New Roman"/>
        </w:rPr>
        <w:t xml:space="preserve">existing </w:t>
      </w:r>
      <w:r w:rsidR="008D74ED" w:rsidRPr="003A0C28">
        <w:rPr>
          <w:rFonts w:ascii="Times New Roman" w:hAnsi="Times New Roman" w:cs="Times New Roman"/>
        </w:rPr>
        <w:t xml:space="preserve">stable model </w:t>
      </w:r>
      <w:r w:rsidR="00324613" w:rsidRPr="003A0C28">
        <w:rPr>
          <w:rFonts w:ascii="Times New Roman" w:hAnsi="Times New Roman" w:cs="Times New Roman"/>
        </w:rPr>
        <w:t>forecasts</w:t>
      </w:r>
      <w:r w:rsidR="008D74ED" w:rsidRPr="003A0C28">
        <w:rPr>
          <w:rFonts w:ascii="Times New Roman" w:hAnsi="Times New Roman" w:cs="Times New Roman"/>
        </w:rPr>
        <w:t xml:space="preserve"> outperform </w:t>
      </w:r>
      <w:r w:rsidR="00324613" w:rsidRPr="003A0C28">
        <w:rPr>
          <w:rFonts w:ascii="Times New Roman" w:hAnsi="Times New Roman" w:cs="Times New Roman"/>
        </w:rPr>
        <w:t xml:space="preserve">those of </w:t>
      </w:r>
      <w:r w:rsidR="008D74ED" w:rsidRPr="003A0C28">
        <w:rPr>
          <w:rFonts w:ascii="Times New Roman" w:hAnsi="Times New Roman" w:cs="Times New Roman"/>
        </w:rPr>
        <w:t xml:space="preserve">the constant model, it is just </w:t>
      </w:r>
      <w:r w:rsidR="00CB2052">
        <w:rPr>
          <w:rFonts w:ascii="Times New Roman" w:hAnsi="Times New Roman" w:cs="Times New Roman"/>
        </w:rPr>
        <w:t xml:space="preserve">because </w:t>
      </w:r>
      <w:r w:rsidR="008D74ED" w:rsidRPr="003A0C28">
        <w:rPr>
          <w:rFonts w:ascii="Times New Roman" w:hAnsi="Times New Roman" w:cs="Times New Roman"/>
        </w:rPr>
        <w:t xml:space="preserve">the missing parts are corresponding to </w:t>
      </w:r>
      <w:r w:rsidR="00324613" w:rsidRPr="003A0C28">
        <w:rPr>
          <w:rFonts w:ascii="Times New Roman" w:hAnsi="Times New Roman" w:cs="Times New Roman"/>
        </w:rPr>
        <w:t>way more</w:t>
      </w:r>
      <w:r w:rsidR="008D74ED" w:rsidRPr="003A0C28">
        <w:rPr>
          <w:rFonts w:ascii="Times New Roman" w:hAnsi="Times New Roman" w:cs="Times New Roman"/>
        </w:rPr>
        <w:t xml:space="preserve"> </w:t>
      </w:r>
      <w:r w:rsidR="00975019">
        <w:rPr>
          <w:rFonts w:ascii="Times New Roman" w:hAnsi="Times New Roman" w:cs="Times New Roman" w:hint="eastAsia"/>
        </w:rPr>
        <w:t>i</w:t>
      </w:r>
      <w:r w:rsidR="00975019">
        <w:rPr>
          <w:rFonts w:ascii="Times New Roman" w:hAnsi="Times New Roman" w:cs="Times New Roman"/>
        </w:rPr>
        <w:t>nproper</w:t>
      </w:r>
      <w:r w:rsidR="008D74ED" w:rsidRPr="003A0C28">
        <w:rPr>
          <w:rFonts w:ascii="Times New Roman" w:hAnsi="Times New Roman" w:cs="Times New Roman"/>
        </w:rPr>
        <w:t xml:space="preserve"> constant forecasts</w:t>
      </w:r>
      <w:r w:rsidR="00CB2052">
        <w:rPr>
          <w:rFonts w:ascii="Times New Roman" w:hAnsi="Times New Roman" w:cs="Times New Roman"/>
        </w:rPr>
        <w:t xml:space="preserve"> that drive up the MSE in the denominator</w:t>
      </w:r>
      <w:r w:rsidR="008D74ED" w:rsidRPr="003A0C28">
        <w:rPr>
          <w:rFonts w:ascii="Times New Roman" w:hAnsi="Times New Roman" w:cs="Times New Roman"/>
        </w:rPr>
        <w:t xml:space="preserve">. Hence when that part of constant model is filled in, the new MSE ratio will be greater than 1, not a weighted average of 1 and last MSE. </w:t>
      </w:r>
    </w:p>
    <w:p w:rsidR="003A0C28" w:rsidRPr="003A0C28" w:rsidRDefault="003A0C28" w:rsidP="003A0C28">
      <w:pPr>
        <w:spacing w:after="120"/>
        <w:rPr>
          <w:rFonts w:ascii="Times New Roman" w:hAnsi="Times New Roman" w:cs="Times New Roman"/>
        </w:rPr>
      </w:pPr>
    </w:p>
    <w:p w:rsidR="0046118C" w:rsidRPr="003A0C28" w:rsidRDefault="0046118C" w:rsidP="003A0C28">
      <w:pPr>
        <w:spacing w:after="120"/>
        <w:rPr>
          <w:rFonts w:ascii="Times New Roman" w:hAnsi="Times New Roman" w:cs="Times New Roman"/>
        </w:rPr>
      </w:pPr>
      <w:r w:rsidRPr="003A0C28">
        <w:rPr>
          <w:rFonts w:ascii="Times New Roman" w:hAnsi="Times New Roman" w:cs="Times New Roman"/>
        </w:rPr>
        <w:t xml:space="preserve">In the following table, the row named Stable Model Sub (SMS) adopts the second approach and the row Stable Model All (SMA) adopts the first one. And indeed, the </w:t>
      </w:r>
      <w:r w:rsidR="00324613" w:rsidRPr="003A0C28">
        <w:rPr>
          <w:rFonts w:ascii="Times New Roman" w:hAnsi="Times New Roman" w:cs="Times New Roman"/>
        </w:rPr>
        <w:t xml:space="preserve">Const Fillin Model values </w:t>
      </w:r>
      <w:r w:rsidRPr="003A0C28">
        <w:rPr>
          <w:rFonts w:ascii="Times New Roman" w:hAnsi="Times New Roman" w:cs="Times New Roman"/>
        </w:rPr>
        <w:t xml:space="preserve">are </w:t>
      </w:r>
      <w:r w:rsidR="00324613" w:rsidRPr="003A0C28">
        <w:rPr>
          <w:rFonts w:ascii="Times New Roman" w:hAnsi="Times New Roman" w:cs="Times New Roman"/>
        </w:rPr>
        <w:t xml:space="preserve">the </w:t>
      </w:r>
      <w:r w:rsidRPr="003A0C28">
        <w:rPr>
          <w:rFonts w:ascii="Times New Roman" w:hAnsi="Times New Roman" w:cs="Times New Roman"/>
        </w:rPr>
        <w:t>weighted average</w:t>
      </w:r>
      <w:r w:rsidR="00324613" w:rsidRPr="003A0C28">
        <w:rPr>
          <w:rFonts w:ascii="Times New Roman" w:hAnsi="Times New Roman" w:cs="Times New Roman"/>
        </w:rPr>
        <w:t>s</w:t>
      </w:r>
      <w:r w:rsidRPr="003A0C28">
        <w:rPr>
          <w:rFonts w:ascii="Times New Roman" w:hAnsi="Times New Roman" w:cs="Times New Roman"/>
        </w:rPr>
        <w:t xml:space="preserve"> of the </w:t>
      </w:r>
      <w:r w:rsidR="00324613" w:rsidRPr="003A0C28">
        <w:rPr>
          <w:rFonts w:ascii="Times New Roman" w:hAnsi="Times New Roman" w:cs="Times New Roman"/>
        </w:rPr>
        <w:t xml:space="preserve">SMS values </w:t>
      </w:r>
      <w:r w:rsidRPr="003A0C28">
        <w:rPr>
          <w:rFonts w:ascii="Times New Roman" w:hAnsi="Times New Roman" w:cs="Times New Roman"/>
        </w:rPr>
        <w:t xml:space="preserve">and 1, whereas </w:t>
      </w:r>
      <w:r w:rsidR="00324613" w:rsidRPr="003A0C28">
        <w:rPr>
          <w:rFonts w:ascii="Times New Roman" w:hAnsi="Times New Roman" w:cs="Times New Roman"/>
        </w:rPr>
        <w:t>it is not true for SMA values</w:t>
      </w:r>
      <w:r w:rsidRPr="003A0C28">
        <w:rPr>
          <w:rFonts w:ascii="Times New Roman" w:hAnsi="Times New Roman" w:cs="Times New Roman"/>
        </w:rPr>
        <w:t>.</w:t>
      </w:r>
    </w:p>
    <w:p w:rsidR="00324613" w:rsidRDefault="00324613" w:rsidP="003A0C28">
      <w:pPr>
        <w:spacing w:after="120"/>
      </w:pPr>
    </w:p>
    <w:tbl>
      <w:tblPr>
        <w:tblW w:w="9503" w:type="dxa"/>
        <w:tblLook w:val="04A0" w:firstRow="1" w:lastRow="0" w:firstColumn="1" w:lastColumn="0" w:noHBand="0" w:noVBand="1"/>
      </w:tblPr>
      <w:tblGrid>
        <w:gridCol w:w="2489"/>
        <w:gridCol w:w="846"/>
        <w:gridCol w:w="937"/>
        <w:gridCol w:w="821"/>
        <w:gridCol w:w="951"/>
        <w:gridCol w:w="821"/>
        <w:gridCol w:w="996"/>
        <w:gridCol w:w="821"/>
        <w:gridCol w:w="821"/>
      </w:tblGrid>
      <w:tr w:rsidR="00324613" w:rsidRPr="00304699" w:rsidTr="00324613">
        <w:trPr>
          <w:trHeight w:val="277"/>
        </w:trPr>
        <w:tc>
          <w:tcPr>
            <w:tcW w:w="9503" w:type="dxa"/>
            <w:gridSpan w:val="9"/>
            <w:tcBorders>
              <w:top w:val="single" w:sz="4" w:space="0" w:color="auto"/>
              <w:left w:val="nil"/>
              <w:bottom w:val="single" w:sz="4" w:space="0" w:color="auto"/>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color w:val="000000"/>
                <w:sz w:val="22"/>
                <w:szCs w:val="22"/>
              </w:rPr>
            </w:pPr>
            <w:r w:rsidRPr="00304699">
              <w:rPr>
                <w:rFonts w:ascii="Times New Roman" w:eastAsia="Times New Roman" w:hAnsi="Times New Roman" w:cs="Times New Roman"/>
                <w:color w:val="000000"/>
                <w:sz w:val="22"/>
                <w:szCs w:val="22"/>
              </w:rPr>
              <w:t>3 Year Stability Shrinkage Window</w:t>
            </w:r>
          </w:p>
        </w:tc>
      </w:tr>
      <w:tr w:rsidR="00324613" w:rsidRPr="00304699" w:rsidTr="00324613">
        <w:trPr>
          <w:trHeight w:val="277"/>
        </w:trPr>
        <w:tc>
          <w:tcPr>
            <w:tcW w:w="2489" w:type="dxa"/>
            <w:tcBorders>
              <w:top w:val="nil"/>
              <w:left w:val="nil"/>
              <w:bottom w:val="nil"/>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b/>
                <w:bCs/>
                <w:color w:val="000000"/>
                <w:sz w:val="22"/>
                <w:szCs w:val="22"/>
              </w:rPr>
            </w:pPr>
            <w:r w:rsidRPr="00304699">
              <w:rPr>
                <w:rFonts w:ascii="Times New Roman" w:eastAsia="Times New Roman" w:hAnsi="Times New Roman" w:cs="Times New Roman"/>
                <w:b/>
                <w:bCs/>
                <w:color w:val="000000"/>
                <w:sz w:val="22"/>
                <w:szCs w:val="22"/>
              </w:rPr>
              <w:t>3yr Stable Model sub</w:t>
            </w:r>
          </w:p>
        </w:tc>
        <w:tc>
          <w:tcPr>
            <w:tcW w:w="846" w:type="dxa"/>
            <w:tcBorders>
              <w:top w:val="nil"/>
              <w:left w:val="nil"/>
              <w:bottom w:val="nil"/>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color w:val="000000"/>
                <w:sz w:val="22"/>
                <w:szCs w:val="22"/>
              </w:rPr>
            </w:pPr>
            <w:r w:rsidRPr="00304699">
              <w:rPr>
                <w:rFonts w:ascii="Times New Roman" w:eastAsia="Times New Roman" w:hAnsi="Times New Roman" w:cs="Times New Roman"/>
                <w:color w:val="000000"/>
                <w:sz w:val="22"/>
                <w:szCs w:val="22"/>
              </w:rPr>
              <w:t>1.1037</w:t>
            </w:r>
          </w:p>
        </w:tc>
        <w:tc>
          <w:tcPr>
            <w:tcW w:w="937" w:type="dxa"/>
            <w:tcBorders>
              <w:top w:val="nil"/>
              <w:left w:val="nil"/>
              <w:bottom w:val="nil"/>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color w:val="000000"/>
                <w:sz w:val="22"/>
                <w:szCs w:val="22"/>
              </w:rPr>
            </w:pPr>
            <w:r w:rsidRPr="00304699">
              <w:rPr>
                <w:rFonts w:ascii="Times New Roman" w:eastAsia="Times New Roman" w:hAnsi="Times New Roman" w:cs="Times New Roman"/>
                <w:color w:val="000000"/>
                <w:sz w:val="22"/>
                <w:szCs w:val="22"/>
              </w:rPr>
              <w:t>1.0350</w:t>
            </w:r>
          </w:p>
        </w:tc>
        <w:tc>
          <w:tcPr>
            <w:tcW w:w="821" w:type="dxa"/>
            <w:tcBorders>
              <w:top w:val="nil"/>
              <w:left w:val="nil"/>
              <w:bottom w:val="nil"/>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color w:val="000000"/>
                <w:sz w:val="22"/>
                <w:szCs w:val="22"/>
              </w:rPr>
            </w:pPr>
            <w:r w:rsidRPr="00304699">
              <w:rPr>
                <w:rFonts w:ascii="Times New Roman" w:eastAsia="Times New Roman" w:hAnsi="Times New Roman" w:cs="Times New Roman"/>
                <w:color w:val="000000"/>
                <w:sz w:val="22"/>
                <w:szCs w:val="22"/>
              </w:rPr>
              <w:t>1.0957</w:t>
            </w:r>
          </w:p>
        </w:tc>
        <w:tc>
          <w:tcPr>
            <w:tcW w:w="951" w:type="dxa"/>
            <w:tcBorders>
              <w:top w:val="nil"/>
              <w:left w:val="nil"/>
              <w:bottom w:val="nil"/>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color w:val="000000"/>
                <w:sz w:val="22"/>
                <w:szCs w:val="22"/>
              </w:rPr>
            </w:pPr>
            <w:r w:rsidRPr="00304699">
              <w:rPr>
                <w:rFonts w:ascii="Times New Roman" w:eastAsia="Times New Roman" w:hAnsi="Times New Roman" w:cs="Times New Roman"/>
                <w:color w:val="000000"/>
                <w:sz w:val="22"/>
                <w:szCs w:val="22"/>
              </w:rPr>
              <w:t>1.0382</w:t>
            </w:r>
          </w:p>
        </w:tc>
        <w:tc>
          <w:tcPr>
            <w:tcW w:w="821" w:type="dxa"/>
            <w:tcBorders>
              <w:top w:val="nil"/>
              <w:left w:val="nil"/>
              <w:bottom w:val="nil"/>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color w:val="000000"/>
                <w:sz w:val="22"/>
                <w:szCs w:val="22"/>
              </w:rPr>
            </w:pPr>
            <w:r w:rsidRPr="00304699">
              <w:rPr>
                <w:rFonts w:ascii="Times New Roman" w:eastAsia="Times New Roman" w:hAnsi="Times New Roman" w:cs="Times New Roman"/>
                <w:color w:val="000000"/>
                <w:sz w:val="22"/>
                <w:szCs w:val="22"/>
              </w:rPr>
              <w:t>1.0843</w:t>
            </w:r>
          </w:p>
        </w:tc>
        <w:tc>
          <w:tcPr>
            <w:tcW w:w="996" w:type="dxa"/>
            <w:tcBorders>
              <w:top w:val="nil"/>
              <w:left w:val="nil"/>
              <w:bottom w:val="nil"/>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b/>
                <w:bCs/>
                <w:color w:val="000000"/>
                <w:sz w:val="22"/>
                <w:szCs w:val="22"/>
              </w:rPr>
            </w:pPr>
            <w:r w:rsidRPr="00304699">
              <w:rPr>
                <w:rFonts w:ascii="Times New Roman" w:eastAsia="Times New Roman" w:hAnsi="Times New Roman" w:cs="Times New Roman"/>
                <w:b/>
                <w:bCs/>
                <w:color w:val="000000"/>
                <w:sz w:val="22"/>
                <w:szCs w:val="22"/>
              </w:rPr>
              <w:t>0.8871</w:t>
            </w:r>
          </w:p>
        </w:tc>
        <w:tc>
          <w:tcPr>
            <w:tcW w:w="821" w:type="dxa"/>
            <w:tcBorders>
              <w:top w:val="nil"/>
              <w:left w:val="nil"/>
              <w:bottom w:val="nil"/>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color w:val="000000"/>
                <w:sz w:val="22"/>
                <w:szCs w:val="22"/>
              </w:rPr>
            </w:pPr>
            <w:r w:rsidRPr="00304699">
              <w:rPr>
                <w:rFonts w:ascii="Times New Roman" w:eastAsia="Times New Roman" w:hAnsi="Times New Roman" w:cs="Times New Roman"/>
                <w:color w:val="000000"/>
                <w:sz w:val="22"/>
                <w:szCs w:val="22"/>
              </w:rPr>
              <w:t>1.0704</w:t>
            </w:r>
          </w:p>
        </w:tc>
        <w:tc>
          <w:tcPr>
            <w:tcW w:w="821" w:type="dxa"/>
            <w:tcBorders>
              <w:top w:val="nil"/>
              <w:left w:val="nil"/>
              <w:bottom w:val="nil"/>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color w:val="000000"/>
                <w:sz w:val="22"/>
                <w:szCs w:val="22"/>
              </w:rPr>
            </w:pPr>
            <w:r w:rsidRPr="00304699">
              <w:rPr>
                <w:rFonts w:ascii="Times New Roman" w:eastAsia="Times New Roman" w:hAnsi="Times New Roman" w:cs="Times New Roman"/>
                <w:color w:val="000000"/>
                <w:sz w:val="22"/>
                <w:szCs w:val="22"/>
              </w:rPr>
              <w:t>1.1759</w:t>
            </w:r>
          </w:p>
        </w:tc>
      </w:tr>
      <w:tr w:rsidR="00324613" w:rsidRPr="00304699" w:rsidTr="00324613">
        <w:trPr>
          <w:trHeight w:val="277"/>
        </w:trPr>
        <w:tc>
          <w:tcPr>
            <w:tcW w:w="2489" w:type="dxa"/>
            <w:tcBorders>
              <w:top w:val="nil"/>
              <w:left w:val="nil"/>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b/>
                <w:bCs/>
                <w:color w:val="000000"/>
                <w:sz w:val="22"/>
                <w:szCs w:val="22"/>
              </w:rPr>
            </w:pPr>
            <w:r w:rsidRPr="00304699">
              <w:rPr>
                <w:rFonts w:ascii="Times New Roman" w:eastAsia="Times New Roman" w:hAnsi="Times New Roman" w:cs="Times New Roman"/>
                <w:b/>
                <w:bCs/>
                <w:color w:val="000000"/>
                <w:sz w:val="22"/>
                <w:szCs w:val="22"/>
              </w:rPr>
              <w:t>3yr Stable Model all</w:t>
            </w:r>
          </w:p>
        </w:tc>
        <w:tc>
          <w:tcPr>
            <w:tcW w:w="846" w:type="dxa"/>
            <w:tcBorders>
              <w:top w:val="nil"/>
              <w:left w:val="nil"/>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b/>
                <w:bCs/>
                <w:color w:val="000000"/>
                <w:sz w:val="22"/>
                <w:szCs w:val="22"/>
              </w:rPr>
            </w:pPr>
            <w:r w:rsidRPr="00304699">
              <w:rPr>
                <w:rFonts w:ascii="Times New Roman" w:eastAsia="Times New Roman" w:hAnsi="Times New Roman" w:cs="Times New Roman"/>
                <w:b/>
                <w:bCs/>
                <w:color w:val="000000"/>
                <w:sz w:val="22"/>
                <w:szCs w:val="22"/>
              </w:rPr>
              <w:t>0.9188</w:t>
            </w:r>
          </w:p>
        </w:tc>
        <w:tc>
          <w:tcPr>
            <w:tcW w:w="937" w:type="dxa"/>
            <w:tcBorders>
              <w:top w:val="nil"/>
              <w:left w:val="nil"/>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color w:val="000000"/>
                <w:sz w:val="22"/>
                <w:szCs w:val="22"/>
              </w:rPr>
            </w:pPr>
            <w:r w:rsidRPr="00304699">
              <w:rPr>
                <w:rFonts w:ascii="Times New Roman" w:eastAsia="Times New Roman" w:hAnsi="Times New Roman" w:cs="Times New Roman"/>
                <w:color w:val="000000"/>
                <w:sz w:val="22"/>
                <w:szCs w:val="22"/>
              </w:rPr>
              <w:t>1.3499</w:t>
            </w:r>
          </w:p>
        </w:tc>
        <w:tc>
          <w:tcPr>
            <w:tcW w:w="821" w:type="dxa"/>
            <w:tcBorders>
              <w:top w:val="nil"/>
              <w:left w:val="nil"/>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b/>
                <w:bCs/>
                <w:color w:val="000000"/>
                <w:sz w:val="22"/>
                <w:szCs w:val="22"/>
              </w:rPr>
            </w:pPr>
            <w:r w:rsidRPr="00304699">
              <w:rPr>
                <w:rFonts w:ascii="Times New Roman" w:eastAsia="Times New Roman" w:hAnsi="Times New Roman" w:cs="Times New Roman"/>
                <w:b/>
                <w:bCs/>
                <w:color w:val="000000"/>
                <w:sz w:val="22"/>
                <w:szCs w:val="22"/>
              </w:rPr>
              <w:t>0.8965</w:t>
            </w:r>
          </w:p>
        </w:tc>
        <w:tc>
          <w:tcPr>
            <w:tcW w:w="951" w:type="dxa"/>
            <w:tcBorders>
              <w:top w:val="nil"/>
              <w:left w:val="nil"/>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color w:val="000000"/>
                <w:sz w:val="22"/>
                <w:szCs w:val="22"/>
              </w:rPr>
            </w:pPr>
            <w:r w:rsidRPr="00304699">
              <w:rPr>
                <w:rFonts w:ascii="Times New Roman" w:eastAsia="Times New Roman" w:hAnsi="Times New Roman" w:cs="Times New Roman"/>
                <w:color w:val="000000"/>
                <w:sz w:val="22"/>
                <w:szCs w:val="22"/>
              </w:rPr>
              <w:t>1.0962</w:t>
            </w:r>
          </w:p>
        </w:tc>
        <w:tc>
          <w:tcPr>
            <w:tcW w:w="821" w:type="dxa"/>
            <w:tcBorders>
              <w:top w:val="nil"/>
              <w:left w:val="nil"/>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color w:val="000000"/>
                <w:sz w:val="22"/>
                <w:szCs w:val="22"/>
              </w:rPr>
            </w:pPr>
            <w:r w:rsidRPr="00304699">
              <w:rPr>
                <w:rFonts w:ascii="Times New Roman" w:eastAsia="Times New Roman" w:hAnsi="Times New Roman" w:cs="Times New Roman"/>
                <w:color w:val="000000"/>
                <w:sz w:val="22"/>
                <w:szCs w:val="22"/>
              </w:rPr>
              <w:t>1.1414</w:t>
            </w:r>
          </w:p>
        </w:tc>
        <w:tc>
          <w:tcPr>
            <w:tcW w:w="996" w:type="dxa"/>
            <w:tcBorders>
              <w:top w:val="nil"/>
              <w:left w:val="nil"/>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b/>
                <w:bCs/>
                <w:color w:val="000000"/>
                <w:sz w:val="22"/>
                <w:szCs w:val="22"/>
              </w:rPr>
            </w:pPr>
            <w:r w:rsidRPr="00304699">
              <w:rPr>
                <w:rFonts w:ascii="Times New Roman" w:eastAsia="Times New Roman" w:hAnsi="Times New Roman" w:cs="Times New Roman"/>
                <w:b/>
                <w:bCs/>
                <w:color w:val="000000"/>
                <w:sz w:val="22"/>
                <w:szCs w:val="22"/>
              </w:rPr>
              <w:t>0.8940</w:t>
            </w:r>
          </w:p>
        </w:tc>
        <w:tc>
          <w:tcPr>
            <w:tcW w:w="821" w:type="dxa"/>
            <w:tcBorders>
              <w:top w:val="nil"/>
              <w:left w:val="nil"/>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color w:val="000000"/>
                <w:sz w:val="22"/>
                <w:szCs w:val="22"/>
              </w:rPr>
            </w:pPr>
            <w:r w:rsidRPr="00304699">
              <w:rPr>
                <w:rFonts w:ascii="Times New Roman" w:eastAsia="Times New Roman" w:hAnsi="Times New Roman" w:cs="Times New Roman"/>
                <w:color w:val="000000"/>
                <w:sz w:val="22"/>
                <w:szCs w:val="22"/>
              </w:rPr>
              <w:t>1.0023</w:t>
            </w:r>
          </w:p>
        </w:tc>
        <w:tc>
          <w:tcPr>
            <w:tcW w:w="821" w:type="dxa"/>
            <w:tcBorders>
              <w:top w:val="nil"/>
              <w:left w:val="nil"/>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b/>
                <w:bCs/>
                <w:color w:val="000000"/>
                <w:sz w:val="22"/>
                <w:szCs w:val="22"/>
              </w:rPr>
            </w:pPr>
            <w:r w:rsidRPr="00304699">
              <w:rPr>
                <w:rFonts w:ascii="Times New Roman" w:eastAsia="Times New Roman" w:hAnsi="Times New Roman" w:cs="Times New Roman"/>
                <w:b/>
                <w:bCs/>
                <w:color w:val="000000"/>
                <w:sz w:val="22"/>
                <w:szCs w:val="22"/>
              </w:rPr>
              <w:t>0.9943</w:t>
            </w:r>
          </w:p>
        </w:tc>
      </w:tr>
      <w:tr w:rsidR="00324613" w:rsidRPr="00304699" w:rsidTr="00324613">
        <w:trPr>
          <w:trHeight w:val="277"/>
        </w:trPr>
        <w:tc>
          <w:tcPr>
            <w:tcW w:w="2489" w:type="dxa"/>
            <w:tcBorders>
              <w:top w:val="nil"/>
              <w:left w:val="nil"/>
              <w:bottom w:val="single" w:sz="4" w:space="0" w:color="auto"/>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b/>
                <w:bCs/>
                <w:color w:val="000000"/>
                <w:sz w:val="22"/>
                <w:szCs w:val="22"/>
              </w:rPr>
            </w:pPr>
            <w:r w:rsidRPr="00304699">
              <w:rPr>
                <w:rFonts w:ascii="Times New Roman" w:eastAsia="Times New Roman" w:hAnsi="Times New Roman" w:cs="Times New Roman"/>
                <w:b/>
                <w:bCs/>
                <w:color w:val="000000"/>
                <w:sz w:val="22"/>
                <w:szCs w:val="22"/>
              </w:rPr>
              <w:t>Const Fillin Model</w:t>
            </w:r>
          </w:p>
        </w:tc>
        <w:tc>
          <w:tcPr>
            <w:tcW w:w="846" w:type="dxa"/>
            <w:tcBorders>
              <w:top w:val="nil"/>
              <w:left w:val="nil"/>
              <w:bottom w:val="single" w:sz="4" w:space="0" w:color="auto"/>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color w:val="000000"/>
                <w:sz w:val="22"/>
                <w:szCs w:val="22"/>
              </w:rPr>
            </w:pPr>
            <w:r w:rsidRPr="00304699">
              <w:rPr>
                <w:rFonts w:ascii="Times New Roman" w:eastAsia="Times New Roman" w:hAnsi="Times New Roman" w:cs="Times New Roman"/>
                <w:color w:val="000000"/>
                <w:sz w:val="22"/>
                <w:szCs w:val="22"/>
              </w:rPr>
              <w:t>1.0522</w:t>
            </w:r>
          </w:p>
        </w:tc>
        <w:tc>
          <w:tcPr>
            <w:tcW w:w="937" w:type="dxa"/>
            <w:tcBorders>
              <w:top w:val="nil"/>
              <w:left w:val="nil"/>
              <w:bottom w:val="single" w:sz="4" w:space="0" w:color="auto"/>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color w:val="000000"/>
                <w:sz w:val="22"/>
                <w:szCs w:val="22"/>
              </w:rPr>
            </w:pPr>
            <w:r w:rsidRPr="00304699">
              <w:rPr>
                <w:rFonts w:ascii="Times New Roman" w:eastAsia="Times New Roman" w:hAnsi="Times New Roman" w:cs="Times New Roman"/>
                <w:color w:val="000000"/>
                <w:sz w:val="22"/>
                <w:szCs w:val="22"/>
              </w:rPr>
              <w:t>1.0327</w:t>
            </w:r>
          </w:p>
        </w:tc>
        <w:tc>
          <w:tcPr>
            <w:tcW w:w="821" w:type="dxa"/>
            <w:tcBorders>
              <w:top w:val="nil"/>
              <w:left w:val="nil"/>
              <w:bottom w:val="single" w:sz="4" w:space="0" w:color="auto"/>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color w:val="000000"/>
                <w:sz w:val="22"/>
                <w:szCs w:val="22"/>
              </w:rPr>
            </w:pPr>
            <w:r w:rsidRPr="00304699">
              <w:rPr>
                <w:rFonts w:ascii="Times New Roman" w:eastAsia="Times New Roman" w:hAnsi="Times New Roman" w:cs="Times New Roman"/>
                <w:color w:val="000000"/>
                <w:sz w:val="22"/>
                <w:szCs w:val="22"/>
              </w:rPr>
              <w:t>1.0639</w:t>
            </w:r>
          </w:p>
        </w:tc>
        <w:tc>
          <w:tcPr>
            <w:tcW w:w="951" w:type="dxa"/>
            <w:tcBorders>
              <w:top w:val="nil"/>
              <w:left w:val="nil"/>
              <w:bottom w:val="single" w:sz="4" w:space="0" w:color="auto"/>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color w:val="000000"/>
                <w:sz w:val="22"/>
                <w:szCs w:val="22"/>
              </w:rPr>
            </w:pPr>
            <w:r w:rsidRPr="00304699">
              <w:rPr>
                <w:rFonts w:ascii="Times New Roman" w:eastAsia="Times New Roman" w:hAnsi="Times New Roman" w:cs="Times New Roman"/>
                <w:color w:val="000000"/>
                <w:sz w:val="22"/>
                <w:szCs w:val="22"/>
              </w:rPr>
              <w:t>1.0331</w:t>
            </w:r>
          </w:p>
        </w:tc>
        <w:tc>
          <w:tcPr>
            <w:tcW w:w="821" w:type="dxa"/>
            <w:tcBorders>
              <w:top w:val="nil"/>
              <w:left w:val="nil"/>
              <w:bottom w:val="single" w:sz="4" w:space="0" w:color="auto"/>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color w:val="000000"/>
                <w:sz w:val="22"/>
                <w:szCs w:val="22"/>
              </w:rPr>
            </w:pPr>
            <w:r w:rsidRPr="00304699">
              <w:rPr>
                <w:rFonts w:ascii="Times New Roman" w:eastAsia="Times New Roman" w:hAnsi="Times New Roman" w:cs="Times New Roman"/>
                <w:color w:val="000000"/>
                <w:sz w:val="22"/>
                <w:szCs w:val="22"/>
              </w:rPr>
              <w:t>1.0539</w:t>
            </w:r>
          </w:p>
        </w:tc>
        <w:tc>
          <w:tcPr>
            <w:tcW w:w="996" w:type="dxa"/>
            <w:tcBorders>
              <w:top w:val="nil"/>
              <w:left w:val="nil"/>
              <w:bottom w:val="single" w:sz="4" w:space="0" w:color="auto"/>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b/>
                <w:bCs/>
                <w:color w:val="000000"/>
                <w:sz w:val="22"/>
                <w:szCs w:val="22"/>
              </w:rPr>
            </w:pPr>
            <w:r w:rsidRPr="00304699">
              <w:rPr>
                <w:rFonts w:ascii="Times New Roman" w:eastAsia="Times New Roman" w:hAnsi="Times New Roman" w:cs="Times New Roman"/>
                <w:b/>
                <w:bCs/>
                <w:color w:val="000000"/>
                <w:sz w:val="22"/>
                <w:szCs w:val="22"/>
              </w:rPr>
              <w:t>0.8925</w:t>
            </w:r>
          </w:p>
        </w:tc>
        <w:tc>
          <w:tcPr>
            <w:tcW w:w="821" w:type="dxa"/>
            <w:tcBorders>
              <w:top w:val="nil"/>
              <w:left w:val="nil"/>
              <w:bottom w:val="single" w:sz="4" w:space="0" w:color="auto"/>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color w:val="000000"/>
                <w:sz w:val="22"/>
                <w:szCs w:val="22"/>
              </w:rPr>
            </w:pPr>
            <w:r w:rsidRPr="00304699">
              <w:rPr>
                <w:rFonts w:ascii="Times New Roman" w:eastAsia="Times New Roman" w:hAnsi="Times New Roman" w:cs="Times New Roman"/>
                <w:color w:val="000000"/>
                <w:sz w:val="22"/>
                <w:szCs w:val="22"/>
              </w:rPr>
              <w:t>1.0409</w:t>
            </w:r>
          </w:p>
        </w:tc>
        <w:tc>
          <w:tcPr>
            <w:tcW w:w="821" w:type="dxa"/>
            <w:tcBorders>
              <w:top w:val="nil"/>
              <w:left w:val="nil"/>
              <w:bottom w:val="single" w:sz="4" w:space="0" w:color="auto"/>
              <w:right w:val="nil"/>
            </w:tcBorders>
            <w:shd w:val="clear" w:color="auto" w:fill="auto"/>
            <w:noWrap/>
            <w:vAlign w:val="center"/>
            <w:hideMark/>
          </w:tcPr>
          <w:p w:rsidR="00324613" w:rsidRPr="00304699" w:rsidRDefault="00324613" w:rsidP="003A0C28">
            <w:pPr>
              <w:spacing w:after="120"/>
              <w:jc w:val="center"/>
              <w:rPr>
                <w:rFonts w:ascii="Times New Roman" w:eastAsia="Times New Roman" w:hAnsi="Times New Roman" w:cs="Times New Roman"/>
                <w:color w:val="000000"/>
                <w:sz w:val="22"/>
                <w:szCs w:val="22"/>
              </w:rPr>
            </w:pPr>
            <w:r w:rsidRPr="00304699">
              <w:rPr>
                <w:rFonts w:ascii="Times New Roman" w:eastAsia="Times New Roman" w:hAnsi="Times New Roman" w:cs="Times New Roman"/>
                <w:color w:val="000000"/>
                <w:sz w:val="22"/>
                <w:szCs w:val="22"/>
              </w:rPr>
              <w:t>1.0367</w:t>
            </w:r>
          </w:p>
        </w:tc>
      </w:tr>
    </w:tbl>
    <w:p w:rsidR="0046118C" w:rsidRDefault="0046118C" w:rsidP="003A0C28">
      <w:pPr>
        <w:spacing w:after="120"/>
      </w:pPr>
    </w:p>
    <w:sectPr w:rsidR="004611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6D"/>
    <w:rsid w:val="001F54EC"/>
    <w:rsid w:val="00324613"/>
    <w:rsid w:val="003A0C28"/>
    <w:rsid w:val="0046118C"/>
    <w:rsid w:val="008D74ED"/>
    <w:rsid w:val="00935BC7"/>
    <w:rsid w:val="00975019"/>
    <w:rsid w:val="00BF4AA7"/>
    <w:rsid w:val="00CB2052"/>
    <w:rsid w:val="00D4466F"/>
    <w:rsid w:val="00EB7A6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B5E0"/>
  <w15:chartTrackingRefBased/>
  <w15:docId w15:val="{FB81B395-AD90-E34D-B9CD-A854E057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2020-07-15T01:37:00Z</dcterms:created>
  <dcterms:modified xsi:type="dcterms:W3CDTF">2020-08-27T03:46:00Z</dcterms:modified>
</cp:coreProperties>
</file>