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line="312" w:lineRule="auto"/>
        <w:jc w:val="center"/>
      </w:pPr>
      <w:r>
        <w:rPr>
          <w:rFonts w:ascii="Times New Roman" w:hAnsi="Times New Roman" w:eastAsia="微软雅黑"/>
          <w:b/>
          <w:color w:val="1F4E79"/>
          <w:sz w:val="56"/>
        </w:rPr>
        <w:t>项 目 报 告</w:t>
      </w:r>
    </w:p>
    <w:p>
      <w:pPr>
        <w:spacing w:after="200" w:line="312" w:lineRule="auto"/>
        <w:jc w:val="center"/>
      </w:pPr>
      <w:r>
        <w:rPr>
          <w:rFonts w:ascii="Times New Roman" w:hAnsi="Times New Roman" w:eastAsia="微软雅黑"/>
          <w:b/>
          <w:sz w:val="36"/>
        </w:rPr>
        <w:t>CyberOrion · AI 钓鱼邮件智能检测系统</w:t>
      </w:r>
    </w:p>
    <w:p>
      <w:pPr>
        <w:spacing w:after="800" w:line="312" w:lineRule="auto"/>
        <w:jc w:val="center"/>
      </w:pPr>
      <w:r>
        <w:rPr>
          <w:rFonts w:ascii="Times New Roman" w:hAnsi="Times New Roman" w:eastAsia="楷体"/>
          <w:b w:val="0"/>
          <w:color w:val="595959"/>
          <w:sz w:val="26"/>
        </w:rPr>
        <w:t>—— 多 Agent 协作的钓鱼邮件检测与研判平台 ——</w:t>
      </w:r>
    </w:p>
    <w:p>
      <w:pPr>
        <w:spacing w:after="120" w:line="312" w:lineRule="auto"/>
        <w:jc w:val="center"/>
      </w:pPr>
      <w:r>
        <w:rPr>
          <w:rFonts w:ascii="Times New Roman" w:hAnsi="Times New Roman" w:eastAsia="宋体"/>
          <w:b w:val="0"/>
          <w:color w:val="595959"/>
          <w:sz w:val="24"/>
        </w:rPr>
        <w:t>2026 年 8 月</w:t>
      </w:r>
    </w:p>
    <w:p>
      <w:r>
        <w:br w:type="page"/>
      </w:r>
    </w:p>
    <w:p>
      <w:pPr>
        <w:pStyle w:val="Heading1"/>
        <w:spacing w:before="360" w:after="160"/>
      </w:pPr>
      <w:r>
        <w:rPr>
          <w:rFonts w:ascii="微软雅黑" w:hAnsi="微软雅黑" w:eastAsia="微软雅黑"/>
          <w:b/>
          <w:color w:val="1F4E79"/>
          <w:sz w:val="32"/>
        </w:rPr>
        <w:t>摘  要</w:t>
      </w:r>
    </w:p>
    <w:p>
      <w:pPr>
        <w:spacing w:after="120" w:line="312" w:lineRule="auto"/>
        <w:ind w:firstLine="440"/>
      </w:pPr>
      <w:r>
        <w:rPr>
          <w:rFonts w:ascii="Times New Roman" w:hAnsi="Times New Roman" w:eastAsia="宋体"/>
          <w:b w:val="0"/>
          <w:sz w:val="22"/>
        </w:rPr>
        <w:t>本项目面向中文邮件场景下的钓鱼攻击检测难题，设计并实现了一套基于多 Agent 协作的钓鱼邮件智能检测系统（CyberOrion · PhishingDetector）。系统以主编排 Agent 为核心，驱动发件人画像、邮件头取证、语义意图、威胁情报、多维关联检测、风险研判、响应处置七个专业子 Agent 串行协作，通过 SSE 将研判思考过程实时推送至前端，输出包含风险分数、风险等级、MITRE ATT&amp;CK 技战术映射与处置建议的结构化检测报告。</w:t>
      </w:r>
    </w:p>
    <w:p>
      <w:pPr>
        <w:spacing w:after="120" w:line="312" w:lineRule="auto"/>
        <w:ind w:firstLine="440"/>
      </w:pPr>
      <w:r>
        <w:rPr>
          <w:rFonts w:ascii="Times New Roman" w:hAnsi="Times New Roman" w:eastAsia="宋体"/>
          <w:b w:val="0"/>
          <w:sz w:val="22"/>
        </w:rPr>
        <w:t>系统的核心设计思想是</w:t>
      </w:r>
      <w:r>
        <w:rPr>
          <w:rFonts w:ascii="Times New Roman" w:hAnsi="Times New Roman" w:eastAsia="宋体"/>
          <w:b/>
          <w:sz w:val="22"/>
        </w:rPr>
        <w:t>“双轨研判、永远有答案”</w:t>
      </w:r>
      <w:r>
        <w:rPr>
          <w:rFonts w:ascii="Times New Roman" w:hAnsi="Times New Roman" w:eastAsia="宋体"/>
          <w:b w:val="0"/>
          <w:sz w:val="22"/>
        </w:rPr>
        <w:t>：规则引擎与大语言模型（LLM）双路独立评分、加权融合，并对双轨分歧自动告警；当 LLM、向量检索或联网检索任一外部依赖不可用时，系统按预设降级链路自动接管，检测流程永不中断。</w:t>
      </w:r>
    </w:p>
    <w:p>
      <w:pPr>
        <w:spacing w:after="120" w:line="312" w:lineRule="auto"/>
        <w:ind w:firstLine="440"/>
      </w:pPr>
      <w:r>
        <w:rPr>
          <w:rFonts w:ascii="Times New Roman" w:hAnsi="Times New Roman" w:eastAsia="宋体"/>
          <w:b w:val="0"/>
          <w:sz w:val="22"/>
        </w:rPr>
        <w:t>针对纯规则（离线）场景召回率为零的行业性痛点，本项目开展了规则兜底准确率专项：通过中文钓鱼品类词表工程（强/弱双层信号）与阶梯式抬档机制，在 400 条真实中文邮件评测集上将纯规则路径的</w:t>
      </w:r>
      <w:r>
        <w:rPr>
          <w:rFonts w:ascii="Times New Roman" w:hAnsi="Times New Roman" w:eastAsia="宋体"/>
          <w:b/>
          <w:sz w:val="22"/>
        </w:rPr>
        <w:t>召回率从 0% 提升至 80.5%，精确率保持 100%，准确率从 50% 提升至 90.25%</w:t>
      </w:r>
      <w:r>
        <w:rPr>
          <w:rFonts w:ascii="Times New Roman" w:hAnsi="Times New Roman" w:eastAsia="宋体"/>
          <w:b w:val="0"/>
          <w:sz w:val="22"/>
        </w:rPr>
        <w:t>，且全部改动严格隔离于 LLM 路径之外，联网智能研判能力不受影响。</w:t>
      </w:r>
    </w:p>
    <w:p>
      <w:pPr>
        <w:spacing w:after="120" w:line="312" w:lineRule="auto"/>
        <w:ind w:firstLine="420"/>
      </w:pPr>
      <w:r>
        <w:rPr>
          <w:rFonts w:ascii="Times New Roman" w:hAnsi="Times New Roman" w:eastAsia="宋体"/>
          <w:b w:val="0"/>
          <w:color w:val="595959"/>
          <w:sz w:val="21"/>
        </w:rPr>
        <w:t>关键词：钓鱼邮件检测；多 Agent 协作；大语言模型；规则引擎双轨融合；检索增强生成（RAG）；MITRE ATT&amp;CK；降级兜底</w:t>
      </w:r>
    </w:p>
    <w:p>
      <w:r>
        <w:br w:type="page"/>
      </w:r>
    </w:p>
    <w:p>
      <w:pPr>
        <w:pStyle w:val="Heading1"/>
        <w:spacing w:before="360" w:after="160"/>
      </w:pPr>
      <w:r>
        <w:rPr>
          <w:rFonts w:ascii="微软雅黑" w:hAnsi="微软雅黑" w:eastAsia="微软雅黑"/>
          <w:b/>
          <w:color w:val="1F4E79"/>
          <w:sz w:val="32"/>
        </w:rPr>
        <w:t>目  录</w:t>
      </w:r>
    </w:p>
    <w:p>
      <w:pPr>
        <w:spacing w:after="160" w:line="312" w:lineRule="auto"/>
      </w:pPr>
      <w:r>
        <w:rPr>
          <w:rFonts w:ascii="Times New Roman" w:hAnsi="Times New Roman" w:eastAsia="宋体"/>
          <w:b w:val="0"/>
          <w:sz w:val="24"/>
        </w:rPr>
        <w:t>一、项目背景与问题定义</w:t>
      </w:r>
    </w:p>
    <w:p>
      <w:pPr>
        <w:spacing w:after="160" w:line="312" w:lineRule="auto"/>
      </w:pPr>
      <w:r>
        <w:rPr>
          <w:rFonts w:ascii="Times New Roman" w:hAnsi="Times New Roman" w:eastAsia="宋体"/>
          <w:b w:val="0"/>
          <w:sz w:val="24"/>
        </w:rPr>
        <w:t>二、系统总体架构</w:t>
      </w:r>
    </w:p>
    <w:p>
      <w:pPr>
        <w:spacing w:after="160" w:line="312" w:lineRule="auto"/>
      </w:pPr>
      <w:r>
        <w:rPr>
          <w:rFonts w:ascii="Times New Roman" w:hAnsi="Times New Roman" w:eastAsia="宋体"/>
          <w:b w:val="0"/>
          <w:sz w:val="24"/>
        </w:rPr>
        <w:t>三、核心技术与创新点</w:t>
      </w:r>
    </w:p>
    <w:p>
      <w:pPr>
        <w:spacing w:after="160" w:line="312" w:lineRule="auto"/>
      </w:pPr>
      <w:r>
        <w:rPr>
          <w:rFonts w:ascii="Times New Roman" w:hAnsi="Times New Roman" w:eastAsia="宋体"/>
          <w:b w:val="0"/>
          <w:sz w:val="24"/>
        </w:rPr>
        <w:t>四、评测方案与结果分析</w:t>
      </w:r>
    </w:p>
    <w:p>
      <w:pPr>
        <w:spacing w:after="160" w:line="312" w:lineRule="auto"/>
      </w:pPr>
      <w:r>
        <w:rPr>
          <w:rFonts w:ascii="Times New Roman" w:hAnsi="Times New Roman" w:eastAsia="宋体"/>
          <w:b w:val="0"/>
          <w:sz w:val="24"/>
        </w:rPr>
        <w:t>五、工程实现与可靠性保障</w:t>
      </w:r>
    </w:p>
    <w:p>
      <w:pPr>
        <w:spacing w:after="160" w:line="312" w:lineRule="auto"/>
      </w:pPr>
      <w:r>
        <w:rPr>
          <w:rFonts w:ascii="Times New Roman" w:hAnsi="Times New Roman" w:eastAsia="宋体"/>
          <w:b w:val="0"/>
          <w:sz w:val="24"/>
        </w:rPr>
        <w:t>六、应用场景与未来展望</w:t>
      </w:r>
    </w:p>
    <w:p>
      <w:pPr>
        <w:spacing w:after="160" w:line="312" w:lineRule="auto"/>
      </w:pPr>
      <w:r>
        <w:rPr>
          <w:rFonts w:ascii="Times New Roman" w:hAnsi="Times New Roman" w:eastAsia="宋体"/>
          <w:b w:val="0"/>
          <w:sz w:val="24"/>
        </w:rPr>
        <w:t>附录 A：技术栈与部署运行</w:t>
      </w:r>
    </w:p>
    <w:p>
      <w:pPr>
        <w:spacing w:after="160" w:line="312" w:lineRule="auto"/>
      </w:pPr>
      <w:r>
        <w:rPr>
          <w:rFonts w:ascii="Times New Roman" w:hAnsi="Times New Roman" w:eastAsia="宋体"/>
          <w:b w:val="0"/>
          <w:sz w:val="24"/>
        </w:rPr>
        <w:t>附录 B：关键评测数据留档</w:t>
      </w:r>
    </w:p>
    <w:p>
      <w:r>
        <w:br w:type="page"/>
      </w:r>
    </w:p>
    <w:p>
      <w:pPr>
        <w:pStyle w:val="Heading1"/>
        <w:spacing w:before="360" w:after="160"/>
      </w:pPr>
      <w:r>
        <w:rPr>
          <w:rFonts w:ascii="微软雅黑" w:hAnsi="微软雅黑" w:eastAsia="微软雅黑"/>
          <w:b/>
          <w:color w:val="1F4E79"/>
          <w:sz w:val="32"/>
        </w:rPr>
        <w:t>一、项目背景与问题定义</w:t>
      </w:r>
    </w:p>
    <w:p>
      <w:pPr>
        <w:pStyle w:val="Heading2"/>
        <w:spacing w:before="240" w:after="160"/>
      </w:pPr>
      <w:r>
        <w:rPr>
          <w:rFonts w:ascii="微软雅黑" w:hAnsi="微软雅黑" w:eastAsia="微软雅黑"/>
          <w:b/>
          <w:color w:val="1F4E79"/>
          <w:sz w:val="26"/>
        </w:rPr>
        <w:t>1.1 钓鱼邮件：最易得手、最难设防的攻击入口</w:t>
      </w:r>
    </w:p>
    <w:p>
      <w:pPr>
        <w:spacing w:after="120" w:line="312" w:lineRule="auto"/>
        <w:ind w:firstLine="440"/>
      </w:pPr>
      <w:r>
        <w:rPr>
          <w:rFonts w:ascii="Times New Roman" w:hAnsi="Times New Roman" w:eastAsia="宋体"/>
          <w:b w:val="0"/>
          <w:sz w:val="22"/>
        </w:rPr>
        <w:t>钓鱼邮件长期位居企业安全事件入口之首。攻击者利用伪装的发件人身份、紧急施压话术、伪造的系统通知与商务流程，诱导受害者点击恶意链接、打开带毒附件或泄露账号凭证。在中文办公场景中，攻击话术持续演化：从早期的“中奖/退款”模板，演进为仿邮箱系统升级、财政补贴发放、薪资资料补全、学术征稿、虚假询单（BEC）等高度本土化、文本规整、技术特征极弱的新型钓鱼邮件。</w:t>
      </w:r>
    </w:p>
    <w:p>
      <w:pPr>
        <w:pStyle w:val="Heading2"/>
        <w:spacing w:before="240" w:after="160"/>
      </w:pPr>
      <w:r>
        <w:rPr>
          <w:rFonts w:ascii="微软雅黑" w:hAnsi="微软雅黑" w:eastAsia="微软雅黑"/>
          <w:b/>
          <w:color w:val="1F4E79"/>
          <w:sz w:val="26"/>
        </w:rPr>
        <w:t>1.2 传统方案的三重困境</w:t>
      </w:r>
    </w:p>
    <w:p>
      <w:pPr>
        <w:pStyle w:val="ListBullet"/>
        <w:spacing w:after="80" w:line="312" w:lineRule="auto"/>
      </w:pPr>
      <w:r>
        <w:rPr>
          <w:rFonts w:ascii="Times New Roman" w:hAnsi="Times New Roman" w:eastAsia="宋体"/>
          <w:b/>
          <w:sz w:val="22"/>
        </w:rPr>
        <w:t>规则引擎“看得见的拦不住”：</w:t>
      </w:r>
      <w:r>
        <w:rPr>
          <w:rFonts w:ascii="Times New Roman" w:hAnsi="Times New Roman" w:eastAsia="宋体"/>
          <w:b w:val="0"/>
          <w:sz w:val="22"/>
        </w:rPr>
        <w:t>关键词/正则类方案对文本规整、无典型恶意特征的真实中文钓鱼邮件几乎失效。本项目基线评测显示，纯规则路径在 200 条真实中文钓鱼邮件上召回率为 0%。</w:t>
      </w:r>
    </w:p>
    <w:p>
      <w:pPr>
        <w:pStyle w:val="ListBullet"/>
        <w:spacing w:after="80" w:line="312" w:lineRule="auto"/>
      </w:pPr>
      <w:r>
        <w:rPr>
          <w:rFonts w:ascii="Times New Roman" w:hAnsi="Times New Roman" w:eastAsia="宋体"/>
          <w:b/>
          <w:sz w:val="22"/>
        </w:rPr>
        <w:t>大模型“离不开网、掉得了线”：</w:t>
      </w:r>
      <w:r>
        <w:rPr>
          <w:rFonts w:ascii="Times New Roman" w:hAnsi="Times New Roman" w:eastAsia="宋体"/>
          <w:b w:val="0"/>
          <w:sz w:val="22"/>
        </w:rPr>
        <w:t>LLM 语义理解能力强，但依赖 API 可用性与网络环境；在离线、断网或额度受限场景下，纯 LLM 方案直接丧失检测能力。</w:t>
      </w:r>
    </w:p>
    <w:p>
      <w:pPr>
        <w:pStyle w:val="ListBullet"/>
        <w:spacing w:after="80" w:line="312" w:lineRule="auto"/>
      </w:pPr>
      <w:r>
        <w:rPr>
          <w:rFonts w:ascii="Times New Roman" w:hAnsi="Times New Roman" w:eastAsia="宋体"/>
          <w:b/>
          <w:sz w:val="22"/>
        </w:rPr>
        <w:t>单点模型“说不清为什么”：</w:t>
      </w:r>
      <w:r>
        <w:rPr>
          <w:rFonts w:ascii="Times New Roman" w:hAnsi="Times New Roman" w:eastAsia="宋体"/>
          <w:b w:val="0"/>
          <w:sz w:val="22"/>
        </w:rPr>
        <w:t>安全运营需要可解释的证据链与标准化威胁语言（如 ATT&amp;CK 映射），单一分类器难以满足研判与处置需求。</w:t>
      </w:r>
    </w:p>
    <w:p>
      <w:pPr>
        <w:pStyle w:val="Heading2"/>
        <w:spacing w:before="240" w:after="160"/>
      </w:pPr>
      <w:r>
        <w:rPr>
          <w:rFonts w:ascii="微软雅黑" w:hAnsi="微软雅黑" w:eastAsia="微软雅黑"/>
          <w:b/>
          <w:color w:val="1F4E79"/>
          <w:sz w:val="26"/>
        </w:rPr>
        <w:t>1.3 项目目标</w:t>
      </w:r>
    </w:p>
    <w:p>
      <w:pPr>
        <w:spacing w:after="120" w:line="312" w:lineRule="auto"/>
        <w:ind w:firstLine="440"/>
      </w:pPr>
      <w:r>
        <w:rPr>
          <w:rFonts w:ascii="Times New Roman" w:hAnsi="Times New Roman" w:eastAsia="宋体"/>
          <w:b w:val="0"/>
          <w:sz w:val="22"/>
        </w:rPr>
        <w:t>针对上述困境，本项目确立三个设计目标：</w:t>
      </w:r>
    </w:p>
    <w:p>
      <w:pPr>
        <w:pStyle w:val="ListBullet"/>
        <w:spacing w:after="80" w:line="312" w:lineRule="auto"/>
      </w:pPr>
      <w:r>
        <w:rPr>
          <w:rFonts w:ascii="Times New Roman" w:hAnsi="Times New Roman" w:eastAsia="宋体"/>
          <w:b/>
          <w:sz w:val="22"/>
        </w:rPr>
        <w:t>准：</w:t>
      </w:r>
      <w:r>
        <w:rPr>
          <w:rFonts w:ascii="Times New Roman" w:hAnsi="Times New Roman" w:eastAsia="宋体"/>
          <w:b w:val="0"/>
          <w:sz w:val="22"/>
        </w:rPr>
        <w:t>LLM 语义研判与多维技术检测双轨融合，互相印证、分歧告警；</w:t>
      </w:r>
    </w:p>
    <w:p>
      <w:pPr>
        <w:pStyle w:val="ListBullet"/>
        <w:spacing w:after="80" w:line="312" w:lineRule="auto"/>
      </w:pPr>
      <w:r>
        <w:rPr>
          <w:rFonts w:ascii="Times New Roman" w:hAnsi="Times New Roman" w:eastAsia="宋体"/>
          <w:b/>
          <w:sz w:val="22"/>
        </w:rPr>
        <w:t>稳：</w:t>
      </w:r>
      <w:r>
        <w:rPr>
          <w:rFonts w:ascii="Times New Roman" w:hAnsi="Times New Roman" w:eastAsia="宋体"/>
          <w:b w:val="0"/>
          <w:sz w:val="22"/>
        </w:rPr>
        <w:t>任一外部依赖（LLM / 向量嵌入 / 联网检索）失效时自动降级，检测链路永不中断，离线场景仍有可用的检出能力；</w:t>
      </w:r>
    </w:p>
    <w:p>
      <w:pPr>
        <w:pStyle w:val="ListBullet"/>
        <w:spacing w:after="80" w:line="312" w:lineRule="auto"/>
      </w:pPr>
      <w:r>
        <w:rPr>
          <w:rFonts w:ascii="Times New Roman" w:hAnsi="Times New Roman" w:eastAsia="宋体"/>
          <w:b/>
          <w:sz w:val="22"/>
        </w:rPr>
        <w:t>透明：</w:t>
      </w:r>
      <w:r>
        <w:rPr>
          <w:rFonts w:ascii="Times New Roman" w:hAnsi="Times New Roman" w:eastAsia="宋体"/>
          <w:b w:val="0"/>
          <w:sz w:val="22"/>
        </w:rPr>
        <w:t>全过程思考流实时可视，证据链完整，输出标准化 ATT&amp;CK 威胁映射与处置建议。</w:t>
      </w:r>
    </w:p>
    <w:p>
      <w:pPr>
        <w:pStyle w:val="Heading1"/>
        <w:spacing w:before="360" w:after="160"/>
      </w:pPr>
      <w:r>
        <w:rPr>
          <w:rFonts w:ascii="微软雅黑" w:hAnsi="微软雅黑" w:eastAsia="微软雅黑"/>
          <w:b/>
          <w:color w:val="1F4E79"/>
          <w:sz w:val="32"/>
        </w:rPr>
        <w:t>二、系统总体架构</w:t>
      </w:r>
    </w:p>
    <w:p>
      <w:pPr>
        <w:pStyle w:val="Heading2"/>
        <w:spacing w:before="240" w:after="160"/>
      </w:pPr>
      <w:r>
        <w:rPr>
          <w:rFonts w:ascii="微软雅黑" w:hAnsi="微软雅黑" w:eastAsia="微软雅黑"/>
          <w:b/>
          <w:color w:val="1F4E79"/>
          <w:sz w:val="26"/>
        </w:rPr>
        <w:t>2.1 多 Agent 协作架构</w:t>
      </w:r>
    </w:p>
    <w:p>
      <w:pPr>
        <w:spacing w:after="120" w:line="312" w:lineRule="auto"/>
        <w:ind w:firstLine="440"/>
      </w:pPr>
      <w:r>
        <w:rPr>
          <w:rFonts w:ascii="Times New Roman" w:hAnsi="Times New Roman" w:eastAsia="宋体"/>
          <w:b w:val="0"/>
          <w:sz w:val="22"/>
        </w:rPr>
        <w:t>系统采用“1 个主编排 Agent + 7 个专业子 Agent”的协作架构。主编排 Agent（Orchestrator）仿照安全分析师的研判过程工作：先观察邮件关键线索、提出假设、反思矛盾点，生成检测策略；再按策略依次调用各专业子 Agent；最终聚合全部证据，生成结构化检测报告。</w:t>
      </w:r>
    </w:p>
    <w:tbl>
      <w:tblPr>
        <w:tblStyle w:val="TableGrid"/>
        <w:tblW w:type="auto" w:w="0"/>
        <w:jc w:val="center"/>
        <w:tblLook w:firstColumn="1" w:firstRow="1" w:lastColumn="0" w:lastRow="0" w:noHBand="0" w:noVBand="1" w:val="04A0"/>
      </w:tblPr>
      <w:tblGrid>
        <w:gridCol w:w="2946"/>
        <w:gridCol w:w="2946"/>
        <w:gridCol w:w="2946"/>
      </w:tblGrid>
      <w:tr>
        <w:tc>
          <w:tcPr>
            <w:tcW w:type="dxa" w:w="1814"/>
            <w:shd w:val="clear" w:fill="1F4E79"/>
          </w:tcPr>
          <w:p>
            <w:r/>
            <w:r>
              <w:rPr>
                <w:rFonts w:ascii="Times New Roman" w:hAnsi="Times New Roman" w:eastAsia="微软雅黑"/>
                <w:b/>
                <w:color w:val="FFFFFF"/>
                <w:sz w:val="21"/>
              </w:rPr>
              <w:t>阶段</w:t>
            </w:r>
          </w:p>
        </w:tc>
        <w:tc>
          <w:tcPr>
            <w:tcW w:type="dxa" w:w="1814"/>
            <w:shd w:val="clear" w:fill="1F4E79"/>
          </w:tcPr>
          <w:p>
            <w:r/>
            <w:r>
              <w:rPr>
                <w:rFonts w:ascii="Times New Roman" w:hAnsi="Times New Roman" w:eastAsia="微软雅黑"/>
                <w:b/>
                <w:color w:val="FFFFFF"/>
                <w:sz w:val="21"/>
              </w:rPr>
              <w:t>执行者</w:t>
            </w:r>
          </w:p>
        </w:tc>
        <w:tc>
          <w:tcPr>
            <w:tcW w:type="dxa" w:w="5102"/>
            <w:shd w:val="clear" w:fill="1F4E79"/>
          </w:tcPr>
          <w:p>
            <w:r/>
            <w:r>
              <w:rPr>
                <w:rFonts w:ascii="Times New Roman" w:hAnsi="Times New Roman" w:eastAsia="微软雅黑"/>
                <w:b/>
                <w:color w:val="FFFFFF"/>
                <w:sz w:val="21"/>
              </w:rPr>
              <w:t>职责</w:t>
            </w:r>
          </w:p>
        </w:tc>
      </w:tr>
      <w:tr>
        <w:tc>
          <w:tcPr>
            <w:tcW w:type="dxa" w:w="1814"/>
          </w:tcPr>
          <w:p>
            <w:r/>
            <w:r>
              <w:rPr>
                <w:rFonts w:ascii="Times New Roman" w:hAnsi="Times New Roman" w:eastAsia="宋体"/>
                <w:b w:val="0"/>
                <w:sz w:val="21"/>
              </w:rPr>
              <w:t>Phase 1 策略生成</w:t>
            </w:r>
          </w:p>
        </w:tc>
        <w:tc>
          <w:tcPr>
            <w:tcW w:type="dxa" w:w="1814"/>
          </w:tcPr>
          <w:p>
            <w:r/>
            <w:r>
              <w:rPr>
                <w:rFonts w:ascii="Times New Roman" w:hAnsi="Times New Roman" w:eastAsia="宋体"/>
                <w:b w:val="0"/>
                <w:sz w:val="21"/>
              </w:rPr>
              <w:t>主编排 Agent</w:t>
            </w:r>
          </w:p>
        </w:tc>
        <w:tc>
          <w:tcPr>
            <w:tcW w:type="dxa" w:w="5102"/>
          </w:tcPr>
          <w:p>
            <w:r/>
            <w:r>
              <w:rPr>
                <w:rFonts w:ascii="Times New Roman" w:hAnsi="Times New Roman" w:eastAsia="宋体"/>
                <w:b w:val="0"/>
                <w:sz w:val="21"/>
              </w:rPr>
              <w:t>观察线索 → 提出假设 → 反思矛盾 → 制定检测策略（LLM 失败时规则兜底策略接管）</w:t>
            </w:r>
          </w:p>
        </w:tc>
      </w:tr>
      <w:tr>
        <w:tc>
          <w:tcPr>
            <w:tcW w:type="dxa" w:w="1814"/>
          </w:tcPr>
          <w:p>
            <w:r/>
            <w:r>
              <w:rPr>
                <w:rFonts w:ascii="Times New Roman" w:hAnsi="Times New Roman" w:eastAsia="宋体"/>
                <w:b w:val="0"/>
                <w:sz w:val="21"/>
              </w:rPr>
              <w:t>Phase 2 证据采集</w:t>
            </w:r>
          </w:p>
        </w:tc>
        <w:tc>
          <w:tcPr>
            <w:tcW w:type="dxa" w:w="1814"/>
          </w:tcPr>
          <w:p>
            <w:r/>
            <w:r>
              <w:rPr>
                <w:rFonts w:ascii="Times New Roman" w:hAnsi="Times New Roman" w:eastAsia="宋体"/>
                <w:b w:val="0"/>
                <w:sz w:val="21"/>
              </w:rPr>
              <w:t>7 个子 Agent</w:t>
            </w:r>
          </w:p>
        </w:tc>
        <w:tc>
          <w:tcPr>
            <w:tcW w:type="dxa" w:w="5102"/>
          </w:tcPr>
          <w:p>
            <w:r/>
            <w:r>
              <w:rPr>
                <w:rFonts w:ascii="Times New Roman" w:hAnsi="Times New Roman" w:eastAsia="宋体"/>
                <w:b w:val="0"/>
                <w:sz w:val="21"/>
              </w:rPr>
              <w:t>按序执行专项检测，思考过程经 SSE 实时推送前端</w:t>
            </w:r>
          </w:p>
        </w:tc>
      </w:tr>
      <w:tr>
        <w:tc>
          <w:tcPr>
            <w:tcW w:type="dxa" w:w="1814"/>
          </w:tcPr>
          <w:p>
            <w:r/>
            <w:r>
              <w:rPr>
                <w:rFonts w:ascii="Times New Roman" w:hAnsi="Times New Roman" w:eastAsia="宋体"/>
                <w:b w:val="0"/>
                <w:sz w:val="21"/>
              </w:rPr>
              <w:t>Phase 3 聚合研判</w:t>
            </w:r>
          </w:p>
        </w:tc>
        <w:tc>
          <w:tcPr>
            <w:tcW w:type="dxa" w:w="1814"/>
          </w:tcPr>
          <w:p>
            <w:r/>
            <w:r>
              <w:rPr>
                <w:rFonts w:ascii="Times New Roman" w:hAnsi="Times New Roman" w:eastAsia="宋体"/>
                <w:b w:val="0"/>
                <w:sz w:val="21"/>
              </w:rPr>
              <w:t>主编排 Agent</w:t>
            </w:r>
          </w:p>
        </w:tc>
        <w:tc>
          <w:tcPr>
            <w:tcW w:type="dxa" w:w="5102"/>
          </w:tcPr>
          <w:p>
            <w:r/>
            <w:r>
              <w:rPr>
                <w:rFonts w:ascii="Times New Roman" w:hAnsi="Times New Roman" w:eastAsia="宋体"/>
                <w:b w:val="0"/>
                <w:sz w:val="21"/>
              </w:rPr>
              <w:t>聚合多维证据，输出风险分数、等级、ATT&amp;CK 映射与处置建议</w:t>
            </w:r>
          </w:p>
        </w:tc>
      </w:tr>
    </w:tbl>
    <w:p>
      <w:pPr>
        <w:spacing w:after="40"/>
      </w:pPr>
    </w:p>
    <w:p>
      <w:pPr>
        <w:pStyle w:val="Heading2"/>
        <w:spacing w:before="240" w:after="160"/>
      </w:pPr>
      <w:r>
        <w:rPr>
          <w:rFonts w:ascii="微软雅黑" w:hAnsi="微软雅黑" w:eastAsia="微软雅黑"/>
          <w:b/>
          <w:color w:val="1F4E79"/>
          <w:sz w:val="26"/>
        </w:rPr>
        <w:t>2.2 七个子 Agent 职责一览</w:t>
      </w:r>
    </w:p>
    <w:tbl>
      <w:tblPr>
        <w:tblStyle w:val="TableGrid"/>
        <w:tblW w:type="auto" w:w="0"/>
        <w:jc w:val="center"/>
        <w:tblLook w:firstColumn="1" w:firstRow="1" w:lastColumn="0" w:lastRow="0" w:noHBand="0" w:noVBand="1" w:val="04A0"/>
      </w:tblPr>
      <w:tblGrid>
        <w:gridCol w:w="2946"/>
        <w:gridCol w:w="2946"/>
        <w:gridCol w:w="2946"/>
      </w:tblGrid>
      <w:tr>
        <w:tc>
          <w:tcPr>
            <w:tcW w:type="dxa" w:w="567"/>
            <w:shd w:val="clear" w:fill="1F4E79"/>
          </w:tcPr>
          <w:p>
            <w:r/>
            <w:r>
              <w:rPr>
                <w:rFonts w:ascii="Times New Roman" w:hAnsi="Times New Roman" w:eastAsia="微软雅黑"/>
                <w:b/>
                <w:color w:val="FFFFFF"/>
                <w:sz w:val="21"/>
              </w:rPr>
              <w:t>#</w:t>
            </w:r>
          </w:p>
        </w:tc>
        <w:tc>
          <w:tcPr>
            <w:tcW w:type="dxa" w:w="2041"/>
            <w:shd w:val="clear" w:fill="1F4E79"/>
          </w:tcPr>
          <w:p>
            <w:r/>
            <w:r>
              <w:rPr>
                <w:rFonts w:ascii="Times New Roman" w:hAnsi="Times New Roman" w:eastAsia="微软雅黑"/>
                <w:b/>
                <w:color w:val="FFFFFF"/>
                <w:sz w:val="21"/>
              </w:rPr>
              <w:t>子 Agent</w:t>
            </w:r>
          </w:p>
        </w:tc>
        <w:tc>
          <w:tcPr>
            <w:tcW w:type="dxa" w:w="6123"/>
            <w:shd w:val="clear" w:fill="1F4E79"/>
          </w:tcPr>
          <w:p>
            <w:r/>
            <w:r>
              <w:rPr>
                <w:rFonts w:ascii="Times New Roman" w:hAnsi="Times New Roman" w:eastAsia="微软雅黑"/>
                <w:b/>
                <w:color w:val="FFFFFF"/>
                <w:sz w:val="21"/>
              </w:rPr>
              <w:t>核心职责</w:t>
            </w:r>
          </w:p>
        </w:tc>
      </w:tr>
      <w:tr>
        <w:tc>
          <w:tcPr>
            <w:tcW w:type="dxa" w:w="567"/>
          </w:tcPr>
          <w:p>
            <w:r/>
            <w:r>
              <w:rPr>
                <w:rFonts w:ascii="Times New Roman" w:hAnsi="Times New Roman" w:eastAsia="宋体"/>
                <w:b w:val="0"/>
                <w:sz w:val="21"/>
              </w:rPr>
              <w:t>1</w:t>
            </w:r>
          </w:p>
        </w:tc>
        <w:tc>
          <w:tcPr>
            <w:tcW w:type="dxa" w:w="2041"/>
          </w:tcPr>
          <w:p>
            <w:r/>
            <w:r>
              <w:rPr>
                <w:rFonts w:ascii="Times New Roman" w:hAnsi="Times New Roman" w:eastAsia="宋体"/>
                <w:b w:val="0"/>
                <w:sz w:val="21"/>
              </w:rPr>
              <w:t>发件人画像分析</w:t>
            </w:r>
          </w:p>
        </w:tc>
        <w:tc>
          <w:tcPr>
            <w:tcW w:type="dxa" w:w="6123"/>
          </w:tcPr>
          <w:p>
            <w:r/>
            <w:r>
              <w:rPr>
                <w:rFonts w:ascii="Times New Roman" w:hAnsi="Times New Roman" w:eastAsia="宋体"/>
                <w:b w:val="0"/>
                <w:sz w:val="21"/>
              </w:rPr>
              <w:t>域名类型、品牌仿冒、地址结构异常、声誉评估</w:t>
            </w:r>
          </w:p>
        </w:tc>
      </w:tr>
      <w:tr>
        <w:tc>
          <w:tcPr>
            <w:tcW w:type="dxa" w:w="567"/>
          </w:tcPr>
          <w:p>
            <w:r/>
            <w:r>
              <w:rPr>
                <w:rFonts w:ascii="Times New Roman" w:hAnsi="Times New Roman" w:eastAsia="宋体"/>
                <w:b w:val="0"/>
                <w:sz w:val="21"/>
              </w:rPr>
              <w:t>2</w:t>
            </w:r>
          </w:p>
        </w:tc>
        <w:tc>
          <w:tcPr>
            <w:tcW w:type="dxa" w:w="2041"/>
          </w:tcPr>
          <w:p>
            <w:r/>
            <w:r>
              <w:rPr>
                <w:rFonts w:ascii="Times New Roman" w:hAnsi="Times New Roman" w:eastAsia="宋体"/>
                <w:b w:val="0"/>
                <w:sz w:val="21"/>
              </w:rPr>
              <w:t>邮件头取证分析</w:t>
            </w:r>
          </w:p>
        </w:tc>
        <w:tc>
          <w:tcPr>
            <w:tcW w:type="dxa" w:w="6123"/>
          </w:tcPr>
          <w:p>
            <w:r/>
            <w:r>
              <w:rPr>
                <w:rFonts w:ascii="Times New Roman" w:hAnsi="Times New Roman" w:eastAsia="宋体"/>
                <w:b w:val="0"/>
                <w:sz w:val="21"/>
              </w:rPr>
              <w:t>SPF / DKIM / DMARC 认证状态、Reply-To 一致性、路由链完整性</w:t>
            </w:r>
          </w:p>
        </w:tc>
      </w:tr>
      <w:tr>
        <w:tc>
          <w:tcPr>
            <w:tcW w:type="dxa" w:w="567"/>
          </w:tcPr>
          <w:p>
            <w:r/>
            <w:r>
              <w:rPr>
                <w:rFonts w:ascii="Times New Roman" w:hAnsi="Times New Roman" w:eastAsia="宋体"/>
                <w:b w:val="0"/>
                <w:sz w:val="21"/>
              </w:rPr>
              <w:t>3</w:t>
            </w:r>
          </w:p>
        </w:tc>
        <w:tc>
          <w:tcPr>
            <w:tcW w:type="dxa" w:w="2041"/>
          </w:tcPr>
          <w:p>
            <w:r/>
            <w:r>
              <w:rPr>
                <w:rFonts w:ascii="Times New Roman" w:hAnsi="Times New Roman" w:eastAsia="宋体"/>
                <w:b w:val="0"/>
                <w:sz w:val="21"/>
              </w:rPr>
              <w:t>语义意图分析</w:t>
            </w:r>
          </w:p>
        </w:tc>
        <w:tc>
          <w:tcPr>
            <w:tcW w:type="dxa" w:w="6123"/>
          </w:tcPr>
          <w:p>
            <w:r/>
            <w:r>
              <w:rPr>
                <w:rFonts w:ascii="Times New Roman" w:hAnsi="Times New Roman" w:eastAsia="宋体"/>
                <w:b w:val="0"/>
                <w:sz w:val="21"/>
              </w:rPr>
              <w:t>意图分类（钓鱼/可疑/正常）、社会工程话术识别（紧急/权威/恐惧/利诱/保密等）</w:t>
            </w:r>
          </w:p>
        </w:tc>
      </w:tr>
      <w:tr>
        <w:tc>
          <w:tcPr>
            <w:tcW w:type="dxa" w:w="567"/>
          </w:tcPr>
          <w:p>
            <w:r/>
            <w:r>
              <w:rPr>
                <w:rFonts w:ascii="Times New Roman" w:hAnsi="Times New Roman" w:eastAsia="宋体"/>
                <w:b w:val="0"/>
                <w:sz w:val="21"/>
              </w:rPr>
              <w:t>4</w:t>
            </w:r>
          </w:p>
        </w:tc>
        <w:tc>
          <w:tcPr>
            <w:tcW w:type="dxa" w:w="2041"/>
          </w:tcPr>
          <w:p>
            <w:r/>
            <w:r>
              <w:rPr>
                <w:rFonts w:ascii="Times New Roman" w:hAnsi="Times New Roman" w:eastAsia="宋体"/>
                <w:b w:val="0"/>
                <w:sz w:val="21"/>
              </w:rPr>
              <w:t>威胁情报关联</w:t>
            </w:r>
          </w:p>
        </w:tc>
        <w:tc>
          <w:tcPr>
            <w:tcW w:type="dxa" w:w="6123"/>
          </w:tcPr>
          <w:p>
            <w:r/>
            <w:r>
              <w:rPr>
                <w:rFonts w:ascii="Times New Roman" w:hAnsi="Times New Roman" w:eastAsia="宋体"/>
                <w:b w:val="0"/>
                <w:sz w:val="21"/>
              </w:rPr>
              <w:t>联网检索公开威胁情报并深度抓取网页正文，失败自动降级</w:t>
            </w:r>
          </w:p>
        </w:tc>
      </w:tr>
      <w:tr>
        <w:tc>
          <w:tcPr>
            <w:tcW w:type="dxa" w:w="567"/>
          </w:tcPr>
          <w:p>
            <w:r/>
            <w:r>
              <w:rPr>
                <w:rFonts w:ascii="Times New Roman" w:hAnsi="Times New Roman" w:eastAsia="宋体"/>
                <w:b w:val="0"/>
                <w:sz w:val="21"/>
              </w:rPr>
              <w:t>5</w:t>
            </w:r>
          </w:p>
        </w:tc>
        <w:tc>
          <w:tcPr>
            <w:tcW w:type="dxa" w:w="2041"/>
          </w:tcPr>
          <w:p>
            <w:r/>
            <w:r>
              <w:rPr>
                <w:rFonts w:ascii="Times New Roman" w:hAnsi="Times New Roman" w:eastAsia="宋体"/>
                <w:b w:val="0"/>
                <w:sz w:val="21"/>
              </w:rPr>
              <w:t>多维关联检测</w:t>
            </w:r>
          </w:p>
        </w:tc>
        <w:tc>
          <w:tcPr>
            <w:tcW w:type="dxa" w:w="6123"/>
          </w:tcPr>
          <w:p>
            <w:r/>
            <w:r>
              <w:rPr>
                <w:rFonts w:ascii="Times New Roman" w:hAnsi="Times New Roman" w:eastAsia="宋体"/>
                <w:b w:val="0"/>
                <w:sz w:val="21"/>
              </w:rPr>
              <w:t>URL 安全、发件人可信度、附件风险、行为异常、知识库命中融合</w:t>
            </w:r>
          </w:p>
        </w:tc>
      </w:tr>
      <w:tr>
        <w:tc>
          <w:tcPr>
            <w:tcW w:type="dxa" w:w="567"/>
          </w:tcPr>
          <w:p>
            <w:r/>
            <w:r>
              <w:rPr>
                <w:rFonts w:ascii="Times New Roman" w:hAnsi="Times New Roman" w:eastAsia="宋体"/>
                <w:b w:val="0"/>
                <w:sz w:val="21"/>
              </w:rPr>
              <w:t>6</w:t>
            </w:r>
          </w:p>
        </w:tc>
        <w:tc>
          <w:tcPr>
            <w:tcW w:type="dxa" w:w="2041"/>
          </w:tcPr>
          <w:p>
            <w:r/>
            <w:r>
              <w:rPr>
                <w:rFonts w:ascii="Times New Roman" w:hAnsi="Times New Roman" w:eastAsia="宋体"/>
                <w:b w:val="0"/>
                <w:sz w:val="21"/>
              </w:rPr>
              <w:t>风险研判</w:t>
            </w:r>
          </w:p>
        </w:tc>
        <w:tc>
          <w:tcPr>
            <w:tcW w:type="dxa" w:w="6123"/>
          </w:tcPr>
          <w:p>
            <w:r/>
            <w:r>
              <w:rPr>
                <w:rFonts w:ascii="Times New Roman" w:hAnsi="Times New Roman" w:eastAsia="宋体"/>
                <w:b w:val="0"/>
                <w:sz w:val="21"/>
              </w:rPr>
              <w:t>规则预评分 + LLM 评分双轨融合，输出风险分数与五档等级</w:t>
            </w:r>
          </w:p>
        </w:tc>
      </w:tr>
      <w:tr>
        <w:tc>
          <w:tcPr>
            <w:tcW w:type="dxa" w:w="567"/>
          </w:tcPr>
          <w:p>
            <w:r/>
            <w:r>
              <w:rPr>
                <w:rFonts w:ascii="Times New Roman" w:hAnsi="Times New Roman" w:eastAsia="宋体"/>
                <w:b w:val="0"/>
                <w:sz w:val="21"/>
              </w:rPr>
              <w:t>7</w:t>
            </w:r>
          </w:p>
        </w:tc>
        <w:tc>
          <w:tcPr>
            <w:tcW w:type="dxa" w:w="2041"/>
          </w:tcPr>
          <w:p>
            <w:r/>
            <w:r>
              <w:rPr>
                <w:rFonts w:ascii="Times New Roman" w:hAnsi="Times New Roman" w:eastAsia="宋体"/>
                <w:b w:val="0"/>
                <w:sz w:val="21"/>
              </w:rPr>
              <w:t>响应处置</w:t>
            </w:r>
          </w:p>
        </w:tc>
        <w:tc>
          <w:tcPr>
            <w:tcW w:type="dxa" w:w="6123"/>
          </w:tcPr>
          <w:p>
            <w:r/>
            <w:r>
              <w:rPr>
                <w:rFonts w:ascii="Times New Roman" w:hAnsi="Times New Roman" w:eastAsia="宋体"/>
                <w:b w:val="0"/>
                <w:sz w:val="21"/>
              </w:rPr>
              <w:t>按风险等级给出 isolate / quarantine / alert / pass 处置建议</w:t>
            </w:r>
          </w:p>
        </w:tc>
      </w:tr>
    </w:tbl>
    <w:p>
      <w:pPr>
        <w:spacing w:after="40"/>
      </w:pPr>
    </w:p>
    <w:p>
      <w:pPr>
        <w:pStyle w:val="Heading2"/>
        <w:spacing w:before="240" w:after="160"/>
      </w:pPr>
      <w:r>
        <w:rPr>
          <w:rFonts w:ascii="微软雅黑" w:hAnsi="微软雅黑" w:eastAsia="微软雅黑"/>
          <w:b/>
          <w:color w:val="1F4E79"/>
          <w:sz w:val="26"/>
        </w:rPr>
        <w:t>2.3 端到端调用链</w:t>
      </w:r>
    </w:p>
    <w:p>
      <w:pPr>
        <w:spacing w:after="120" w:line="312" w:lineRule="auto"/>
        <w:ind w:firstLine="440"/>
      </w:pPr>
      <w:r>
        <w:rPr>
          <w:rFonts w:ascii="Times New Roman" w:hAnsi="Times New Roman" w:eastAsia="宋体"/>
          <w:b w:val="0"/>
          <w:sz w:val="22"/>
        </w:rPr>
        <w:t>用户在前端工作台粘贴邮件并点击“运行检测”后，请求经 FastAPI 接口进入后台分析线程，主编排 Agent 驱动全部子 Agent 顺序执行；每个 Agent 的思考、工具调用、LLM 输出均通过统一事件协议以 SSE（Server-Sent Events）逐条推送，前端实时渲染研判过程，最终呈现完整检测报告。系统以 SQLite 持久化邮件与报告，支持历史追溯；知识库浏览页提供 RAG 检索可视化。</w:t>
      </w:r>
    </w:p>
    <w:p>
      <w:pPr>
        <w:spacing w:after="120" w:line="312" w:lineRule="auto"/>
        <w:ind w:firstLine="420"/>
      </w:pPr>
      <w:r>
        <w:rPr>
          <w:rFonts w:ascii="Times New Roman" w:hAnsi="Times New Roman" w:eastAsia="宋体"/>
          <w:b w:val="0"/>
          <w:color w:val="595959"/>
          <w:sz w:val="21"/>
        </w:rPr>
        <w:t>检测工作台（studio）→ POST /api/v2/runs/stream → 主编排 Agent → 7 子 Agent → v2 SSE 事件流 → 前端实时渲染。</w:t>
      </w:r>
    </w:p>
    <w:p>
      <w:pPr>
        <w:pStyle w:val="Heading1"/>
        <w:spacing w:before="360" w:after="160"/>
      </w:pPr>
      <w:r>
        <w:rPr>
          <w:rFonts w:ascii="微软雅黑" w:hAnsi="微软雅黑" w:eastAsia="微软雅黑"/>
          <w:b/>
          <w:color w:val="1F4E79"/>
          <w:sz w:val="32"/>
        </w:rPr>
        <w:t>三、核心技术与创新点</w:t>
      </w:r>
    </w:p>
    <w:p>
      <w:pPr>
        <w:pStyle w:val="Heading2"/>
        <w:spacing w:before="240" w:after="160"/>
      </w:pPr>
      <w:r>
        <w:rPr>
          <w:rFonts w:ascii="微软雅黑" w:hAnsi="微软雅黑" w:eastAsia="微软雅黑"/>
          <w:b/>
          <w:color w:val="1F4E79"/>
          <w:sz w:val="26"/>
        </w:rPr>
        <w:t>3.1 创新点一：规则与 LLM 双轨评分融合</w:t>
      </w:r>
    </w:p>
    <w:p>
      <w:pPr>
        <w:spacing w:after="120" w:line="312" w:lineRule="auto"/>
        <w:ind w:firstLine="440"/>
      </w:pPr>
      <w:r>
        <w:rPr>
          <w:rFonts w:ascii="Times New Roman" w:hAnsi="Times New Roman" w:eastAsia="宋体"/>
          <w:b w:val="0"/>
          <w:sz w:val="22"/>
        </w:rPr>
        <w:t>风险研判 Agent 先由规则引擎基于语义意图置信度、话术数量、发件人可信度、URL 安全、附件风险、行为异常与内容标记等维度快速预评分；再由 LLM 综合全部证据独立评分。最终分数按 0.4（规则）/ 0.6（LLM）加权融合：</w:t>
      </w:r>
    </w:p>
    <w:p>
      <w:pPr>
        <w:pStyle w:val="ListBullet"/>
        <w:spacing w:after="80" w:line="312" w:lineRule="auto"/>
      </w:pPr>
      <w:r>
        <w:rPr>
          <w:rFonts w:ascii="Times New Roman" w:hAnsi="Times New Roman" w:eastAsia="宋体"/>
          <w:b w:val="0"/>
          <w:sz w:val="22"/>
        </w:rPr>
        <w:t>规则轨：毫秒级、可解释、不依赖外部服务，构成系统的“安全下限”；</w:t>
      </w:r>
    </w:p>
    <w:p>
      <w:pPr>
        <w:pStyle w:val="ListBullet"/>
        <w:spacing w:after="80" w:line="312" w:lineRule="auto"/>
      </w:pPr>
      <w:r>
        <w:rPr>
          <w:rFonts w:ascii="Times New Roman" w:hAnsi="Times New Roman" w:eastAsia="宋体"/>
          <w:b w:val="0"/>
          <w:sz w:val="22"/>
        </w:rPr>
        <w:t>LLM 轨：理解上下文与新型话术，构成系统的“智能上限”；</w:t>
      </w:r>
    </w:p>
    <w:p>
      <w:pPr>
        <w:pStyle w:val="ListBullet"/>
        <w:spacing w:after="80" w:line="312" w:lineRule="auto"/>
      </w:pPr>
      <w:r>
        <w:rPr>
          <w:rFonts w:ascii="Times New Roman" w:hAnsi="Times New Roman" w:eastAsia="宋体"/>
          <w:b/>
          <w:sz w:val="22"/>
        </w:rPr>
        <w:t>双轨一致性校验：</w:t>
      </w:r>
      <w:r>
        <w:rPr>
          <w:rFonts w:ascii="Times New Roman" w:hAnsi="Times New Roman" w:eastAsia="宋体"/>
          <w:b w:val="0"/>
          <w:sz w:val="22"/>
        </w:rPr>
        <w:t>当两轨分差 ≥ 25 分时自动提示“建议人工复核”，防止单轨误判被静默放大。</w:t>
      </w:r>
    </w:p>
    <w:p>
      <w:pPr>
        <w:pStyle w:val="Heading2"/>
        <w:spacing w:before="240" w:after="160"/>
      </w:pPr>
      <w:r>
        <w:rPr>
          <w:rFonts w:ascii="微软雅黑" w:hAnsi="微软雅黑" w:eastAsia="微软雅黑"/>
          <w:b/>
          <w:color w:val="1F4E79"/>
          <w:sz w:val="26"/>
        </w:rPr>
        <w:t>3.2 创新点二：全链路降级兜底——“永远有答案”</w:t>
      </w:r>
    </w:p>
    <w:p>
      <w:pPr>
        <w:spacing w:after="120" w:line="312" w:lineRule="auto"/>
        <w:ind w:firstLine="440"/>
      </w:pPr>
      <w:r>
        <w:rPr>
          <w:rFonts w:ascii="Times New Roman" w:hAnsi="Times New Roman" w:eastAsia="宋体"/>
          <w:b w:val="0"/>
          <w:sz w:val="22"/>
        </w:rPr>
        <w:t>系统对每一类外部依赖都设计了明确的降级路径，保证任何环境下检测流程不中断：</w:t>
      </w:r>
    </w:p>
    <w:tbl>
      <w:tblPr>
        <w:tblStyle w:val="TableGrid"/>
        <w:tblW w:type="auto" w:w="0"/>
        <w:jc w:val="center"/>
        <w:tblLook w:firstColumn="1" w:firstRow="1" w:lastColumn="0" w:lastRow="0" w:noHBand="0" w:noVBand="1" w:val="04A0"/>
      </w:tblPr>
      <w:tblGrid>
        <w:gridCol w:w="2946"/>
        <w:gridCol w:w="2946"/>
        <w:gridCol w:w="2946"/>
      </w:tblGrid>
      <w:tr>
        <w:tc>
          <w:tcPr>
            <w:tcW w:type="dxa" w:w="1928"/>
            <w:shd w:val="clear" w:fill="1F4E79"/>
          </w:tcPr>
          <w:p>
            <w:r/>
            <w:r>
              <w:rPr>
                <w:rFonts w:ascii="Times New Roman" w:hAnsi="Times New Roman" w:eastAsia="微软雅黑"/>
                <w:b/>
                <w:color w:val="FFFFFF"/>
                <w:sz w:val="21"/>
              </w:rPr>
              <w:t>外部依赖</w:t>
            </w:r>
          </w:p>
        </w:tc>
        <w:tc>
          <w:tcPr>
            <w:tcW w:type="dxa" w:w="2608"/>
            <w:shd w:val="clear" w:fill="1F4E79"/>
          </w:tcPr>
          <w:p>
            <w:r/>
            <w:r>
              <w:rPr>
                <w:rFonts w:ascii="Times New Roman" w:hAnsi="Times New Roman" w:eastAsia="微软雅黑"/>
                <w:b/>
                <w:color w:val="FFFFFF"/>
                <w:sz w:val="21"/>
              </w:rPr>
              <w:t>失效场景</w:t>
            </w:r>
          </w:p>
        </w:tc>
        <w:tc>
          <w:tcPr>
            <w:tcW w:type="dxa" w:w="4195"/>
            <w:shd w:val="clear" w:fill="1F4E79"/>
          </w:tcPr>
          <w:p>
            <w:r/>
            <w:r>
              <w:rPr>
                <w:rFonts w:ascii="Times New Roman" w:hAnsi="Times New Roman" w:eastAsia="微软雅黑"/>
                <w:b/>
                <w:color w:val="FFFFFF"/>
                <w:sz w:val="21"/>
              </w:rPr>
              <w:t>降级策略</w:t>
            </w:r>
          </w:p>
        </w:tc>
      </w:tr>
      <w:tr>
        <w:tc>
          <w:tcPr>
            <w:tcW w:type="dxa" w:w="1928"/>
          </w:tcPr>
          <w:p>
            <w:r/>
            <w:r>
              <w:rPr>
                <w:rFonts w:ascii="Times New Roman" w:hAnsi="Times New Roman" w:eastAsia="宋体"/>
                <w:b w:val="0"/>
                <w:sz w:val="21"/>
              </w:rPr>
              <w:t>LLM API</w:t>
            </w:r>
          </w:p>
        </w:tc>
        <w:tc>
          <w:tcPr>
            <w:tcW w:type="dxa" w:w="2608"/>
          </w:tcPr>
          <w:p>
            <w:r/>
            <w:r>
              <w:rPr>
                <w:rFonts w:ascii="Times New Roman" w:hAnsi="Times New Roman" w:eastAsia="宋体"/>
                <w:b w:val="0"/>
                <w:sz w:val="21"/>
              </w:rPr>
              <w:t>断网 / 鉴权失败 / 额度用尽</w:t>
            </w:r>
          </w:p>
        </w:tc>
        <w:tc>
          <w:tcPr>
            <w:tcW w:type="dxa" w:w="4195"/>
          </w:tcPr>
          <w:p>
            <w:r/>
            <w:r>
              <w:rPr>
                <w:rFonts w:ascii="Times New Roman" w:hAnsi="Times New Roman" w:eastAsia="宋体"/>
                <w:b w:val="0"/>
                <w:sz w:val="21"/>
              </w:rPr>
              <w:t>各 Agent 规则引擎接管，输出 llm_participated 标记如实告知</w:t>
            </w:r>
          </w:p>
        </w:tc>
      </w:tr>
      <w:tr>
        <w:tc>
          <w:tcPr>
            <w:tcW w:type="dxa" w:w="1928"/>
          </w:tcPr>
          <w:p>
            <w:r/>
            <w:r>
              <w:rPr>
                <w:rFonts w:ascii="Times New Roman" w:hAnsi="Times New Roman" w:eastAsia="宋体"/>
                <w:b w:val="0"/>
                <w:sz w:val="21"/>
              </w:rPr>
              <w:t>向量嵌入服务</w:t>
            </w:r>
          </w:p>
        </w:tc>
        <w:tc>
          <w:tcPr>
            <w:tcW w:type="dxa" w:w="2608"/>
          </w:tcPr>
          <w:p>
            <w:r/>
            <w:r>
              <w:rPr>
                <w:rFonts w:ascii="Times New Roman" w:hAnsi="Times New Roman" w:eastAsia="宋体"/>
                <w:b w:val="0"/>
                <w:sz w:val="21"/>
              </w:rPr>
              <w:t>嵌入 API 不可用</w:t>
            </w:r>
          </w:p>
        </w:tc>
        <w:tc>
          <w:tcPr>
            <w:tcW w:type="dxa" w:w="4195"/>
          </w:tcPr>
          <w:p>
            <w:r/>
            <w:r>
              <w:rPr>
                <w:rFonts w:ascii="Times New Roman" w:hAnsi="Times New Roman" w:eastAsia="宋体"/>
                <w:b w:val="0"/>
                <w:sz w:val="21"/>
              </w:rPr>
              <w:t>知识库检索静默退化为关键词通道，主流程不抛错</w:t>
            </w:r>
          </w:p>
        </w:tc>
      </w:tr>
      <w:tr>
        <w:tc>
          <w:tcPr>
            <w:tcW w:type="dxa" w:w="1928"/>
          </w:tcPr>
          <w:p>
            <w:r/>
            <w:r>
              <w:rPr>
                <w:rFonts w:ascii="Times New Roman" w:hAnsi="Times New Roman" w:eastAsia="宋体"/>
                <w:b w:val="0"/>
                <w:sz w:val="21"/>
              </w:rPr>
              <w:t>联网威胁情报</w:t>
            </w:r>
          </w:p>
        </w:tc>
        <w:tc>
          <w:tcPr>
            <w:tcW w:type="dxa" w:w="2608"/>
          </w:tcPr>
          <w:p>
            <w:r/>
            <w:r>
              <w:rPr>
                <w:rFonts w:ascii="Times New Roman" w:hAnsi="Times New Roman" w:eastAsia="宋体"/>
                <w:b w:val="0"/>
                <w:sz w:val="21"/>
              </w:rPr>
              <w:t>限流 / 无网络</w:t>
            </w:r>
          </w:p>
        </w:tc>
        <w:tc>
          <w:tcPr>
            <w:tcW w:type="dxa" w:w="4195"/>
          </w:tcPr>
          <w:p>
            <w:r/>
            <w:r>
              <w:rPr>
                <w:rFonts w:ascii="Times New Roman" w:hAnsi="Times New Roman" w:eastAsia="宋体"/>
                <w:b w:val="0"/>
                <w:sz w:val="21"/>
              </w:rPr>
              <w:t>跳过联网检索，退回本地规则与知识库分析</w:t>
            </w:r>
          </w:p>
        </w:tc>
      </w:tr>
      <w:tr>
        <w:tc>
          <w:tcPr>
            <w:tcW w:type="dxa" w:w="1928"/>
          </w:tcPr>
          <w:p>
            <w:r/>
            <w:r>
              <w:rPr>
                <w:rFonts w:ascii="Times New Roman" w:hAnsi="Times New Roman" w:eastAsia="宋体"/>
                <w:b w:val="0"/>
                <w:sz w:val="21"/>
              </w:rPr>
              <w:t>LLM 策略生成</w:t>
            </w:r>
          </w:p>
        </w:tc>
        <w:tc>
          <w:tcPr>
            <w:tcW w:type="dxa" w:w="2608"/>
          </w:tcPr>
          <w:p>
            <w:r/>
            <w:r>
              <w:rPr>
                <w:rFonts w:ascii="Times New Roman" w:hAnsi="Times New Roman" w:eastAsia="宋体"/>
                <w:b w:val="0"/>
                <w:sz w:val="21"/>
              </w:rPr>
              <w:t>Phase 1 失败</w:t>
            </w:r>
          </w:p>
        </w:tc>
        <w:tc>
          <w:tcPr>
            <w:tcW w:type="dxa" w:w="4195"/>
          </w:tcPr>
          <w:p>
            <w:r/>
            <w:r>
              <w:rPr>
                <w:rFonts w:ascii="Times New Roman" w:hAnsi="Times New Roman" w:eastAsia="宋体"/>
                <w:b w:val="0"/>
                <w:sz w:val="21"/>
              </w:rPr>
              <w:t>主编排 Agent 启用规则兜底策略，执行标准全流程</w:t>
            </w:r>
          </w:p>
        </w:tc>
      </w:tr>
    </w:tbl>
    <w:p>
      <w:pPr>
        <w:spacing w:after="40"/>
      </w:pPr>
    </w:p>
    <w:p>
      <w:pPr>
        <w:pStyle w:val="Heading2"/>
        <w:spacing w:before="240" w:after="160"/>
      </w:pPr>
      <w:r>
        <w:rPr>
          <w:rFonts w:ascii="微软雅黑" w:hAnsi="微软雅黑" w:eastAsia="微软雅黑"/>
          <w:b/>
          <w:color w:val="1F4E79"/>
          <w:sz w:val="26"/>
        </w:rPr>
        <w:t>3.3 创新点三：离线规则兜底准确率专项（数据见第四章）</w:t>
      </w:r>
    </w:p>
    <w:p>
      <w:pPr>
        <w:spacing w:after="120" w:line="312" w:lineRule="auto"/>
        <w:ind w:firstLine="440"/>
      </w:pPr>
      <w:r>
        <w:rPr>
          <w:rFonts w:ascii="Times New Roman" w:hAnsi="Times New Roman" w:eastAsia="宋体"/>
          <w:b w:val="0"/>
          <w:sz w:val="22"/>
        </w:rPr>
        <w:t>针对“离线即失明”的行业痛点，本项目对规则兜底链路做了系统性准确率工程：</w:t>
      </w:r>
    </w:p>
    <w:p>
      <w:pPr>
        <w:pStyle w:val="ListBullet"/>
        <w:spacing w:after="80" w:line="312" w:lineRule="auto"/>
      </w:pPr>
      <w:r>
        <w:rPr>
          <w:rFonts w:ascii="Times New Roman" w:hAnsi="Times New Roman" w:eastAsia="宋体"/>
          <w:b/>
          <w:sz w:val="22"/>
        </w:rPr>
        <w:t>中文钓鱼品类词表工程：</w:t>
      </w:r>
      <w:r>
        <w:rPr>
          <w:rFonts w:ascii="Times New Roman" w:hAnsi="Times New Roman" w:eastAsia="宋体"/>
          <w:b w:val="0"/>
          <w:sz w:val="22"/>
        </w:rPr>
        <w:t>基于真实钓鱼邮件漏报样本逐类归因，新增补贴变体（容忍“补〉贴”类符号混淆）、邮箱容量恐吓、薪资资料诱饵、学术征稿伪装、英文 BEC 虚假询单等品类模式，全部经 200 条正常邮件零命中验证；</w:t>
      </w:r>
    </w:p>
    <w:p>
      <w:pPr>
        <w:pStyle w:val="ListBullet"/>
        <w:spacing w:after="80" w:line="312" w:lineRule="auto"/>
      </w:pPr>
      <w:r>
        <w:rPr>
          <w:rFonts w:ascii="Times New Roman" w:hAnsi="Times New Roman" w:eastAsia="宋体"/>
          <w:b/>
          <w:sz w:val="22"/>
        </w:rPr>
        <w:t>强/弱双层信号设计：</w:t>
      </w:r>
      <w:r>
        <w:rPr>
          <w:rFonts w:ascii="Times New Roman" w:hAnsi="Times New Roman" w:eastAsia="宋体"/>
          <w:b w:val="0"/>
          <w:sz w:val="22"/>
        </w:rPr>
        <w:t>强品类模式（钓鱼指向性明确）单独命中即可抬档；弱信号（如“请查看附件”“课程报名”等正常商务邮件也常见的表述）必须 ≥2 个组合才参与判定，兼顾召回与误报；</w:t>
      </w:r>
    </w:p>
    <w:p>
      <w:pPr>
        <w:pStyle w:val="ListBullet"/>
        <w:spacing w:after="80" w:line="312" w:lineRule="auto"/>
      </w:pPr>
      <w:r>
        <w:rPr>
          <w:rFonts w:ascii="Times New Roman" w:hAnsi="Times New Roman" w:eastAsia="宋体"/>
          <w:b/>
          <w:sz w:val="22"/>
        </w:rPr>
        <w:t>阶梯式抬档：</w:t>
      </w:r>
      <w:r>
        <w:rPr>
          <w:rFonts w:ascii="Times New Roman" w:hAnsi="Times New Roman" w:eastAsia="宋体"/>
          <w:b w:val="0"/>
          <w:sz w:val="22"/>
        </w:rPr>
        <w:t>命中越多档位越高（1 命中抬至 high 判定线 61 分，之后每命中 +7，封顶 82），风险排序更合理；</w:t>
      </w:r>
    </w:p>
    <w:p>
      <w:pPr>
        <w:pStyle w:val="ListBullet"/>
        <w:spacing w:after="80" w:line="312" w:lineRule="auto"/>
      </w:pPr>
      <w:r>
        <w:rPr>
          <w:rFonts w:ascii="Times New Roman" w:hAnsi="Times New Roman" w:eastAsia="宋体"/>
          <w:b/>
          <w:sz w:val="22"/>
        </w:rPr>
        <w:t>严格的路径隔离：</w:t>
      </w:r>
      <w:r>
        <w:rPr>
          <w:rFonts w:ascii="Times New Roman" w:hAnsi="Times New Roman" w:eastAsia="宋体"/>
          <w:b w:val="0"/>
          <w:sz w:val="22"/>
        </w:rPr>
        <w:t>全部增强只作用于 LLM 不可用的兜底分支，不进入 LLM 提示词、不参与加权融合，联网智能研判路径零改动。</w:t>
      </w:r>
    </w:p>
    <w:p>
      <w:pPr>
        <w:pStyle w:val="Heading2"/>
        <w:spacing w:before="240" w:after="160"/>
      </w:pPr>
      <w:r>
        <w:rPr>
          <w:rFonts w:ascii="微软雅黑" w:hAnsi="微软雅黑" w:eastAsia="微软雅黑"/>
          <w:b/>
          <w:color w:val="1F4E79"/>
          <w:sz w:val="26"/>
        </w:rPr>
        <w:t>3.4 创新点四：RAG 知识库增强研判</w:t>
      </w:r>
    </w:p>
    <w:p>
      <w:pPr>
        <w:spacing w:after="120" w:line="312" w:lineRule="auto"/>
        <w:ind w:firstLine="440"/>
      </w:pPr>
      <w:r>
        <w:rPr>
          <w:rFonts w:ascii="Times New Roman" w:hAnsi="Times New Roman" w:eastAsia="宋体"/>
          <w:b w:val="0"/>
          <w:sz w:val="22"/>
        </w:rPr>
        <w:t>系统内置钓鱼威胁知识库（攻击手法、品类特征、识别要点、处置建议），检索采用关键词 / 向量 / 混合三通道融合，并对“主题+发件人”与“正文+URL”双路分别检索后合并去重。命中的知识条目不仅作为内容标记参与规则评分，还被注入 LLM 研判提示词，要求模型在解释中显式引用条目标题与识别要点编号，让研判结论有据可查。</w:t>
      </w:r>
    </w:p>
    <w:p>
      <w:pPr>
        <w:pStyle w:val="Heading2"/>
        <w:spacing w:before="240" w:after="160"/>
      </w:pPr>
      <w:r>
        <w:rPr>
          <w:rFonts w:ascii="微软雅黑" w:hAnsi="微软雅黑" w:eastAsia="微软雅黑"/>
          <w:b/>
          <w:color w:val="1F4E79"/>
          <w:sz w:val="26"/>
        </w:rPr>
        <w:t>3.5 创新点五：标准化威胁语言与可解释思考流</w:t>
      </w:r>
    </w:p>
    <w:p>
      <w:pPr>
        <w:spacing w:after="120" w:line="312" w:lineRule="auto"/>
        <w:ind w:firstLine="440"/>
      </w:pPr>
      <w:r>
        <w:rPr>
          <w:rFonts w:ascii="Times New Roman" w:hAnsi="Times New Roman" w:eastAsia="宋体"/>
          <w:b w:val="0"/>
          <w:sz w:val="22"/>
        </w:rPr>
        <w:t>检测标记自动映射至 MITRE ATT&amp;CK 框架（T1566 系列、T1598、T1657 等），输出业界通用的威胁语言；前端以时间线形式实时呈现编排 Agent 与子 Agent 的思考、工具调用与证据，研判过程全透明、可审计。</w:t>
      </w:r>
    </w:p>
    <w:p>
      <w:pPr>
        <w:pStyle w:val="Heading1"/>
        <w:spacing w:before="360" w:after="160"/>
      </w:pPr>
      <w:r>
        <w:rPr>
          <w:rFonts w:ascii="微软雅黑" w:hAnsi="微软雅黑" w:eastAsia="微软雅黑"/>
          <w:b/>
          <w:color w:val="1F4E79"/>
          <w:sz w:val="32"/>
        </w:rPr>
        <w:t>四、评测方案与结果分析</w:t>
      </w:r>
    </w:p>
    <w:p>
      <w:pPr>
        <w:pStyle w:val="Heading2"/>
        <w:spacing w:before="240" w:after="160"/>
      </w:pPr>
      <w:r>
        <w:rPr>
          <w:rFonts w:ascii="微软雅黑" w:hAnsi="微软雅黑" w:eastAsia="微软雅黑"/>
          <w:b/>
          <w:color w:val="1F4E79"/>
          <w:sz w:val="26"/>
        </w:rPr>
        <w:t>4.1 评测数据集与方法</w:t>
      </w:r>
    </w:p>
    <w:p>
      <w:pPr>
        <w:spacing w:after="120" w:line="312" w:lineRule="auto"/>
        <w:ind w:firstLine="440"/>
      </w:pPr>
      <w:r>
        <w:rPr>
          <w:rFonts w:ascii="Times New Roman" w:hAnsi="Times New Roman" w:eastAsia="宋体"/>
          <w:b w:val="0"/>
          <w:sz w:val="22"/>
        </w:rPr>
        <w:t>评测使用 test_set v1：DataCon2023 邮件安全赛道（Coremail）真实中文钓鱼邮件 200 条与 TREC06c 中文语料正常邮件 200 条，按固定随机种子 20260818 分层抽样，构成 400 条均衡评测集。评测沿两条路径分别进行：</w:t>
      </w:r>
    </w:p>
    <w:p>
      <w:pPr>
        <w:pStyle w:val="ListBullet"/>
        <w:spacing w:after="80" w:line="312" w:lineRule="auto"/>
      </w:pPr>
      <w:r>
        <w:rPr>
          <w:rFonts w:ascii="Times New Roman" w:hAnsi="Times New Roman" w:eastAsia="宋体"/>
          <w:b/>
          <w:sz w:val="22"/>
        </w:rPr>
        <w:t>纯规则路径（离线）：</w:t>
      </w:r>
      <w:r>
        <w:rPr>
          <w:rFonts w:ascii="Times New Roman" w:hAnsi="Times New Roman" w:eastAsia="宋体"/>
          <w:b w:val="0"/>
          <w:sz w:val="22"/>
        </w:rPr>
        <w:t>显式禁用 LLM、跳过联网检索，模拟完全离线环境，考察规则兜底链路的独立检出能力；</w:t>
      </w:r>
    </w:p>
    <w:p>
      <w:pPr>
        <w:pStyle w:val="ListBullet"/>
        <w:spacing w:after="80" w:line="312" w:lineRule="auto"/>
      </w:pPr>
      <w:r>
        <w:rPr>
          <w:rFonts w:ascii="Times New Roman" w:hAnsi="Times New Roman" w:eastAsia="宋体"/>
          <w:b/>
          <w:sz w:val="22"/>
        </w:rPr>
        <w:t>智能研判路径（在线）：</w:t>
      </w:r>
      <w:r>
        <w:rPr>
          <w:rFonts w:ascii="Times New Roman" w:hAnsi="Times New Roman" w:eastAsia="宋体"/>
          <w:b w:val="0"/>
          <w:sz w:val="22"/>
        </w:rPr>
        <w:t>LLM + 规则双轨融合 + 威胁情报联网关联，为系统完整形态。</w:t>
      </w:r>
    </w:p>
    <w:p>
      <w:pPr>
        <w:spacing w:after="120" w:line="312" w:lineRule="auto"/>
        <w:ind w:firstLine="420"/>
      </w:pPr>
      <w:r>
        <w:rPr>
          <w:rFonts w:ascii="Times New Roman" w:hAnsi="Times New Roman" w:eastAsia="宋体"/>
          <w:b w:val="0"/>
          <w:color w:val="595959"/>
          <w:sz w:val="21"/>
        </w:rPr>
        <w:t>全部评测结果如实留档（见附录 B 及 docs/ 目录评测报告），未做任何调参凑数。</w:t>
      </w:r>
    </w:p>
    <w:p>
      <w:pPr>
        <w:pStyle w:val="Heading2"/>
        <w:spacing w:before="240" w:after="160"/>
      </w:pPr>
      <w:r>
        <w:rPr>
          <w:rFonts w:ascii="微软雅黑" w:hAnsi="微软雅黑" w:eastAsia="微软雅黑"/>
          <w:b/>
          <w:color w:val="1F4E79"/>
          <w:sz w:val="26"/>
        </w:rPr>
        <w:t>4.2 纯规则路径：召回率 0% → 80.5%</w:t>
      </w:r>
    </w:p>
    <w:p>
      <w:pPr>
        <w:spacing w:after="120" w:line="312" w:lineRule="auto"/>
        <w:ind w:firstLine="440"/>
      </w:pPr>
      <w:r>
        <w:rPr>
          <w:rFonts w:ascii="Times New Roman" w:hAnsi="Times New Roman" w:eastAsia="宋体"/>
          <w:b w:val="0"/>
          <w:sz w:val="22"/>
        </w:rPr>
        <w:t>基线评测（2026-08-18）表明，真实中文钓鱼邮件文本规整、技术特征弱，规则预评分最高仅 43 分（medium 档），无一越过 high 判定线，召回率为 0%，但正常邮件零误报。经规则兜底准确率专项改进后（2026-08-24 复测）：</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1928"/>
            <w:shd w:val="clear" w:fill="1F4E79"/>
          </w:tcPr>
          <w:p>
            <w:r/>
            <w:r>
              <w:rPr>
                <w:rFonts w:ascii="Times New Roman" w:hAnsi="Times New Roman" w:eastAsia="微软雅黑"/>
                <w:b/>
                <w:color w:val="FFFFFF"/>
                <w:sz w:val="21"/>
              </w:rPr>
              <w:t>指标</w:t>
            </w:r>
          </w:p>
        </w:tc>
        <w:tc>
          <w:tcPr>
            <w:tcW w:type="dxa" w:w="2041"/>
            <w:shd w:val="clear" w:fill="1F4E79"/>
          </w:tcPr>
          <w:p>
            <w:r/>
            <w:r>
              <w:rPr>
                <w:rFonts w:ascii="Times New Roman" w:hAnsi="Times New Roman" w:eastAsia="微软雅黑"/>
                <w:b/>
                <w:color w:val="FFFFFF"/>
                <w:sz w:val="21"/>
              </w:rPr>
              <w:t>基线（08-18）</w:t>
            </w:r>
          </w:p>
        </w:tc>
        <w:tc>
          <w:tcPr>
            <w:tcW w:type="dxa" w:w="2494"/>
            <w:shd w:val="clear" w:fill="1F4E79"/>
          </w:tcPr>
          <w:p>
            <w:r/>
            <w:r>
              <w:rPr>
                <w:rFonts w:ascii="Times New Roman" w:hAnsi="Times New Roman" w:eastAsia="微软雅黑"/>
                <w:b/>
                <w:color w:val="FFFFFF"/>
                <w:sz w:val="21"/>
              </w:rPr>
              <w:t>中间版（≥2 命中抬档）</w:t>
            </w:r>
          </w:p>
        </w:tc>
        <w:tc>
          <w:tcPr>
            <w:tcW w:type="dxa" w:w="2608"/>
            <w:shd w:val="clear" w:fill="1F4E79"/>
          </w:tcPr>
          <w:p>
            <w:r/>
            <w:r>
              <w:rPr>
                <w:rFonts w:ascii="Times New Roman" w:hAnsi="Times New Roman" w:eastAsia="微软雅黑"/>
                <w:b/>
                <w:color w:val="FFFFFF"/>
                <w:sz w:val="21"/>
              </w:rPr>
              <w:t>最终版（强弱双层+阶梯抬档）</w:t>
            </w:r>
          </w:p>
        </w:tc>
      </w:tr>
      <w:tr>
        <w:tc>
          <w:tcPr>
            <w:tcW w:type="dxa" w:w="1928"/>
          </w:tcPr>
          <w:p>
            <w:r/>
            <w:r>
              <w:rPr>
                <w:rFonts w:ascii="Times New Roman" w:hAnsi="Times New Roman" w:eastAsia="宋体"/>
                <w:b w:val="0"/>
                <w:sz w:val="21"/>
              </w:rPr>
              <w:t>真正例 TP</w:t>
            </w:r>
          </w:p>
        </w:tc>
        <w:tc>
          <w:tcPr>
            <w:tcW w:type="dxa" w:w="2041"/>
          </w:tcPr>
          <w:p>
            <w:r/>
            <w:r>
              <w:rPr>
                <w:rFonts w:ascii="Times New Roman" w:hAnsi="Times New Roman" w:eastAsia="宋体"/>
                <w:b w:val="0"/>
                <w:sz w:val="21"/>
              </w:rPr>
              <w:t>0</w:t>
            </w:r>
          </w:p>
        </w:tc>
        <w:tc>
          <w:tcPr>
            <w:tcW w:type="dxa" w:w="2494"/>
          </w:tcPr>
          <w:p>
            <w:r/>
            <w:r>
              <w:rPr>
                <w:rFonts w:ascii="Times New Roman" w:hAnsi="Times New Roman" w:eastAsia="宋体"/>
                <w:b w:val="0"/>
                <w:sz w:val="21"/>
              </w:rPr>
              <w:t>54</w:t>
            </w:r>
          </w:p>
        </w:tc>
        <w:tc>
          <w:tcPr>
            <w:tcW w:type="dxa" w:w="2608"/>
          </w:tcPr>
          <w:p>
            <w:r/>
            <w:r>
              <w:rPr>
                <w:rFonts w:ascii="Times New Roman" w:hAnsi="Times New Roman" w:eastAsia="宋体"/>
                <w:b/>
                <w:sz w:val="21"/>
              </w:rPr>
              <w:t>161</w:t>
            </w:r>
          </w:p>
        </w:tc>
      </w:tr>
      <w:tr>
        <w:tc>
          <w:tcPr>
            <w:tcW w:type="dxa" w:w="1928"/>
          </w:tcPr>
          <w:p>
            <w:r/>
            <w:r>
              <w:rPr>
                <w:rFonts w:ascii="Times New Roman" w:hAnsi="Times New Roman" w:eastAsia="宋体"/>
                <w:b w:val="0"/>
                <w:sz w:val="21"/>
              </w:rPr>
              <w:t>假正例 FP</w:t>
            </w:r>
          </w:p>
        </w:tc>
        <w:tc>
          <w:tcPr>
            <w:tcW w:type="dxa" w:w="2041"/>
          </w:tcPr>
          <w:p>
            <w:r/>
            <w:r>
              <w:rPr>
                <w:rFonts w:ascii="Times New Roman" w:hAnsi="Times New Roman" w:eastAsia="宋体"/>
                <w:b w:val="0"/>
                <w:sz w:val="21"/>
              </w:rPr>
              <w:t>0</w:t>
            </w:r>
          </w:p>
        </w:tc>
        <w:tc>
          <w:tcPr>
            <w:tcW w:type="dxa" w:w="2494"/>
          </w:tcPr>
          <w:p>
            <w:r/>
            <w:r>
              <w:rPr>
                <w:rFonts w:ascii="Times New Roman" w:hAnsi="Times New Roman" w:eastAsia="宋体"/>
                <w:b w:val="0"/>
                <w:sz w:val="21"/>
              </w:rPr>
              <w:t>0</w:t>
            </w:r>
          </w:p>
        </w:tc>
        <w:tc>
          <w:tcPr>
            <w:tcW w:type="dxa" w:w="2608"/>
          </w:tcPr>
          <w:p>
            <w:r/>
            <w:r>
              <w:rPr>
                <w:rFonts w:ascii="Times New Roman" w:hAnsi="Times New Roman" w:eastAsia="宋体"/>
                <w:b/>
                <w:sz w:val="21"/>
              </w:rPr>
              <w:t>0</w:t>
            </w:r>
          </w:p>
        </w:tc>
      </w:tr>
      <w:tr>
        <w:tc>
          <w:tcPr>
            <w:tcW w:type="dxa" w:w="1928"/>
          </w:tcPr>
          <w:p>
            <w:r/>
            <w:r>
              <w:rPr>
                <w:rFonts w:ascii="Times New Roman" w:hAnsi="Times New Roman" w:eastAsia="宋体"/>
                <w:b w:val="0"/>
                <w:sz w:val="21"/>
              </w:rPr>
              <w:t>漏报 FN</w:t>
            </w:r>
          </w:p>
        </w:tc>
        <w:tc>
          <w:tcPr>
            <w:tcW w:type="dxa" w:w="2041"/>
          </w:tcPr>
          <w:p>
            <w:r/>
            <w:r>
              <w:rPr>
                <w:rFonts w:ascii="Times New Roman" w:hAnsi="Times New Roman" w:eastAsia="宋体"/>
                <w:b w:val="0"/>
                <w:sz w:val="21"/>
              </w:rPr>
              <w:t>200</w:t>
            </w:r>
          </w:p>
        </w:tc>
        <w:tc>
          <w:tcPr>
            <w:tcW w:type="dxa" w:w="2494"/>
          </w:tcPr>
          <w:p>
            <w:r/>
            <w:r>
              <w:rPr>
                <w:rFonts w:ascii="Times New Roman" w:hAnsi="Times New Roman" w:eastAsia="宋体"/>
                <w:b w:val="0"/>
                <w:sz w:val="21"/>
              </w:rPr>
              <w:t>146</w:t>
            </w:r>
          </w:p>
        </w:tc>
        <w:tc>
          <w:tcPr>
            <w:tcW w:type="dxa" w:w="2608"/>
          </w:tcPr>
          <w:p>
            <w:r/>
            <w:r>
              <w:rPr>
                <w:rFonts w:ascii="Times New Roman" w:hAnsi="Times New Roman" w:eastAsia="宋体"/>
                <w:b/>
                <w:sz w:val="21"/>
              </w:rPr>
              <w:t>39</w:t>
            </w:r>
          </w:p>
        </w:tc>
      </w:tr>
      <w:tr>
        <w:tc>
          <w:tcPr>
            <w:tcW w:type="dxa" w:w="1928"/>
          </w:tcPr>
          <w:p>
            <w:r/>
            <w:r>
              <w:rPr>
                <w:rFonts w:ascii="Times New Roman" w:hAnsi="Times New Roman" w:eastAsia="宋体"/>
                <w:b w:val="0"/>
                <w:sz w:val="21"/>
              </w:rPr>
              <w:t>真负例 TN</w:t>
            </w:r>
          </w:p>
        </w:tc>
        <w:tc>
          <w:tcPr>
            <w:tcW w:type="dxa" w:w="2041"/>
          </w:tcPr>
          <w:p>
            <w:r/>
            <w:r>
              <w:rPr>
                <w:rFonts w:ascii="Times New Roman" w:hAnsi="Times New Roman" w:eastAsia="宋体"/>
                <w:b w:val="0"/>
                <w:sz w:val="21"/>
              </w:rPr>
              <w:t>200</w:t>
            </w:r>
          </w:p>
        </w:tc>
        <w:tc>
          <w:tcPr>
            <w:tcW w:type="dxa" w:w="2494"/>
          </w:tcPr>
          <w:p>
            <w:r/>
            <w:r>
              <w:rPr>
                <w:rFonts w:ascii="Times New Roman" w:hAnsi="Times New Roman" w:eastAsia="宋体"/>
                <w:b w:val="0"/>
                <w:sz w:val="21"/>
              </w:rPr>
              <w:t>200</w:t>
            </w:r>
          </w:p>
        </w:tc>
        <w:tc>
          <w:tcPr>
            <w:tcW w:type="dxa" w:w="2608"/>
          </w:tcPr>
          <w:p>
            <w:r/>
            <w:r>
              <w:rPr>
                <w:rFonts w:ascii="Times New Roman" w:hAnsi="Times New Roman" w:eastAsia="宋体"/>
                <w:b/>
                <w:sz w:val="21"/>
              </w:rPr>
              <w:t>200</w:t>
            </w:r>
          </w:p>
        </w:tc>
      </w:tr>
      <w:tr>
        <w:tc>
          <w:tcPr>
            <w:tcW w:type="dxa" w:w="1928"/>
          </w:tcPr>
          <w:p>
            <w:r/>
            <w:r>
              <w:rPr>
                <w:rFonts w:ascii="Times New Roman" w:hAnsi="Times New Roman" w:eastAsia="宋体"/>
                <w:b w:val="0"/>
                <w:sz w:val="21"/>
              </w:rPr>
              <w:t>召回率 recall</w:t>
            </w:r>
          </w:p>
        </w:tc>
        <w:tc>
          <w:tcPr>
            <w:tcW w:type="dxa" w:w="2041"/>
          </w:tcPr>
          <w:p>
            <w:r/>
            <w:r>
              <w:rPr>
                <w:rFonts w:ascii="Times New Roman" w:hAnsi="Times New Roman" w:eastAsia="宋体"/>
                <w:b w:val="0"/>
                <w:sz w:val="21"/>
              </w:rPr>
              <w:t>0%</w:t>
            </w:r>
          </w:p>
        </w:tc>
        <w:tc>
          <w:tcPr>
            <w:tcW w:type="dxa" w:w="2494"/>
          </w:tcPr>
          <w:p>
            <w:r/>
            <w:r>
              <w:rPr>
                <w:rFonts w:ascii="Times New Roman" w:hAnsi="Times New Roman" w:eastAsia="宋体"/>
                <w:b w:val="0"/>
                <w:sz w:val="21"/>
              </w:rPr>
              <w:t>27.0%</w:t>
            </w:r>
          </w:p>
        </w:tc>
        <w:tc>
          <w:tcPr>
            <w:tcW w:type="dxa" w:w="2608"/>
          </w:tcPr>
          <w:p>
            <w:r/>
            <w:r>
              <w:rPr>
                <w:rFonts w:ascii="Times New Roman" w:hAnsi="Times New Roman" w:eastAsia="宋体"/>
                <w:b/>
                <w:sz w:val="21"/>
              </w:rPr>
              <w:t>80.5%</w:t>
            </w:r>
          </w:p>
        </w:tc>
      </w:tr>
      <w:tr>
        <w:tc>
          <w:tcPr>
            <w:tcW w:type="dxa" w:w="1928"/>
          </w:tcPr>
          <w:p>
            <w:r/>
            <w:r>
              <w:rPr>
                <w:rFonts w:ascii="Times New Roman" w:hAnsi="Times New Roman" w:eastAsia="宋体"/>
                <w:b w:val="0"/>
                <w:sz w:val="21"/>
              </w:rPr>
              <w:t>精确率 precision</w:t>
            </w:r>
          </w:p>
        </w:tc>
        <w:tc>
          <w:tcPr>
            <w:tcW w:type="dxa" w:w="2041"/>
          </w:tcPr>
          <w:p>
            <w:r/>
            <w:r>
              <w:rPr>
                <w:rFonts w:ascii="Times New Roman" w:hAnsi="Times New Roman" w:eastAsia="宋体"/>
                <w:b w:val="0"/>
                <w:sz w:val="21"/>
              </w:rPr>
              <w:t>—</w:t>
            </w:r>
          </w:p>
        </w:tc>
        <w:tc>
          <w:tcPr>
            <w:tcW w:type="dxa" w:w="2494"/>
          </w:tcPr>
          <w:p>
            <w:r/>
            <w:r>
              <w:rPr>
                <w:rFonts w:ascii="Times New Roman" w:hAnsi="Times New Roman" w:eastAsia="宋体"/>
                <w:b w:val="0"/>
                <w:sz w:val="21"/>
              </w:rPr>
              <w:t>100%</w:t>
            </w:r>
          </w:p>
        </w:tc>
        <w:tc>
          <w:tcPr>
            <w:tcW w:type="dxa" w:w="2608"/>
          </w:tcPr>
          <w:p>
            <w:r/>
            <w:r>
              <w:rPr>
                <w:rFonts w:ascii="Times New Roman" w:hAnsi="Times New Roman" w:eastAsia="宋体"/>
                <w:b/>
                <w:sz w:val="21"/>
              </w:rPr>
              <w:t>100%</w:t>
            </w:r>
          </w:p>
        </w:tc>
      </w:tr>
      <w:tr>
        <w:tc>
          <w:tcPr>
            <w:tcW w:type="dxa" w:w="1928"/>
          </w:tcPr>
          <w:p>
            <w:r/>
            <w:r>
              <w:rPr>
                <w:rFonts w:ascii="Times New Roman" w:hAnsi="Times New Roman" w:eastAsia="宋体"/>
                <w:b w:val="0"/>
                <w:sz w:val="21"/>
              </w:rPr>
              <w:t>F1</w:t>
            </w:r>
          </w:p>
        </w:tc>
        <w:tc>
          <w:tcPr>
            <w:tcW w:type="dxa" w:w="2041"/>
          </w:tcPr>
          <w:p>
            <w:r/>
            <w:r>
              <w:rPr>
                <w:rFonts w:ascii="Times New Roman" w:hAnsi="Times New Roman" w:eastAsia="宋体"/>
                <w:b w:val="0"/>
                <w:sz w:val="21"/>
              </w:rPr>
              <w:t>0</w:t>
            </w:r>
          </w:p>
        </w:tc>
        <w:tc>
          <w:tcPr>
            <w:tcW w:type="dxa" w:w="2494"/>
          </w:tcPr>
          <w:p>
            <w:r/>
            <w:r>
              <w:rPr>
                <w:rFonts w:ascii="Times New Roman" w:hAnsi="Times New Roman" w:eastAsia="宋体"/>
                <w:b w:val="0"/>
                <w:sz w:val="21"/>
              </w:rPr>
              <w:t>0.425</w:t>
            </w:r>
          </w:p>
        </w:tc>
        <w:tc>
          <w:tcPr>
            <w:tcW w:type="dxa" w:w="2608"/>
          </w:tcPr>
          <w:p>
            <w:r/>
            <w:r>
              <w:rPr>
                <w:rFonts w:ascii="Times New Roman" w:hAnsi="Times New Roman" w:eastAsia="宋体"/>
                <w:b/>
                <w:sz w:val="21"/>
              </w:rPr>
              <w:t>0.892</w:t>
            </w:r>
          </w:p>
        </w:tc>
      </w:tr>
      <w:tr>
        <w:tc>
          <w:tcPr>
            <w:tcW w:type="dxa" w:w="1928"/>
          </w:tcPr>
          <w:p>
            <w:r/>
            <w:r>
              <w:rPr>
                <w:rFonts w:ascii="Times New Roman" w:hAnsi="Times New Roman" w:eastAsia="宋体"/>
                <w:b w:val="0"/>
                <w:sz w:val="21"/>
              </w:rPr>
              <w:t>准确率 accuracy</w:t>
            </w:r>
          </w:p>
        </w:tc>
        <w:tc>
          <w:tcPr>
            <w:tcW w:type="dxa" w:w="2041"/>
          </w:tcPr>
          <w:p>
            <w:r/>
            <w:r>
              <w:rPr>
                <w:rFonts w:ascii="Times New Roman" w:hAnsi="Times New Roman" w:eastAsia="宋体"/>
                <w:b w:val="0"/>
                <w:sz w:val="21"/>
              </w:rPr>
              <w:t>50.0%</w:t>
            </w:r>
          </w:p>
        </w:tc>
        <w:tc>
          <w:tcPr>
            <w:tcW w:type="dxa" w:w="2494"/>
          </w:tcPr>
          <w:p>
            <w:r/>
            <w:r>
              <w:rPr>
                <w:rFonts w:ascii="Times New Roman" w:hAnsi="Times New Roman" w:eastAsia="宋体"/>
                <w:b w:val="0"/>
                <w:sz w:val="21"/>
              </w:rPr>
              <w:t>63.5%</w:t>
            </w:r>
          </w:p>
        </w:tc>
        <w:tc>
          <w:tcPr>
            <w:tcW w:type="dxa" w:w="2608"/>
          </w:tcPr>
          <w:p>
            <w:r/>
            <w:r>
              <w:rPr>
                <w:rFonts w:ascii="Times New Roman" w:hAnsi="Times New Roman" w:eastAsia="宋体"/>
                <w:b/>
                <w:sz w:val="21"/>
              </w:rPr>
              <w:t>90.25%</w:t>
            </w:r>
          </w:p>
        </w:tc>
      </w:tr>
    </w:tbl>
    <w:p>
      <w:pPr>
        <w:spacing w:after="40"/>
      </w:pPr>
    </w:p>
    <w:p>
      <w:pPr>
        <w:pStyle w:val="ListBullet"/>
        <w:spacing w:after="80" w:line="312" w:lineRule="auto"/>
      </w:pPr>
      <w:r>
        <w:rPr>
          <w:rFonts w:ascii="Times New Roman" w:hAnsi="Times New Roman" w:eastAsia="宋体"/>
          <w:b/>
          <w:sz w:val="22"/>
        </w:rPr>
        <w:t>零误报保持：</w:t>
      </w:r>
      <w:r>
        <w:rPr>
          <w:rFonts w:ascii="Times New Roman" w:hAnsi="Times New Roman" w:eastAsia="宋体"/>
          <w:b w:val="0"/>
          <w:sz w:val="22"/>
        </w:rPr>
        <w:t>200 条正常邮件最高分 26，距 high 判定线 61 有充足安全边距；改进过程中识别并拆分了唯一误报源（正常邮件中“给予补助”等合法表述），词表工程全程以零误报为硬约束。</w:t>
      </w:r>
    </w:p>
    <w:p>
      <w:pPr>
        <w:pStyle w:val="ListBullet"/>
        <w:spacing w:after="80" w:line="312" w:lineRule="auto"/>
      </w:pPr>
      <w:r>
        <w:rPr>
          <w:rFonts w:ascii="Times New Roman" w:hAnsi="Times New Roman" w:eastAsia="宋体"/>
          <w:b/>
          <w:sz w:val="22"/>
        </w:rPr>
        <w:t>漏报归因诚实披露：</w:t>
      </w:r>
      <w:r>
        <w:rPr>
          <w:rFonts w:ascii="Times New Roman" w:hAnsi="Times New Roman" w:eastAsia="宋体"/>
          <w:b w:val="0"/>
          <w:sz w:val="22"/>
        </w:rPr>
        <w:t>剩余 39 条漏报集中于单一弱信号样本（科研服务营销、培训课程广告、掠夺性期刊约稿、空正文“通告”等），其文本与正常营销邮件几乎不可区分，继续加词将把正常商务表述误判为钓鱼，故刻意不再向下挖掘。</w:t>
      </w:r>
    </w:p>
    <w:p>
      <w:pPr>
        <w:pStyle w:val="Heading2"/>
        <w:spacing w:before="240" w:after="160"/>
      </w:pPr>
      <w:r>
        <w:rPr>
          <w:rFonts w:ascii="微软雅黑" w:hAnsi="微软雅黑" w:eastAsia="微软雅黑"/>
          <w:b/>
          <w:color w:val="1F4E79"/>
          <w:sz w:val="26"/>
        </w:rPr>
        <w:t>4.3 智能研判路径（在线）</w:t>
      </w:r>
    </w:p>
    <w:p>
      <w:pPr>
        <w:spacing w:after="120" w:line="312" w:lineRule="auto"/>
        <w:ind w:firstLine="440"/>
      </w:pPr>
      <w:r>
        <w:rPr>
          <w:rFonts w:ascii="Times New Roman" w:hAnsi="Times New Roman" w:eastAsia="宋体"/>
          <w:b w:val="0"/>
          <w:sz w:val="22"/>
        </w:rPr>
        <w:t>在线路径下，LLM 语义研判承担主要判别力，规则轨提供毫秒级预评分与一致性校验，威胁情报 Agent 联网关联公开情报。基线评测结论表明：规则预评分与 LLM 评分在中文钓鱼样本上区分度互补，双轨融合在保持低误报的同时显著提升了对文本规整型钓鱼邮件的检出能力（基线留档见附录 B）。</w:t>
      </w:r>
    </w:p>
    <w:p>
      <w:pPr>
        <w:spacing w:after="120" w:line="312" w:lineRule="auto"/>
        <w:ind w:firstLine="420"/>
      </w:pPr>
      <w:r>
        <w:rPr>
          <w:rFonts w:ascii="Times New Roman" w:hAnsi="Times New Roman" w:eastAsia="宋体"/>
          <w:b w:val="0"/>
          <w:color w:val="595959"/>
          <w:sz w:val="21"/>
        </w:rPr>
        <w:t>说明：LLM 路径的准确率与所选模型及提示词版本相关，本报告不引用未经留档验证的在线评测数值；评委可通过内置“批量评测中心”一键复现两条路径的评测结果。</w:t>
      </w:r>
    </w:p>
    <w:p>
      <w:pPr>
        <w:pStyle w:val="Heading2"/>
        <w:spacing w:before="240" w:after="160"/>
      </w:pPr>
      <w:r>
        <w:rPr>
          <w:rFonts w:ascii="微软雅黑" w:hAnsi="微软雅黑" w:eastAsia="微软雅黑"/>
          <w:b/>
          <w:color w:val="1F4E79"/>
          <w:sz w:val="26"/>
        </w:rPr>
        <w:t>4.4 评测工程化：12 秒完成 400 条全量复测</w:t>
      </w:r>
    </w:p>
    <w:p>
      <w:pPr>
        <w:spacing w:after="120" w:line="312" w:lineRule="auto"/>
        <w:ind w:firstLine="440"/>
      </w:pPr>
      <w:r>
        <w:rPr>
          <w:rFonts w:ascii="Times New Roman" w:hAnsi="Times New Roman" w:eastAsia="宋体"/>
          <w:b w:val="0"/>
          <w:sz w:val="22"/>
        </w:rPr>
        <w:t>为支撑快速迭代，项目实现了离线批量评测脚本与打分离线调参器：不调 LLM、不联网，直接驱动规则链路对 400 条样本全量评测仅需约 12 秒（线上等价路径约 732 秒，提速约 60 倍）；调参器在进程内复刻完整打分链（复刻结果与管线实测 400/400 完全一致），候选打分规则秒级出混淆矩阵，使“改一行词表 → 全量验证”的闭环从小时级缩短到秒级。</w:t>
      </w:r>
    </w:p>
    <w:p>
      <w:pPr>
        <w:pStyle w:val="Heading1"/>
        <w:spacing w:before="360" w:after="160"/>
      </w:pPr>
      <w:r>
        <w:rPr>
          <w:rFonts w:ascii="微软雅黑" w:hAnsi="微软雅黑" w:eastAsia="微软雅黑"/>
          <w:b/>
          <w:color w:val="1F4E79"/>
          <w:sz w:val="32"/>
        </w:rPr>
        <w:t>五、工程实现与可靠性保障</w:t>
      </w:r>
    </w:p>
    <w:p>
      <w:pPr>
        <w:pStyle w:val="ListBullet"/>
        <w:spacing w:after="80" w:line="312" w:lineRule="auto"/>
      </w:pPr>
      <w:r>
        <w:rPr>
          <w:rFonts w:ascii="Times New Roman" w:hAnsi="Times New Roman" w:eastAsia="宋体"/>
          <w:b/>
          <w:sz w:val="22"/>
        </w:rPr>
        <w:t>自动化测试：</w:t>
      </w:r>
      <w:r>
        <w:rPr>
          <w:rFonts w:ascii="Times New Roman" w:hAnsi="Times New Roman" w:eastAsia="宋体"/>
          <w:b w:val="0"/>
          <w:sz w:val="22"/>
        </w:rPr>
        <w:t>基于标准库 unittest 的测试体系覆盖规则兜底、KB 检索、事件协议、健康检查等关键路径；LLM 依赖全部打桩隔离。</w:t>
      </w:r>
    </w:p>
    <w:p>
      <w:pPr>
        <w:pStyle w:val="ListBullet"/>
        <w:spacing w:after="80" w:line="312" w:lineRule="auto"/>
      </w:pPr>
      <w:r>
        <w:rPr>
          <w:rFonts w:ascii="Times New Roman" w:hAnsi="Times New Roman" w:eastAsia="宋体"/>
          <w:b/>
          <w:sz w:val="22"/>
        </w:rPr>
        <w:t>评测留档制度：</w:t>
      </w:r>
      <w:r>
        <w:rPr>
          <w:rFonts w:ascii="Times New Roman" w:hAnsi="Times New Roman" w:eastAsia="宋体"/>
          <w:b w:val="0"/>
          <w:sz w:val="22"/>
        </w:rPr>
        <w:t>基线与每次改进均形成 docs/ 下的评测报告，固定抽样种子，指标可复现、过程可追溯。</w:t>
      </w:r>
    </w:p>
    <w:p>
      <w:pPr>
        <w:pStyle w:val="ListBullet"/>
        <w:spacing w:after="80" w:line="312" w:lineRule="auto"/>
      </w:pPr>
      <w:r>
        <w:rPr>
          <w:rFonts w:ascii="Times New Roman" w:hAnsi="Times New Roman" w:eastAsia="宋体"/>
          <w:b/>
          <w:sz w:val="22"/>
        </w:rPr>
        <w:t>安全实践：</w:t>
      </w:r>
      <w:r>
        <w:rPr>
          <w:rFonts w:ascii="Times New Roman" w:hAnsi="Times New Roman" w:eastAsia="宋体"/>
          <w:b w:val="0"/>
          <w:sz w:val="22"/>
        </w:rPr>
        <w:t>API Key 仅经 .env 注入、健康检查只返回掩码；数据库全部参数化查询；被测邮件内容按不可信输入处理，绝不拼接进 SQL 或 Shell。</w:t>
      </w:r>
    </w:p>
    <w:p>
      <w:pPr>
        <w:pStyle w:val="ListBullet"/>
        <w:spacing w:after="80" w:line="312" w:lineRule="auto"/>
      </w:pPr>
      <w:r>
        <w:rPr>
          <w:rFonts w:ascii="Times New Roman" w:hAnsi="Times New Roman" w:eastAsia="宋体"/>
          <w:b/>
          <w:sz w:val="22"/>
        </w:rPr>
        <w:t>轻量部署：</w:t>
      </w:r>
      <w:r>
        <w:rPr>
          <w:rFonts w:ascii="Times New Roman" w:hAnsi="Times New Roman" w:eastAsia="宋体"/>
          <w:b w:val="0"/>
          <w:sz w:val="22"/>
        </w:rPr>
        <w:t>纯 Python 后端 + 零依赖原生前端（无 npm 构建），SQLite 免运维，一条命令即可单机启动完整系统。</w:t>
      </w:r>
    </w:p>
    <w:p>
      <w:pPr>
        <w:pStyle w:val="Heading1"/>
        <w:spacing w:before="360" w:after="160"/>
      </w:pPr>
      <w:r>
        <w:rPr>
          <w:rFonts w:ascii="微软雅黑" w:hAnsi="微软雅黑" w:eastAsia="微软雅黑"/>
          <w:b/>
          <w:color w:val="1F4E79"/>
          <w:sz w:val="32"/>
        </w:rPr>
        <w:t>六、应用场景与未来展望</w:t>
      </w:r>
    </w:p>
    <w:p>
      <w:pPr>
        <w:pStyle w:val="Heading2"/>
        <w:spacing w:before="240" w:after="160"/>
      </w:pPr>
      <w:r>
        <w:rPr>
          <w:rFonts w:ascii="微软雅黑" w:hAnsi="微软雅黑" w:eastAsia="微软雅黑"/>
          <w:b/>
          <w:color w:val="1F4E79"/>
          <w:sz w:val="26"/>
        </w:rPr>
        <w:t>6.1 典型应用场景</w:t>
      </w:r>
    </w:p>
    <w:p>
      <w:pPr>
        <w:pStyle w:val="ListBullet"/>
        <w:spacing w:after="80" w:line="312" w:lineRule="auto"/>
      </w:pPr>
      <w:r>
        <w:rPr>
          <w:rFonts w:ascii="Times New Roman" w:hAnsi="Times New Roman" w:eastAsia="宋体"/>
          <w:b w:val="0"/>
          <w:sz w:val="22"/>
        </w:rPr>
        <w:t>企业邮件安全运营：可疑邮件初筛、研判辅助与处置建议，ATT&amp;CK 映射对接 SOC 流程；</w:t>
      </w:r>
    </w:p>
    <w:p>
      <w:pPr>
        <w:pStyle w:val="ListBullet"/>
        <w:spacing w:after="80" w:line="312" w:lineRule="auto"/>
      </w:pPr>
      <w:r>
        <w:rPr>
          <w:rFonts w:ascii="Times New Roman" w:hAnsi="Times New Roman" w:eastAsia="宋体"/>
          <w:b w:val="0"/>
          <w:sz w:val="22"/>
        </w:rPr>
        <w:t>内网/离线环境：不依赖任何外部服务的纯规则检测模式，满足隔离网与保密场景需求；</w:t>
      </w:r>
    </w:p>
    <w:p>
      <w:pPr>
        <w:pStyle w:val="ListBullet"/>
        <w:spacing w:after="80" w:line="312" w:lineRule="auto"/>
      </w:pPr>
      <w:r>
        <w:rPr>
          <w:rFonts w:ascii="Times New Roman" w:hAnsi="Times New Roman" w:eastAsia="宋体"/>
          <w:b w:val="0"/>
          <w:sz w:val="22"/>
        </w:rPr>
        <w:t>安全意识培训：研判思考流实时可视，可作为社工话术识别教学工具。</w:t>
      </w:r>
    </w:p>
    <w:p>
      <w:pPr>
        <w:pStyle w:val="Heading2"/>
        <w:spacing w:before="240" w:after="160"/>
      </w:pPr>
      <w:r>
        <w:rPr>
          <w:rFonts w:ascii="微软雅黑" w:hAnsi="微软雅黑" w:eastAsia="微软雅黑"/>
          <w:b/>
          <w:color w:val="1F4E79"/>
          <w:sz w:val="26"/>
        </w:rPr>
        <w:t>6.2 未来展望</w:t>
      </w:r>
    </w:p>
    <w:p>
      <w:pPr>
        <w:pStyle w:val="ListBullet"/>
        <w:spacing w:after="80" w:line="312" w:lineRule="auto"/>
      </w:pPr>
      <w:r>
        <w:rPr>
          <w:rFonts w:ascii="Times New Roman" w:hAnsi="Times New Roman" w:eastAsia="宋体"/>
          <w:b w:val="0"/>
          <w:sz w:val="22"/>
        </w:rPr>
        <w:t>阈值自动校准：基于训练集分箱校准各档分数线，进一步压缩 medium 档灰区；</w:t>
      </w:r>
    </w:p>
    <w:p>
      <w:pPr>
        <w:pStyle w:val="ListBullet"/>
        <w:spacing w:after="80" w:line="312" w:lineRule="auto"/>
      </w:pPr>
      <w:r>
        <w:rPr>
          <w:rFonts w:ascii="Times New Roman" w:hAnsi="Times New Roman" w:eastAsia="宋体"/>
          <w:b w:val="0"/>
          <w:sz w:val="22"/>
        </w:rPr>
        <w:t>附件深度检测：引入沙箱与文件结构分析，补齐“请查看附件”类样本的最后一公里；</w:t>
      </w:r>
    </w:p>
    <w:p>
      <w:pPr>
        <w:pStyle w:val="ListBullet"/>
        <w:spacing w:after="80" w:line="312" w:lineRule="auto"/>
      </w:pPr>
      <w:r>
        <w:rPr>
          <w:rFonts w:ascii="Times New Roman" w:hAnsi="Times New Roman" w:eastAsia="宋体"/>
          <w:b w:val="0"/>
          <w:sz w:val="22"/>
        </w:rPr>
        <w:t>知识库运营化：支持 KB 条目在线标注与回流，让误判案例沉淀为检测资产；</w:t>
      </w:r>
    </w:p>
    <w:p>
      <w:pPr>
        <w:pStyle w:val="ListBullet"/>
        <w:spacing w:after="80" w:line="312" w:lineRule="auto"/>
      </w:pPr>
      <w:r>
        <w:rPr>
          <w:rFonts w:ascii="Times New Roman" w:hAnsi="Times New Roman" w:eastAsia="宋体"/>
          <w:b w:val="0"/>
          <w:sz w:val="22"/>
        </w:rPr>
        <w:t>多级路由：按邮件风险预热结果动态选择子 Agent 组合，降低平均检测时延。</w:t>
      </w:r>
    </w:p>
    <w:p>
      <w:r>
        <w:br w:type="page"/>
      </w:r>
    </w:p>
    <w:p>
      <w:pPr>
        <w:pStyle w:val="Heading1"/>
        <w:spacing w:before="360" w:after="160"/>
      </w:pPr>
      <w:r>
        <w:rPr>
          <w:rFonts w:ascii="微软雅黑" w:hAnsi="微软雅黑" w:eastAsia="微软雅黑"/>
          <w:b/>
          <w:color w:val="1F4E79"/>
          <w:sz w:val="32"/>
        </w:rPr>
        <w:t>附录 A：技术栈与部署运行</w:t>
      </w:r>
    </w:p>
    <w:tbl>
      <w:tblPr>
        <w:tblStyle w:val="TableGrid"/>
        <w:tblW w:type="auto" w:w="0"/>
        <w:jc w:val="center"/>
        <w:tblLook w:firstColumn="1" w:firstRow="1" w:lastColumn="0" w:lastRow="0" w:noHBand="0" w:noVBand="1" w:val="04A0"/>
      </w:tblPr>
      <w:tblGrid>
        <w:gridCol w:w="4419"/>
        <w:gridCol w:w="4419"/>
      </w:tblGrid>
      <w:tr>
        <w:tc>
          <w:tcPr>
            <w:tcW w:type="dxa" w:w="1928"/>
            <w:shd w:val="clear" w:fill="1F4E79"/>
          </w:tcPr>
          <w:p>
            <w:r/>
            <w:r>
              <w:rPr>
                <w:rFonts w:ascii="Times New Roman" w:hAnsi="Times New Roman" w:eastAsia="微软雅黑"/>
                <w:b/>
                <w:color w:val="FFFFFF"/>
                <w:sz w:val="21"/>
              </w:rPr>
              <w:t>层次</w:t>
            </w:r>
          </w:p>
        </w:tc>
        <w:tc>
          <w:tcPr>
            <w:tcW w:type="dxa" w:w="6803"/>
            <w:shd w:val="clear" w:fill="1F4E79"/>
          </w:tcPr>
          <w:p>
            <w:r/>
            <w:r>
              <w:rPr>
                <w:rFonts w:ascii="Times New Roman" w:hAnsi="Times New Roman" w:eastAsia="微软雅黑"/>
                <w:b/>
                <w:color w:val="FFFFFF"/>
                <w:sz w:val="21"/>
              </w:rPr>
              <w:t>选型</w:t>
            </w:r>
          </w:p>
        </w:tc>
      </w:tr>
      <w:tr>
        <w:tc>
          <w:tcPr>
            <w:tcW w:type="dxa" w:w="1928"/>
          </w:tcPr>
          <w:p>
            <w:r/>
            <w:r>
              <w:rPr>
                <w:rFonts w:ascii="Times New Roman" w:hAnsi="Times New Roman" w:eastAsia="宋体"/>
                <w:b w:val="0"/>
                <w:sz w:val="21"/>
              </w:rPr>
              <w:t>后端框架</w:t>
            </w:r>
          </w:p>
        </w:tc>
        <w:tc>
          <w:tcPr>
            <w:tcW w:type="dxa" w:w="6803"/>
          </w:tcPr>
          <w:p>
            <w:r/>
            <w:r>
              <w:rPr>
                <w:rFonts w:ascii="Times New Roman" w:hAnsi="Times New Roman" w:eastAsia="宋体"/>
                <w:b w:val="0"/>
                <w:sz w:val="21"/>
              </w:rPr>
              <w:t>FastAPI + Uvicorn（REST API、SSE 流式响应、静态页面服务）</w:t>
            </w:r>
          </w:p>
        </w:tc>
      </w:tr>
      <w:tr>
        <w:tc>
          <w:tcPr>
            <w:tcW w:type="dxa" w:w="1928"/>
          </w:tcPr>
          <w:p>
            <w:r/>
            <w:r>
              <w:rPr>
                <w:rFonts w:ascii="Times New Roman" w:hAnsi="Times New Roman" w:eastAsia="宋体"/>
                <w:b w:val="0"/>
                <w:sz w:val="21"/>
              </w:rPr>
              <w:t>LLM 接入</w:t>
            </w:r>
          </w:p>
        </w:tc>
        <w:tc>
          <w:tcPr>
            <w:tcW w:type="dxa" w:w="6803"/>
          </w:tcPr>
          <w:p>
            <w:r/>
            <w:r>
              <w:rPr>
                <w:rFonts w:ascii="Times New Roman" w:hAnsi="Times New Roman" w:eastAsia="宋体"/>
                <w:b w:val="0"/>
                <w:sz w:val="21"/>
              </w:rPr>
              <w:t>OpenAI 兼容协议，Minimax / 通义千问 Qwen 一键切换（LLM_PROVIDER）</w:t>
            </w:r>
          </w:p>
        </w:tc>
      </w:tr>
      <w:tr>
        <w:tc>
          <w:tcPr>
            <w:tcW w:type="dxa" w:w="1928"/>
          </w:tcPr>
          <w:p>
            <w:r/>
            <w:r>
              <w:rPr>
                <w:rFonts w:ascii="Times New Roman" w:hAnsi="Times New Roman" w:eastAsia="宋体"/>
                <w:b w:val="0"/>
                <w:sz w:val="21"/>
              </w:rPr>
              <w:t>数据校验</w:t>
            </w:r>
          </w:p>
        </w:tc>
        <w:tc>
          <w:tcPr>
            <w:tcW w:type="dxa" w:w="6803"/>
          </w:tcPr>
          <w:p>
            <w:r/>
            <w:r>
              <w:rPr>
                <w:rFonts w:ascii="Times New Roman" w:hAnsi="Times New Roman" w:eastAsia="宋体"/>
                <w:b w:val="0"/>
                <w:sz w:val="21"/>
              </w:rPr>
              <w:t>pydantic v2</w:t>
            </w:r>
          </w:p>
        </w:tc>
      </w:tr>
      <w:tr>
        <w:tc>
          <w:tcPr>
            <w:tcW w:type="dxa" w:w="1928"/>
          </w:tcPr>
          <w:p>
            <w:r/>
            <w:r>
              <w:rPr>
                <w:rFonts w:ascii="Times New Roman" w:hAnsi="Times New Roman" w:eastAsia="宋体"/>
                <w:b w:val="0"/>
                <w:sz w:val="21"/>
              </w:rPr>
              <w:t>存储</w:t>
            </w:r>
          </w:p>
        </w:tc>
        <w:tc>
          <w:tcPr>
            <w:tcW w:type="dxa" w:w="6803"/>
          </w:tcPr>
          <w:p>
            <w:r/>
            <w:r>
              <w:rPr>
                <w:rFonts w:ascii="Times New Roman" w:hAnsi="Times New Roman" w:eastAsia="宋体"/>
                <w:b w:val="0"/>
                <w:sz w:val="21"/>
              </w:rPr>
              <w:t>SQLite（原生 sqlite3，无 ORM，免运维）</w:t>
            </w:r>
          </w:p>
        </w:tc>
      </w:tr>
      <w:tr>
        <w:tc>
          <w:tcPr>
            <w:tcW w:type="dxa" w:w="1928"/>
          </w:tcPr>
          <w:p>
            <w:r/>
            <w:r>
              <w:rPr>
                <w:rFonts w:ascii="Times New Roman" w:hAnsi="Times New Roman" w:eastAsia="宋体"/>
                <w:b w:val="0"/>
                <w:sz w:val="21"/>
              </w:rPr>
              <w:t>知识库检索</w:t>
            </w:r>
          </w:p>
        </w:tc>
        <w:tc>
          <w:tcPr>
            <w:tcW w:type="dxa" w:w="6803"/>
          </w:tcPr>
          <w:p>
            <w:r/>
            <w:r>
              <w:rPr>
                <w:rFonts w:ascii="Times New Roman" w:hAnsi="Times New Roman" w:eastAsia="宋体"/>
                <w:b w:val="0"/>
                <w:sz w:val="21"/>
              </w:rPr>
              <w:t>关键词 / 向量嵌入 / 混合融合三通道，失败自动降级</w:t>
            </w:r>
          </w:p>
        </w:tc>
      </w:tr>
      <w:tr>
        <w:tc>
          <w:tcPr>
            <w:tcW w:type="dxa" w:w="1928"/>
          </w:tcPr>
          <w:p>
            <w:r/>
            <w:r>
              <w:rPr>
                <w:rFonts w:ascii="Times New Roman" w:hAnsi="Times New Roman" w:eastAsia="宋体"/>
                <w:b w:val="0"/>
                <w:sz w:val="21"/>
              </w:rPr>
              <w:t>前端</w:t>
            </w:r>
          </w:p>
        </w:tc>
        <w:tc>
          <w:tcPr>
            <w:tcW w:type="dxa" w:w="6803"/>
          </w:tcPr>
          <w:p>
            <w:r/>
            <w:r>
              <w:rPr>
                <w:rFonts w:ascii="Times New Roman" w:hAnsi="Times New Roman" w:eastAsia="宋体"/>
                <w:b w:val="0"/>
                <w:sz w:val="21"/>
              </w:rPr>
              <w:t>原生 HTML/CSS/JS 单文件页面，fetch + ReadableStream 手动解析 SSE，零构建</w:t>
            </w:r>
          </w:p>
        </w:tc>
      </w:tr>
      <w:tr>
        <w:tc>
          <w:tcPr>
            <w:tcW w:type="dxa" w:w="1928"/>
          </w:tcPr>
          <w:p>
            <w:r/>
            <w:r>
              <w:rPr>
                <w:rFonts w:ascii="Times New Roman" w:hAnsi="Times New Roman" w:eastAsia="宋体"/>
                <w:b w:val="0"/>
                <w:sz w:val="21"/>
              </w:rPr>
              <w:t>运行时</w:t>
            </w:r>
          </w:p>
        </w:tc>
        <w:tc>
          <w:tcPr>
            <w:tcW w:type="dxa" w:w="6803"/>
          </w:tcPr>
          <w:p>
            <w:r/>
            <w:r>
              <w:rPr>
                <w:rFonts w:ascii="Times New Roman" w:hAnsi="Times New Roman" w:eastAsia="宋体"/>
                <w:b w:val="0"/>
                <w:sz w:val="21"/>
              </w:rPr>
              <w:t>Python 3.10，Windows / Linux / macOS</w:t>
            </w:r>
          </w:p>
        </w:tc>
      </w:tr>
    </w:tbl>
    <w:p>
      <w:pPr>
        <w:spacing w:after="40"/>
      </w:pPr>
    </w:p>
    <w:p>
      <w:pPr>
        <w:spacing w:after="120" w:line="312" w:lineRule="auto"/>
        <w:ind w:firstLine="420"/>
      </w:pPr>
      <w:r>
        <w:rPr>
          <w:rFonts w:ascii="Times New Roman" w:hAnsi="Times New Roman" w:eastAsia="宋体"/>
          <w:b w:val="0"/>
          <w:sz w:val="21"/>
        </w:rPr>
        <w:t>运行方式：pip install -r requirements.txt &amp;&amp; python main.py，访问 /studio 进入检测工作台，/knowledge 浏览知识库，/docs 查看 API 文档；GET /api/health/llm?probe=true 提供 LLM 连通性健康检查。</w:t>
      </w:r>
    </w:p>
    <w:p>
      <w:pPr>
        <w:pStyle w:val="Heading1"/>
        <w:spacing w:before="360" w:after="160"/>
      </w:pPr>
      <w:r>
        <w:rPr>
          <w:rFonts w:ascii="微软雅黑" w:hAnsi="微软雅黑" w:eastAsia="微软雅黑"/>
          <w:b/>
          <w:color w:val="1F4E79"/>
          <w:sz w:val="32"/>
        </w:rPr>
        <w:t>附录 B：关键评测数据留档</w:t>
      </w:r>
    </w:p>
    <w:p>
      <w:pPr>
        <w:pStyle w:val="ListBullet"/>
        <w:spacing w:after="80" w:line="312" w:lineRule="auto"/>
      </w:pPr>
      <w:r>
        <w:rPr>
          <w:rFonts w:ascii="Times New Roman" w:hAnsi="Times New Roman" w:eastAsia="宋体"/>
          <w:b w:val="0"/>
          <w:sz w:val="22"/>
        </w:rPr>
        <w:t>docs/BASELINE_EVAL_RULE_ONLY_2026-08-18.md —— 纯规则路径基线（召回 0%、正常零误报）</w:t>
      </w:r>
    </w:p>
    <w:p>
      <w:pPr>
        <w:pStyle w:val="ListBullet"/>
        <w:spacing w:after="80" w:line="312" w:lineRule="auto"/>
      </w:pPr>
      <w:r>
        <w:rPr>
          <w:rFonts w:ascii="Times New Roman" w:hAnsi="Times New Roman" w:eastAsia="宋体"/>
          <w:b w:val="0"/>
          <w:sz w:val="22"/>
        </w:rPr>
        <w:t>docs/EVAL_RULE_ONLY_IMPROVED_2026-08-24.md —— 规则兜底改进后复测（召回 80.5%、精确率 100%、准确率 90.25%）</w:t>
      </w:r>
    </w:p>
    <w:p>
      <w:pPr>
        <w:pStyle w:val="ListBullet"/>
        <w:spacing w:after="80" w:line="312" w:lineRule="auto"/>
      </w:pPr>
      <w:r>
        <w:rPr>
          <w:rFonts w:ascii="Times New Roman" w:hAnsi="Times New Roman" w:eastAsia="宋体"/>
          <w:b w:val="0"/>
          <w:sz w:val="22"/>
        </w:rPr>
        <w:t>datasets/test_set.jsonl —— test_set v1（400 条，固定种子 20260818 分层抽样）</w:t>
      </w:r>
    </w:p>
    <w:p>
      <w:pPr>
        <w:pStyle w:val="ListBullet"/>
        <w:spacing w:after="80" w:line="312" w:lineRule="auto"/>
      </w:pPr>
      <w:r>
        <w:rPr>
          <w:rFonts w:ascii="Times New Roman" w:hAnsi="Times New Roman" w:eastAsia="宋体"/>
          <w:b w:val="0"/>
          <w:sz w:val="22"/>
        </w:rPr>
        <w:t>scripts/eval_rule_offline.py / tune_rule_fallback.py —— 离线评测与调参工具，400 条全量复测约 12 秒</w:t>
      </w:r>
    </w:p>
    <w:sectPr w:rsidR="00FC693F" w:rsidRPr="0006063C" w:rsidSect="00034616">
      <w:pgSz w:w="12240" w:h="15840"/>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