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7A2222"/>
          <w:spacing w:val="20"/>
          <w:sz w:val="20"/>
          <w:szCs w:val="20"/>
        </w:rPr>
        <w:t xml:space="preserve">CITIZEN KNOWLEDGE</w:t>
      </w:r>
    </w:p>
    <w:p>
      <w:pPr>
        <w:pBdr>
          <w:bottom w:val="single" w:color="141412" w:sz="24" w:space="8"/>
        </w:pBdr>
        <w:spacing w:after="120"/>
      </w:pPr>
      <w:r>
        <w:rPr>
          <w:rFonts w:ascii="Georgia" w:cs="Georgia" w:eastAsia="Georgia" w:hAnsi="Georgia"/>
          <w:b/>
          <w:bCs/>
          <w:color w:val="141412"/>
          <w:sz w:val="56"/>
          <w:szCs w:val="56"/>
        </w:rPr>
        <w:t xml:space="preserve">This Week's Entries</w:t>
      </w:r>
    </w:p>
    <w:p>
      <w:pPr>
        <w:spacing w:after="300"/>
      </w:pPr>
      <w:r>
        <w:rPr>
          <w:rFonts w:ascii="Georgia" w:cs="Georgia" w:eastAsia="Georgia" w:hAnsi="Georgia"/>
          <w:i/>
          <w:iCs/>
          <w:color w:val="242320"/>
          <w:sz w:val="24"/>
          <w:szCs w:val="24"/>
        </w:rPr>
        <w:t xml:space="preserve">Monday, 13 July 2026 — Sunday, 19 July 2026</w:t>
      </w:r>
    </w:p>
    <w:p>
      <w:pPr>
        <w:spacing w:after="160"/>
      </w:pPr>
      <w:r>
        <w:rPr>
          <w:rFonts w:ascii="Georgia" w:cs="Georgia" w:eastAsia="Georgia" w:hAnsi="Georgia"/>
          <w:color w:val="242320"/>
          <w:sz w:val="22"/>
          <w:szCs w:val="22"/>
        </w:rPr>
        <w:t xml:space="preserve">Citizen Knowledge is a companion project to a book called The Performance of Obedience: Legitimacy, Law, and the Systems We Pretend to Believe In, by Greg Lewis, currently with UK literary agents.</w:t>
      </w:r>
    </w:p>
    <w:p>
      <w:pPr>
        <w:spacing w:after="160"/>
      </w:pPr>
      <w:r>
        <w:rPr>
          <w:rFonts w:ascii="Georgia" w:cs="Georgia" w:eastAsia="Georgia" w:hAnsi="Georgia"/>
          <w:color w:val="242320"/>
          <w:sz w:val="22"/>
          <w:szCs w:val="22"/>
        </w:rPr>
        <w:t xml:space="preserve">The book argues that selective enforcement — not consistent rule-following — is how modern institutions actually operate: the same law, the same rule, the same process, applied differently depending on who it lands on. Citizen Knowledge takes ordinary daily news stories and maps each one against that argument, showing which part of the book's structure the story illustrates.</w:t>
      </w:r>
    </w:p>
    <w:p>
      <w:pPr>
        <w:spacing w:after="160"/>
      </w:pPr>
      <w:r>
        <w:rPr>
          <w:rFonts w:ascii="Georgia" w:cs="Georgia" w:eastAsia="Georgia" w:hAnsi="Georgia"/>
          <w:color w:val="242320"/>
          <w:sz w:val="22"/>
          <w:szCs w:val="22"/>
        </w:rPr>
        <w:t xml:space="preserve">This printout gathers everything published on the site this week into one document. Three kinds of entry may appear:</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Standard entries — </w:t>
      </w:r>
      <w:r>
        <w:rPr>
          <w:rFonts w:ascii="Georgia" w:cs="Georgia" w:eastAsia="Georgia" w:hAnsi="Georgia"/>
          <w:color w:val="242320"/>
          <w:sz w:val="22"/>
          <w:szCs w:val="22"/>
        </w:rPr>
        <w:t xml:space="preserve">a news story mapped to the book, in full.</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Deep Read entries — </w:t>
      </w:r>
      <w:r>
        <w:rPr>
          <w:rFonts w:ascii="Georgia" w:cs="Georgia" w:eastAsia="Georgia" w:hAnsi="Georgia"/>
          <w:color w:val="242320"/>
          <w:sz w:val="22"/>
          <w:szCs w:val="22"/>
        </w:rPr>
        <w:t xml:space="preserve">a fuller analysis that includes short excerpts from the manuscript itself, printed here in full rather than summarised.</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Briefs — </w:t>
      </w:r>
      <w:r>
        <w:rPr>
          <w:rFonts w:ascii="Georgia" w:cs="Georgia" w:eastAsia="Georgia" w:hAnsi="Georgia"/>
          <w:color w:val="242320"/>
          <w:sz w:val="22"/>
          <w:szCs w:val="22"/>
        </w:rPr>
        <w:t xml:space="preserve">a shorter-format entry, included here in full.</w:t>
      </w:r>
    </w:p>
    <w:p>
      <w:pPr>
        <w:spacing w:after="100" w:before="240"/>
      </w:pPr>
    </w:p>
    <w:tbl>
      <w:tblPr>
        <w:tblW w:type="pct" w:w="100%"/>
        <w:tblBorders>
          <w:top w:val="single" w:color="7A2222" w:sz="4"/>
          <w:left w:val="single" w:color="7A2222" w:sz="4"/>
          <w:bottom w:val="single" w:color="7A2222" w:sz="4"/>
          <w:right w:val="single" w:color="7A2222" w:sz="4"/>
          <w:insideH w:val="none" w:color="7A2222" w:sz="0"/>
          <w:insideV w:val="none" w:color="7A2222" w:sz="0"/>
        </w:tblBorders>
      </w:tblPr>
      <w:tblGrid>
        <w:gridCol w:w="100"/>
      </w:tblGrid>
      <w:tr>
        <w:tc>
          <w:tcPr>
            <w:shd w:fill="F1E3E0" w:val="clear"/>
            <w:tcMar>
              <w:top w:type="dxa" w:w="200"/>
              <w:left w:type="dxa" w:w="260"/>
              <w:bottom w:type="dxa" w:w="200"/>
              <w:right w:type="dxa" w:w="260"/>
            </w:tcMar>
            <w:vAlign w:val="center"/>
          </w:tcPr>
          <w:p>
            <w:pPr>
              <w:spacing w:after="100"/>
            </w:pPr>
            <w:r>
              <w:rPr>
                <w:rFonts w:ascii="Courier New" w:cs="Courier New" w:eastAsia="Courier New" w:hAnsi="Courier New"/>
                <w:b/>
                <w:bCs/>
                <w:color w:val="7A2222"/>
                <w:spacing w:val="10"/>
                <w:sz w:val="18"/>
                <w:szCs w:val="18"/>
              </w:rPr>
              <w:t xml:space="preserve">IF YOU'D LIKE TO TRY READING ONLINE</w:t>
            </w:r>
          </w:p>
          <w:p>
            <w:pPr>
              <w:spacing w:after="100"/>
            </w:pPr>
            <w:r>
              <w:rPr>
                <w:rFonts w:ascii="Georgia" w:cs="Georgia" w:eastAsia="Georgia" w:hAnsi="Georgia"/>
                <w:color w:val="242320"/>
                <w:sz w:val="22"/>
                <w:szCs w:val="22"/>
              </w:rPr>
              <w:t xml:space="preserve">Every entry also lives permanently on the website, where you can browse the full archive and search by chapter:</w:t>
            </w:r>
          </w:p>
          <w:p>
            <w:pPr>
              <w:spacing w:after="100"/>
            </w:pPr>
            <w:r>
              <w:rPr>
                <w:rFonts w:ascii="Courier New" w:cs="Courier New" w:eastAsia="Courier New" w:hAnsi="Courier New"/>
                <w:b/>
                <w:bCs/>
                <w:color w:val="141412"/>
                <w:sz w:val="22"/>
                <w:szCs w:val="22"/>
              </w:rPr>
              <w:t xml:space="preserve">https://citizenknowledge.theperformanceofobedience.co.uk</w:t>
            </w:r>
          </w:p>
          <w:p>
            <w:pPr>
              <w:spacing w:after="0"/>
            </w:pPr>
            <w:r>
              <w:rPr>
                <w:rFonts w:ascii="Georgia" w:cs="Georgia" w:eastAsia="Georgia" w:hAnsi="Georgia"/>
                <w:color w:val="242320"/>
                <w:sz w:val="22"/>
                <w:szCs w:val="22"/>
              </w:rPr>
              <w:t xml:space="preserve">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pPr>
        <w:spacing w:after="200"/>
      </w:pPr>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The same hosepipe, the same heatwave, and a criminal offence that depends on your street</w:t>
      </w:r>
    </w:p>
    <w:p>
      <w:pPr>
        <w:spacing w:after="220"/>
      </w:pPr>
      <w:r>
        <w:rPr>
          <w:rFonts w:ascii="Georgia" w:cs="Georgia" w:eastAsia="Georgia" w:hAnsi="Georgia"/>
          <w:b/>
          <w:bCs/>
          <w:i/>
          <w:iCs/>
          <w:color w:val="141412"/>
          <w:sz w:val="20"/>
          <w:szCs w:val="20"/>
        </w:rPr>
        <w:t xml:space="preserve">The Standard, Monday 13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The Standard reports that as a third heatwave grips the UK, hosepipe bans are closing in on London, with an interactive map showing which households are now restricted. Affinity Water, which supplies the boroughs of Harrow, Hillingdon, Barnet, Brent and Ealing, has imposed a Temporary Use Ban running from 17 July until further notice, saying demand is far above normal and supplies are under real pressure. Thames Water, which supplies most of the rest of London and around 15 million customers in total, has issued no ban at all despite a reported surge in demand, and has instead urged customers not to use hosepipes voluntarily. Breaching a formal ban is a criminal offence under the Water Industry Act 1991, carrying a fine of up to £1,000; ignoring a voluntary appeal carries nothing.</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Two households on adjoining London streets, in the same heatwave, watering identical gardens with identical hosepipes, are now in entirely different legal positions. One is committing a criminal offence exposed to a £1,000 fine. The other is being politely asked to reconsider. Nothing about their behaviour, their water use, or the weather differs. The only variable is which private company happens to own the pipe running under their road, a fact most people have no say in, did not choose, and probably could not name without checking a bill. The law is identical in both cases; Section 76 gives every company the same power. What differs is whether the company chose to pick it up.</w:t>
      </w:r>
    </w:p>
    <w:p>
      <w:pPr>
        <w:spacing w:after="220"/>
      </w:pPr>
      <w:r>
        <w:rPr>
          <w:rFonts w:ascii="Georgia" w:cs="Georgia" w:eastAsia="Georgia" w:hAnsi="Georgia"/>
          <w:color w:val="242320"/>
          <w:sz w:val="23"/>
          <w:szCs w:val="23"/>
        </w:rPr>
        <w:t xml:space="preserve">This is the mechanism Chapter 13 keeps returning to: a rule that exists uniformly on paper, but whose actual force depends on a discretionary decision taken elsewhere, by an actor with its own interests, and which lands on the citizen as though it were simply the law. And the discretion cuts in a revealing direction. The companies deciding whether your hosepipe is criminal are the same companies whose own conduct is the subject of the shortage: South East Water, the first to ban, had its Chair and Chief Executive resign this year after MPs found "no confidence" in leadership over years of failure to maintain the network, and faces a £22million Ofwat penalty that has been merely "proposed" since March. Thames Water, which has imposed no restriction on anyone, is in the middle of an unresolved financial restructuring. The obligation on the customer arrives instantly, criminally, and precisely. The obligation on the company arrives as a consultation.</w:t>
      </w:r>
    </w:p>
    <w:p>
      <w:pPr>
        <w:spacing w:after="200" w:before="100"/>
      </w:pPr>
      <w:r>
        <w:rPr>
          <w:rFonts w:ascii="Georgia" w:cs="Georgia" w:eastAsia="Georgia" w:hAnsi="Georgia"/>
          <w:i/>
          <w:iCs/>
          <w:color w:val="242320"/>
          <w:sz w:val="20"/>
          <w:szCs w:val="20"/>
        </w:rPr>
        <w:t xml:space="preserve">This entry shows a criminal offence whose actual application depends not on conduct but on an accident of infrastructure ownership, the same rule producing entirely different legal exposure depending on which water company happens to serve your street.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https://citizenknowledge.theperformanceofobedience.co.uk/posts/post-09-hosepipe-postcode-lottery/</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The pardon that was never filed, and the one that cost a million</w:t>
      </w:r>
    </w:p>
    <w:p>
      <w:pPr>
        <w:spacing w:after="220"/>
      </w:pPr>
      <w:r>
        <w:rPr>
          <w:rFonts w:ascii="Georgia" w:cs="Georgia" w:eastAsia="Georgia" w:hAnsi="Georgia"/>
          <w:b/>
          <w:bCs/>
          <w:i/>
          <w:iCs/>
          <w:color w:val="141412"/>
          <w:sz w:val="20"/>
          <w:szCs w:val="20"/>
        </w:rPr>
        <w:t xml:space="preserve">Metro, Monday 13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American rapper Boosie Badazz is taking legal action against political lobbyists Jacob Wohl and Jack Burkman after allegedly paying $600,000 (£450,000) for a presidential pardon from Donald Trump that never came. Boosie, facing sentencing for possessing a firearm as a felon, sought the pair's help after they claimed strong connections within Trump's inner circle; his legal team was told on New Year's Day that the pardon had already been signed. According to a White House aide cited in the report, no pardon application had even been submitted on his behalf. Boosie is now seeking to recover half his fee under a contract clause, which Wohl and Burkman dispute was ever agreed.</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formal pardon process exists to make clemency look like a reasoned, defensible exercise of executive judgement, weighing rehabilitation, sentence severity, and the public interest. What this story shows is a second, informal channel running alongside it, one that has nothing to do with those criteria and everything to do with who can pay for proximity to the person holding the pen. Boosie was told his pardon existed before it did, by people whose job was to sell him access to a process they may never have actually engaged with at all. The White House's own account, that no application was filed, suggests the transaction he paid for may have been theatre from the start, not a real channel that simply failed to deliver.</w:t>
      </w:r>
    </w:p>
    <w:p>
      <w:pPr>
        <w:spacing w:after="220"/>
      </w:pPr>
      <w:r>
        <w:rPr>
          <w:rFonts w:ascii="Georgia" w:cs="Georgia" w:eastAsia="Georgia" w:hAnsi="Georgia"/>
          <w:color w:val="242320"/>
          <w:sz w:val="23"/>
          <w:szCs w:val="23"/>
        </w:rPr>
        <w:t xml:space="preserve">That distinction matters for what Chapter 13 calls discretion as power. Even a fraudulent claim of access only works because the underlying premise is plausible: that clemency can, in fact, be reached informally, by people with the right connections, at a price, outside whatever process exists on paper. Nobody signing a six-figure contract for pardon lobbying believes they are paying for a fair hearing on the merits; they are paying for a shortcut around one. Whether Wohl and Burkman actually had that access or merely claimed to is almost secondary. Either answer confirms that a market exists for the belief that presidential mercy can be bought, and a system that has allowed that belief to become a reasonable commercial bet cannot be surprised when people who cannot pay find themselves outside a process that increasingly runs on who can.</w:t>
      </w:r>
    </w:p>
    <w:p>
      <w:pPr>
        <w:spacing w:after="200" w:before="100"/>
      </w:pPr>
      <w:r>
        <w:rPr>
          <w:rFonts w:ascii="Georgia" w:cs="Georgia" w:eastAsia="Georgia" w:hAnsi="Georgia"/>
          <w:i/>
          <w:iCs/>
          <w:color w:val="242320"/>
          <w:sz w:val="20"/>
          <w:szCs w:val="20"/>
        </w:rPr>
        <w:t xml:space="preserve">This entry illustrates how discretionary power creates an informal market in access, running alongside a formal process that claims to weigh cases on their merits.</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https://citizenknowledge.theperformanceofobedience.co.uk/posts/post-11-pardon-for-sale/</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Cost Without Resolution</w:t>
            </w:r>
          </w:p>
        </w:tc>
      </w:tr>
    </w:tbl>
    <w:p>
      <w:pPr>
        <w:spacing w:after="40" w:before="220"/>
      </w:pPr>
      <w:r>
        <w:rPr>
          <w:rFonts w:ascii="Georgia" w:cs="Georgia" w:eastAsia="Georgia" w:hAnsi="Georgia"/>
          <w:b/>
          <w:bCs/>
          <w:color w:val="141412"/>
          <w:sz w:val="34"/>
          <w:szCs w:val="34"/>
        </w:rPr>
        <w:t xml:space="preserve">The words came too late for the people who needed them first</w:t>
      </w:r>
    </w:p>
    <w:p>
      <w:pPr>
        <w:spacing w:after="220"/>
      </w:pPr>
      <w:r>
        <w:rPr>
          <w:rFonts w:ascii="Georgia" w:cs="Georgia" w:eastAsia="Georgia" w:hAnsi="Georgia"/>
          <w:b/>
          <w:bCs/>
          <w:i/>
          <w:iCs/>
          <w:color w:val="141412"/>
          <w:sz w:val="20"/>
          <w:szCs w:val="20"/>
        </w:rPr>
        <w:t xml:space="preserve">Metro, Tuesday 14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Elika Ashoori, whose father Anoosheh was held hostage in Iran's Evin jail for five years after being detained in August 2017 and freed in March 2022 alongside Nazanin Zaghari-Ratcliffe, has said the government could have saved "countless lives" had it proscribed the Islamic Revolutionary Guard Corps (IRGC) as a terrorist organisation years earlier. The designation, confirmed this week after a spate of anti-semitic attacks in Britain including the torching of Jewish community ambulances and the jailing of two men for stabbing a journalist on behalf of the Iranian state, follows what the government itself describes as years of "threats to life and intimidation on UK soil." Elika told Metro: "The government has buried its head in the sand for years. By not proscribing them, we were partaking."</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Elika Ashoori's account gives this story something most cases of delayed enforcement lack: someone whose life was shaped by the specific years the delay covered. Her father was detained in 2017. The proscription her family says might have prevented it arrived in 2026. In between sit five years of imprisonment, a body of intelligence the government itself now describes as showing sustained threat activity on UK soil, and a policy position, that proscribing the IRGC would foreclose diplomacy with Tehran, that was a calculation about relative cost, not a statement that the danger was ever in doubt.</w:t>
      </w:r>
    </w:p>
    <w:p>
      <w:pPr>
        <w:spacing w:after="220"/>
      </w:pPr>
      <w:r>
        <w:rPr>
          <w:rFonts w:ascii="Georgia" w:cs="Georgia" w:eastAsia="Georgia" w:hAnsi="Georgia"/>
          <w:color w:val="242320"/>
          <w:sz w:val="23"/>
          <w:szCs w:val="23"/>
        </w:rPr>
        <w:t xml:space="preserve">That is the shape Chapter 13 calls discretion as power, and this account is unusually direct about naming its own logic. "The IRGC is a bank and a training centre for radicalism across the world," Elika said, "I am not surprised at the level of anti-semitic attacks in London." What forced the recalculation was not new evidence, since the threat pattern she describes was already established. What changed was that the cost of continued restraint, measured in visible attacks on synagogues and ambulances, became harder for the government to carry than the diplomatic cost of finally acting. Elika's own framing, that by not proscribing the IRGC sooner "we were partaking," is the sharpest possible statement of what the book means by cost without resolution: a capability to act existed the entire time her father was detained, and the eventual decision to use it does not undo who it failed to protect while it sat unused.</w:t>
      </w:r>
    </w:p>
    <w:p>
      <w:pPr>
        <w:spacing w:after="200" w:before="100"/>
      </w:pPr>
      <w:r>
        <w:rPr>
          <w:rFonts w:ascii="Georgia" w:cs="Georgia" w:eastAsia="Georgia" w:hAnsi="Georgia"/>
          <w:i/>
          <w:iCs/>
          <w:color w:val="242320"/>
          <w:sz w:val="20"/>
          <w:szCs w:val="20"/>
        </w:rPr>
        <w:t xml:space="preserve">This entry examines the cost of a known capability sitting unused, and who absorbs that cost while a system delays acting on what it already knows.</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https://citizenknowledge.theperformanceofobedience.co.uk/posts/post-12-irgc-proscription/</w:t>
      </w:r>
    </w:p>
    <w:p>
      <w:r>
        <w:br w:type="page"/>
      </w:r>
    </w:p>
    <w:tbl>
      <w:tblPr>
        <w:tblW w:type="pct" w:w="100%"/>
        <w:tblBorders>
          <w:top w:val="none" w:color="141412" w:sz="0"/>
          <w:left w:val="none" w:color="141412" w:sz="0"/>
          <w:bottom w:val="none" w:color="141412" w:sz="0"/>
          <w:right w:val="none" w:color="141412" w:sz="0"/>
          <w:insideH w:val="none" w:color="141412" w:sz="0"/>
          <w:insideV w:val="none" w:color="141412" w:sz="0"/>
        </w:tblBorders>
      </w:tblPr>
      <w:tblGrid>
        <w:gridCol w:w="100"/>
      </w:tblGrid>
      <w:tr>
        <w:tc>
          <w:tcPr>
            <w:shd w:fill="14141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IV: Criminality and Control  →  Chapter 13: Discretion as Power  →  The Appearance of Action</w:t>
            </w:r>
          </w:p>
        </w:tc>
      </w:tr>
    </w:tbl>
    <w:p>
      <w:pPr>
        <w:spacing w:after="40" w:before="220"/>
      </w:pPr>
      <w:r>
        <w:rPr>
          <w:rFonts w:ascii="Georgia" w:cs="Georgia" w:eastAsia="Georgia" w:hAnsi="Georgia"/>
          <w:b/>
          <w:bCs/>
          <w:color w:val="141412"/>
          <w:sz w:val="34"/>
          <w:szCs w:val="34"/>
        </w:rPr>
        <w:t xml:space="preserve">The same killing, reclassified in twenty-four hours</w:t>
      </w:r>
    </w:p>
    <w:p>
      <w:pPr>
        <w:spacing w:after="220"/>
      </w:pPr>
      <w:r>
        <w:rPr>
          <w:rFonts w:ascii="Georgia" w:cs="Georgia" w:eastAsia="Georgia" w:hAnsi="Georgia"/>
          <w:b/>
          <w:bCs/>
          <w:i/>
          <w:iCs/>
          <w:color w:val="141412"/>
          <w:sz w:val="20"/>
          <w:szCs w:val="20"/>
        </w:rPr>
        <w:t xml:space="preserve">Metro, Tuesday 14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counter-terrorism detectives are now investigating the killing of former MP and Reform UK spokeswoman Ann Widdecombe, 78, found dead at her Dartmoor home, a day after Devon and Cornwall police had insisted the killing was not politically motivated and called for an end to speculation. Counter Terrorism Policing South East now leads the investigation, and a 28-year-old man held in custody has been re-arrested on suspicion of commission, preparation or instigation of acts of terrorism. Home Secretary Shabana Mahmood told MPs the suspect was not known to Prevent, Britain's anti-extremism scheme, and said she had ordered a review to learn lessons from the murder of Conservative MP Sir David Amess, stabbed to death by an Islamist terrorist at a constituency surgery in 2021.</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Nothing about the killing changed between the police statement on Sunday and the counter-terrorism referral on Monday. The victim was the same, the suspect was the same, and the evidence in the case, on the police's own account of "new information and evidence" coming to light "during what has been a dynamic and complex investigation," was still being assembled in both moments. What changed was the classification. And with the classification came a different investigating body, a different set of powers, a different statutory framework, and a different level of resource and public urgency applied to the same underlying act.</w:t>
      </w:r>
    </w:p>
    <w:p>
      <w:pPr>
        <w:spacing w:after="220"/>
      </w:pPr>
      <w:r>
        <w:rPr>
          <w:rFonts w:ascii="Georgia" w:cs="Georgia" w:eastAsia="Georgia" w:hAnsi="Georgia"/>
          <w:color w:val="242320"/>
          <w:sz w:val="23"/>
          <w:szCs w:val="23"/>
        </w:rPr>
        <w:t xml:space="preserve">That gap between the act and its classification is precisely where Chapter 13 locates discretionary power. The book's account of what enforcement systems actually optimise for explains why the initial framing was so confident, and so quickly abandoned:</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*Success reads upward, not outward... Enforcement gravitates toward what is manageable rather than what is meaningful. The system optimises for defensibility, not resolution.*</w:t>
            </w:r>
          </w:p>
        </w:tc>
      </w:tr>
    </w:tbl>
    <w:p>
      <w:pPr>
        <w:spacing w:after="200" w:before="200"/>
      </w:pPr>
    </w:p>
    <w:p>
      <w:pPr>
        <w:spacing w:after="220"/>
      </w:pPr>
      <w:r>
        <w:rPr>
          <w:rFonts w:ascii="Georgia" w:cs="Georgia" w:eastAsia="Georgia" w:hAnsi="Georgia"/>
          <w:color w:val="242320"/>
          <w:sz w:val="23"/>
          <w:szCs w:val="23"/>
        </w:rPr>
        <w:t xml:space="preserve">A statement ruling out political motivation, issued early and firmly, is a defensible-sounding position that closes down speculation and manages a story. It is not the same thing as a conclusion. When the classification flipped, the earlier certainty was not so much retracted as quietly superseded, and the institution that issued it moved on.</w:t>
      </w:r>
    </w:p>
    <w:p>
      <w:pPr>
        <w:spacing w:after="220"/>
      </w:pPr>
      <w:r>
        <w:rPr>
          <w:rFonts w:ascii="Georgia" w:cs="Georgia" w:eastAsia="Georgia" w:hAnsi="Georgia"/>
          <w:color w:val="242320"/>
          <w:sz w:val="23"/>
          <w:szCs w:val="23"/>
        </w:rPr>
        <w:t xml:space="preserve">The reclassification also brought with it a set of institutional responses, a Prevent review, a ministerial statement to Parliament, an acknowledgement of lessons unlearned since Amess in 2021, that would not have followed a killing categorised as anything other than terrorism. The manuscript's account of what that machinery is actually for is worth sitting with:</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w:t>
            </w:r>
          </w:p>
        </w:tc>
      </w:tr>
    </w:tbl>
    <w:p>
      <w:pPr>
        <w:spacing w:after="200" w:before="200"/>
      </w:pPr>
    </w:p>
    <w:p>
      <w:pPr>
        <w:spacing w:after="220"/>
      </w:pPr>
      <w:r>
        <w:rPr>
          <w:rFonts w:ascii="Georgia" w:cs="Georgia" w:eastAsia="Georgia" w:hAnsi="Georgia"/>
          <w:color w:val="242320"/>
          <w:sz w:val="23"/>
          <w:szCs w:val="23"/>
        </w:rPr>
        <w:t xml:space="preserve">Mahmood's own framing makes the point without needing the book to infer it. A review has been ordered into lessons from a murder that happened five years ago, announced in response to a murder that happened last week. That the Amess lessons were still outstanding in 2026 is not a detail buried in the reporting; it is the reporting. The system's response to a failure of prevention is to commission an examination of a previous failure of prevention it has not yet completed.</w:t>
      </w:r>
    </w:p>
    <w:p>
      <w:pPr>
        <w:spacing w:after="220"/>
      </w:pPr>
      <w:r>
        <w:rPr>
          <w:rFonts w:ascii="Georgia" w:cs="Georgia" w:eastAsia="Georgia" w:hAnsi="Georgia"/>
          <w:color w:val="242320"/>
          <w:sz w:val="23"/>
          <w:szCs w:val="23"/>
        </w:rPr>
        <w:t xml:space="preserve">What makes this case worth recording is not that the police got the initial classification wrong. Investigations move, and revising a position on new evidence is what they are supposed to do. It is that the entire weight of the state's response, which powers apply, which body investigates, whether Parliament is addressed, whether a national scheme is reviewed, turned on a label applied after the fact to an act that had already happened. The book's closing formulation for exactly this pattern applies:</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*Trust erodes accordingly, not because officers are malicious, but because predictability disappears.*</w:t>
            </w:r>
          </w:p>
        </w:tc>
      </w:tr>
    </w:tbl>
    <w:p>
      <w:pPr>
        <w:spacing w:after="200" w:before="200"/>
      </w:pPr>
    </w:p>
    <w:p>
      <w:pPr>
        <w:spacing w:after="220"/>
      </w:pPr>
      <w:r>
        <w:rPr>
          <w:rFonts w:ascii="Georgia" w:cs="Georgia" w:eastAsia="Georgia" w:hAnsi="Georgia"/>
          <w:color w:val="242320"/>
          <w:sz w:val="23"/>
          <w:szCs w:val="23"/>
        </w:rPr>
        <w:t xml:space="preserve">If the same killing can be authoritatively "not political" on Sunday and a terrorism investigation on Monday, then what the public learns is not that the system is responsive. It is that the classification, and everything that follows from it, was always a decision rather than a discovery.</w:t>
      </w:r>
    </w:p>
    <w:p>
      <w:pPr>
        <w:spacing w:after="200" w:before="100"/>
      </w:pPr>
      <w:r>
        <w:rPr>
          <w:rFonts w:ascii="Georgia" w:cs="Georgia" w:eastAsia="Georgia" w:hAnsi="Georgia"/>
          <w:i/>
          <w:iCs/>
          <w:color w:val="242320"/>
          <w:sz w:val="20"/>
          <w:szCs w:val="20"/>
        </w:rPr>
        <w:t xml:space="preserve">This entry examines how the classification of an act, rather than the act itself, determines which powers, resources, and urgency a system brings to bear on it.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https://citizenknowledge.theperformanceofobedience.co.uk/posts/post-13-widdecombe-reclassification/</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When a formal power only works if you threaten something else entirely</w:t>
      </w:r>
    </w:p>
    <w:p>
      <w:pPr>
        <w:spacing w:after="220"/>
      </w:pPr>
      <w:r>
        <w:rPr>
          <w:rFonts w:ascii="Georgia" w:cs="Georgia" w:eastAsia="Georgia" w:hAnsi="Georgia"/>
          <w:b/>
          <w:bCs/>
          <w:i/>
          <w:iCs/>
          <w:color w:val="141412"/>
          <w:sz w:val="20"/>
          <w:szCs w:val="20"/>
        </w:rPr>
        <w:t xml:space="preserve">Metro, Tuesday 14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Pakistan could face visa restrictions unless it takes back Rochdale grooming gang leader Shabir Ahmed, with the government indicating it is prepared to use such penalties to secure his removal. Ahmed, jailed for 22 years for rape and sexual offences against girls as young as 12, was due for removal after being freed on 2 July, but Pakistan has given no indication it will accept him back. Home Secretary Shabana Mahmood was reported to have previously threatened visa penalties against Angola, Namibia, and the Democratic Republic of Congo, with a government spokesperson saying that four months later, all three were co-operating. Pakistan is reportedly demanding the extradition of two political dissidents from the UK in exchange.</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Deportation is a formal legal power. A court orders removal, the Home Office effects it, and the person leaves. That is how the system describes itself, and it is the description on which public confidence in immigration enforcement rests. What this story shows is that the formal power, on its own, does not actually do anything. A removal order is a piece of paper that requires another sovereign state to agree to accept the person named on it, and if that state declines, the order sits unexecuted regardless of how lawfully it was made.</w:t>
      </w:r>
    </w:p>
    <w:p>
      <w:pPr>
        <w:spacing w:after="220"/>
      </w:pPr>
      <w:r>
        <w:rPr>
          <w:rFonts w:ascii="Georgia" w:cs="Georgia" w:eastAsia="Georgia" w:hAnsi="Georgia"/>
          <w:color w:val="242320"/>
          <w:sz w:val="23"/>
          <w:szCs w:val="23"/>
        </w:rPr>
        <w:t xml:space="preserve">What makes the power operative is not the law but the leverage, and the leverage is applied selectively, country by country, according to what each state can be pressured with and what it wants in return. Angola, Namibia, and the DRC apparently began co-operating four months after visa penalties were threatened; Pakistan is reportedly asking for the extradition of political dissidents as its price. Chapter 14's argument about the gap between how a system describes itself and how it actually functions is precisely this. The formal framework says removal follows from a court order. The actual mechanism is a series of bilateral negotiations in which a person's removal is traded against visa access, diplomatic goodwill, or, in this case, the fate of two dissidents living in Britain. That the negotiations are conducted case by case rather than under any consistent rule is not a scandal in itself; it may well be the only way the outcome can be reached at all. But it means the confident language of "we will remove him" describes an intention, not a capability, and the difference between the two is precisely where the system's account of itself stops matching what it can actually do.</w:t>
      </w:r>
    </w:p>
    <w:p>
      <w:pPr>
        <w:spacing w:after="200" w:before="100"/>
      </w:pPr>
      <w:r>
        <w:rPr>
          <w:rFonts w:ascii="Georgia" w:cs="Georgia" w:eastAsia="Georgia" w:hAnsi="Georgia"/>
          <w:i/>
          <w:iCs/>
          <w:color w:val="242320"/>
          <w:sz w:val="20"/>
          <w:szCs w:val="20"/>
        </w:rPr>
        <w:t xml:space="preserve">This entry examines what it reveals about a formal legal power when its exercise depends entirely on informal leverage applied case by case.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https://citizenknowledge.theperformanceofobedience.co.uk/posts/post-15-pakistan-visa-leverage/</w:t>
      </w:r>
    </w:p>
    <w:p>
      <w:r>
        <w:br w:type="page"/>
      </w:r>
    </w:p>
    <w:tbl>
      <w:tblPr>
        <w:tblW w:type="pct" w:w="100%"/>
        <w:tblBorders>
          <w:top w:val="none" w:color="141412" w:sz="0"/>
          <w:left w:val="none" w:color="141412" w:sz="0"/>
          <w:bottom w:val="none" w:color="141412" w:sz="0"/>
          <w:right w:val="none" w:color="141412" w:sz="0"/>
          <w:insideH w:val="none" w:color="141412" w:sz="0"/>
          <w:insideV w:val="none" w:color="141412" w:sz="0"/>
        </w:tblBorders>
      </w:tblPr>
      <w:tblGrid>
        <w:gridCol w:w="100"/>
      </w:tblGrid>
      <w:tr>
        <w:tc>
          <w:tcPr>
            <w:shd w:fill="14141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A £10bn waste figure that answers a narrower question than it looks like</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on Baroness Hallett's Covid inquiry findings: almost £10billion of the £14.9billion spent on PPE during the pandemic was wasted, through overbuying and the purchase of substandard equipment that put health and care staff at risk. The report heavily criticised the fast-tracked "VIP lane," which gave priority for contracts to companies with links to the then Conservative government. Naomi Fulop of Covid-19 Bereaved Families for Justice said her mother's care staff were expected to wear one thin medical mask for an eight-hour shift, and believes that is how she contracted Covid and died. Hallett's report found "embedded unfairness" in the system that undermined public trust; findings on PPE Medpro, the company linked to then-Tory peer Michelle Mone, will follow any criminal proceedings.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The headline figure, £10billion wasted, is the kind of number that invites a straightforward reading: emergency procurement under pressure, mistakes made at speed, money lost to chaos rather than design. Hallett's report doesn't really support that reading. The waste sits downstream of a specific structural choice, the VIP lane, which routed some suppliers past the ordinary scrutiny others had to clear. Chapter 13's account of what enforcement systems actually optimise for under strain describes exactly this kind of divergence between the official story and the operating one:</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*Success reads upward, not outward... Enforcement gravitates toward what is manageable rather than what is meaningful. The system optimises for defensibility, not resolution.*</w:t>
            </w:r>
          </w:p>
        </w:tc>
      </w:tr>
    </w:tbl>
    <w:p>
      <w:pPr>
        <w:spacing w:after="200" w:before="200"/>
      </w:pPr>
    </w:p>
    <w:p>
      <w:pPr>
        <w:spacing w:after="220"/>
      </w:pPr>
      <w:r>
        <w:rPr>
          <w:rFonts w:ascii="Georgia" w:cs="Georgia" w:eastAsia="Georgia" w:hAnsi="Georgia"/>
          <w:color w:val="242320"/>
          <w:sz w:val="23"/>
          <w:szCs w:val="23"/>
        </w:rPr>
        <w:t xml:space="preserve">A procurement process is supposed to be the thing that makes "we spent public money responsibly" a checkable claim rather than an assertion. What the VIP lane did was create two tracks inside one process: a standard one, presumably slower and more scrutinised, and a fast one, reserved for contacts with government links, that ran with less friction. The waste figure is not a story about the system failing under pressure. It is a story about what a system produces when part of it was quietly built to bypass its own safeguards, which produced exactly the outcome you would expect: unfit product, at scale, from suppliers who had not had to clear the bar others cleared.</w:t>
      </w:r>
    </w:p>
    <w:p>
      <w:pPr>
        <w:spacing w:after="220"/>
      </w:pPr>
      <w:r>
        <w:rPr>
          <w:rFonts w:ascii="Georgia" w:cs="Georgia" w:eastAsia="Georgia" w:hAnsi="Georgia"/>
          <w:color w:val="242320"/>
          <w:sz w:val="23"/>
          <w:szCs w:val="23"/>
        </w:rPr>
        <w:t xml:space="preserve">Fulop's account of her mother's care staff wearing one mask for an eight-hour shift is where the abstraction stops. Chapter 13's discussion of what enforcement costs look like when they land unevenly is built for precisely this gap between systemic failure and who absorbs it:</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cost of this performance is rarely presented honestly. It is dispersed across budgets, departments, and years. It does not appear as a single decision, but as continuation of what already exists.*</w:t>
            </w:r>
          </w:p>
        </w:tc>
      </w:tr>
    </w:tbl>
    <w:p>
      <w:pPr>
        <w:spacing w:after="200" w:before="200"/>
      </w:pPr>
    </w:p>
    <w:p>
      <w:pPr>
        <w:spacing w:after="220"/>
      </w:pPr>
      <w:r>
        <w:rPr>
          <w:rFonts w:ascii="Georgia" w:cs="Georgia" w:eastAsia="Georgia" w:hAnsi="Georgia"/>
          <w:color w:val="242320"/>
          <w:sz w:val="23"/>
          <w:szCs w:val="23"/>
        </w:rPr>
        <w:t xml:space="preserve">Hallett's phrase, "embedded unfairness," is doing real work here, because it names the thing plainly rather than letting it dissolve into "systemic issues" or "lessons learned." The inquiry has effectively confirmed that the two-thirds wasted was not evenly distributed bad luck. It was concentrated in exactly the channel that had been carved out to move faster and answer to less. Whether that becomes more than a report, whether PPE Medpro's outcome changes anything about how emergency procurement is built next time, is the harder question the £10billion figure alone cannot answer. What it can tell us, already, is that the fast lane worked precisely as fast lanes work: it got some suppliers through faster, and it got some care workers one mask for eight hours.</w:t>
      </w:r>
    </w:p>
    <w:p>
      <w:pPr>
        <w:spacing w:after="200" w:before="100"/>
      </w:pPr>
      <w:r>
        <w:rPr>
          <w:rFonts w:ascii="Georgia" w:cs="Georgia" w:eastAsia="Georgia" w:hAnsi="Georgia"/>
          <w:i/>
          <w:iCs/>
          <w:color w:val="242320"/>
          <w:sz w:val="20"/>
          <w:szCs w:val="20"/>
        </w:rPr>
        <w:t xml:space="preserve">This entry shows how a procurement system built to move faster for a select group produced, downstream and predictably, the exact quality failures its own scrutiny existed to prevent.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https://citizenknowledge.theperformanceofobedience.co.uk/posts/post-16-ppe-failures/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 When the Law Stops Meaning What It Says  →  Chapter 1: The Illusion of Law</w:t>
            </w:r>
          </w:p>
        </w:tc>
      </w:tr>
    </w:tbl>
    <w:p>
      <w:pPr>
        <w:spacing w:after="40" w:before="220"/>
      </w:pPr>
      <w:r>
        <w:rPr>
          <w:rFonts w:ascii="Georgia" w:cs="Georgia" w:eastAsia="Georgia" w:hAnsi="Georgia"/>
          <w:b/>
          <w:bCs/>
          <w:color w:val="141412"/>
          <w:sz w:val="34"/>
          <w:szCs w:val="34"/>
        </w:rPr>
        <w:t xml:space="preserve">A flood-risk rule that survives by redefining what counts as warning</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approval has been given to build 190 homes on land in Yatton, Somerset, carrying the highest level of flood risk, on the basis that residents would have 42 hours to evacuate if sea defences were breached. North Somerset Council challenged the decision, but the High Court backed planning inspectors, ruling that residents "would not be taken by surprise."</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Flood-risk zoning exists to mean something specific: land above a certain risk threshold shouldn't be built on, because the consequences of getting it wrong are severe and largely irreversible once 190 households are living there. That's the rule as stated. What actually happened is that the rule was satisfied not by reducing the risk, but by redefining what "acceptable" means at the highest risk tier: not "safe," but "residents would have notice." A 42-hour evacuation window became the mechanism by which the highest flood-risk classification in the country was rendered buildable.</w:t>
      </w:r>
    </w:p>
    <w:p>
      <w:pPr>
        <w:spacing w:after="220"/>
      </w:pPr>
      <w:r>
        <w:rPr>
          <w:rFonts w:ascii="Georgia" w:cs="Georgia" w:eastAsia="Georgia" w:hAnsi="Georgia"/>
          <w:color w:val="242320"/>
          <w:sz w:val="23"/>
          <w:szCs w:val="23"/>
        </w:rPr>
        <w:t xml:space="preserve">This is the same pattern Chapter 1 traces through speed limits and their real operating threshold, just moved into planning law. The rule on paper stays intact, unchanged, still describing itself as protective. What shifts is the practical test applied underneath it, quietly, at the point of enforcement, until "highest risk" and "buildable" turn out not to be contradictory after all. The council's legal challenge is itself worth noting: this wasn't an oversight nobody caught. The system saw the objection clearly stated and ruled against it anyway, which tells you the redefinition wasn't a loophole slipping through unnoticed. It was upheld as the correct reading of what the rule requires.</w:t>
      </w:r>
    </w:p>
    <w:p>
      <w:pPr>
        <w:spacing w:after="200" w:before="100"/>
      </w:pPr>
      <w:r>
        <w:rPr>
          <w:rFonts w:ascii="Georgia" w:cs="Georgia" w:eastAsia="Georgia" w:hAnsi="Georgia"/>
          <w:i/>
          <w:iCs/>
          <w:color w:val="242320"/>
          <w:sz w:val="20"/>
          <w:szCs w:val="20"/>
        </w:rPr>
        <w:t xml:space="preserve">This entry shows a protective threshold surviving on paper by having its practical test quietly redefined underneath it, from 'safe to build on' to 'notice before the water arrives.'</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https://citizenknowledge.theperformanceofobedience.co.uk/posts/post-17-flood-risk-homes/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12: Illegal, Illicit, and Ignored  →  The Gap Between Law and Practice</w:t>
            </w:r>
          </w:p>
        </w:tc>
      </w:tr>
    </w:tbl>
    <w:p>
      <w:pPr>
        <w:spacing w:after="40" w:before="220"/>
      </w:pPr>
      <w:r>
        <w:rPr>
          <w:rFonts w:ascii="Georgia" w:cs="Georgia" w:eastAsia="Georgia" w:hAnsi="Georgia"/>
          <w:b/>
          <w:bCs/>
          <w:color w:val="141412"/>
          <w:sz w:val="34"/>
          <w:szCs w:val="34"/>
        </w:rPr>
        <w:t xml:space="preserve">The same human rights protection, read completely differently depending on who invokes it</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Aigars Balsevics, 45, former mayor of Wisbech, Cambridgeshire, jailed for six-and-a-half years in 2023 for raping a woman twice at his residence in 2021, will be deported to Latvia after his sentence. He had argued that sending him back would breach his human rights, since it would harm his relationship with his two children. An Upper Tribunal judge ruled that argument was outweighed by "the nature and seriousness of his offending."</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right to family life under human rights law is a real, standing legal principle, and this case shows it functioning exactly as designed: invoked, weighed seriously, and then outweighed by the gravity of the offence. Nothing procedurally wrong happened here. That's precisely what makes the case useful, because the same right, argued in other deportation cases that receive far less scrutiny, is frequently reported as though its mere invocation is itself the scandal, an abuse of a system too generous to people who don't deserve it.</w:t>
      </w:r>
    </w:p>
    <w:p>
      <w:pPr>
        <w:spacing w:after="220"/>
      </w:pPr>
      <w:r>
        <w:rPr>
          <w:rFonts w:ascii="Georgia" w:cs="Georgia" w:eastAsia="Georgia" w:hAnsi="Georgia"/>
          <w:color w:val="242320"/>
          <w:sz w:val="23"/>
          <w:szCs w:val="23"/>
        </w:rPr>
        <w:t xml:space="preserve">Chapter 12's discussion of the gap between what a law says and how it's publicly understood to function applies directly. A legal protection exists on paper, uniformly, for anyone it covers. What varies enormously is which invocations of it get reported as reasonable judicial weighing, as happened here, and which get reported as a system rigged in favour of people who shouldn't be protected by it at all. The mechanism generating those different reactions has very little to do with the law itself, which operated identically in both kinds of case. It has to do with who is asking, and how sympathetically that person's claim gets framed before a reader ever gets to the legal reasoning underneath it.</w:t>
      </w:r>
    </w:p>
    <w:p>
      <w:pPr>
        <w:spacing w:after="200" w:before="100"/>
      </w:pPr>
      <w:r>
        <w:rPr>
          <w:rFonts w:ascii="Georgia" w:cs="Georgia" w:eastAsia="Georgia" w:hAnsi="Georgia"/>
          <w:i/>
          <w:iCs/>
          <w:color w:val="242320"/>
          <w:sz w:val="20"/>
          <w:szCs w:val="20"/>
        </w:rPr>
        <w:t xml:space="preserve">This entry shows an identical legal protection producing opposite public reactions depending entirely on how sympathetically the person invoking it is framed before the reasoning is heard.</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https://citizenknowledge.theperformanceofobedience.co.uk/posts/post-18-rapist-mayor-latvia/</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Cost Without Resolution</w:t>
            </w:r>
          </w:p>
        </w:tc>
      </w:tr>
    </w:tbl>
    <w:p>
      <w:pPr>
        <w:spacing w:after="40" w:before="220"/>
      </w:pPr>
      <w:r>
        <w:rPr>
          <w:rFonts w:ascii="Georgia" w:cs="Georgia" w:eastAsia="Georgia" w:hAnsi="Georgia"/>
          <w:b/>
          <w:bCs/>
          <w:color w:val="141412"/>
          <w:sz w:val="34"/>
          <w:szCs w:val="34"/>
        </w:rPr>
        <w:t xml:space="preserve">Safety measures that arrive after the case that makes the news, not before</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4,011 sex offences have been recorded at hotels across England over the past three years, based on figures from 27 police forces (a dozen forces could not provide data, meaning the true number is higher). The figures come months after Kyran Smith, 29, was jailed for seven-and-a-half years for lying to obtain a key at a Travelodge in Maidenhead and attacking a woman in her room, a case that prompted industry chiefs to introduce a raft of new measures to protect vulnerable guests. Multiple women told Metro the problem was not an isolated incident: one described staff "downplaying" a terrifying situation at a Premier Inn, another was given a key to a room she was showering in because staff believed it was empty.</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Reported offences rose 6.5% in a single year, across a system that, by its own industry body's admission, only introduced meaningful protective measures after one case became public enough to force the question. That sequencing matters. The underlying vulnerability, no phone in some rooms, no reliable way to verify a guest's identity before issuing a key, staff minimising serious complaints, was not new information produced by the Smith case. It was the operating condition the whole time, absorbed as background risk until one incident became visible enough to require a response.</w:t>
      </w:r>
    </w:p>
    <w:p>
      <w:pPr>
        <w:spacing w:after="220"/>
      </w:pPr>
      <w:r>
        <w:rPr>
          <w:rFonts w:ascii="Georgia" w:cs="Georgia" w:eastAsia="Georgia" w:hAnsi="Georgia"/>
          <w:color w:val="242320"/>
          <w:sz w:val="23"/>
          <w:szCs w:val="23"/>
        </w:rPr>
        <w:t xml:space="preserve">Chapter 13's account of enforcement cost without resolution describes this kind of gap precisely: not an absence of the tools or awareness needed to prevent harm, but tools and awareness that exist in principle while sitting unused until forced into practice by a single case that happens to break through. The industry's new measures are a real response, and worth acknowledging as such. But "prompted by" is the operative phrase. What made the difference wasn't new evidence of risk, since Bartlett's and Cousins' accounts show that risk was already lived and already reported to staff in real time. What made the difference was that one case became public enough that inaction stopped being a viable option. Everyone the system failed before that point was, on the evidence here, failed by a system that already had what it needed to know better.</w:t>
      </w:r>
    </w:p>
    <w:p>
      <w:pPr>
        <w:spacing w:after="200" w:before="100"/>
      </w:pPr>
      <w:r>
        <w:rPr>
          <w:rFonts w:ascii="Georgia" w:cs="Georgia" w:eastAsia="Georgia" w:hAnsi="Georgia"/>
          <w:i/>
          <w:iCs/>
          <w:color w:val="242320"/>
          <w:sz w:val="20"/>
          <w:szCs w:val="20"/>
        </w:rPr>
        <w:t xml:space="preserve">This entry shows protective measures arriving only once a single case forces the question publicly, despite the underlying risk being long-standing, known, and repeatedly reported by name.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https://citizenknowledge.theperformanceofobedience.co.uk/posts/post-19-hotel-sex-offences/</w:t>
      </w:r>
    </w:p>
    <w:p>
      <w:r>
        <w:br w:type="page"/>
      </w:r>
    </w:p>
    <w:tbl>
      <w:tblPr>
        <w:tblW w:type="pct" w:w="100%"/>
        <w:tblBorders>
          <w:top w:val="single" w:color="7A2222" w:sz="8"/>
          <w:left w:val="single" w:color="7A2222" w:sz="8"/>
          <w:bottom w:val="single" w:color="7A2222" w:sz="8"/>
          <w:right w:val="single" w:color="7A2222" w:sz="8"/>
          <w:insideH w:val="none" w:color="FFFFFF" w:sz="0"/>
          <w:insideV w:val="none" w:color="FFFFFF" w:sz="0"/>
        </w:tblBorders>
      </w:tblPr>
      <w:tblGrid>
        <w:gridCol w:w="100"/>
      </w:tblGrid>
      <w:tr>
        <w:tc>
          <w:tcPr>
            <w:shd w:fill="FFFFFF" w:val="clear"/>
            <w:tcMar>
              <w:top w:type="dxa" w:w="140"/>
              <w:left w:type="dxa" w:w="220"/>
              <w:bottom w:type="dxa" w:w="140"/>
              <w:right w:type="dxa" w:w="220"/>
            </w:tcMar>
          </w:tcPr>
          <w:p>
            <w:pPr>
              <w:spacing w:after="40"/>
            </w:pPr>
            <w:r>
              <w:rPr>
                <w:rFonts w:ascii="Courier New" w:cs="Courier New" w:eastAsia="Courier New" w:hAnsi="Courier New"/>
                <w:b/>
                <w:bCs/>
                <w:color w:val="7A2222"/>
                <w:spacing w:val="8"/>
                <w:sz w:val="16"/>
                <w:szCs w:val="16"/>
              </w:rPr>
              <w:t xml:space="preserve">MAPS TO THE PERFORMANCE OF OBEDIENCE — BRIEF ENTRY</w:t>
            </w:r>
          </w:p>
          <w:p>
            <w:r>
              <w:rPr>
                <w:rFonts w:ascii="Courier New" w:cs="Courier New" w:eastAsia="Courier New" w:hAnsi="Courier New"/>
                <w:b/>
                <w:bCs/>
                <w:color w:val="7A2222"/>
                <w:sz w:val="19"/>
                <w:szCs w:val="19"/>
              </w:rPr>
              <w:t xml:space="preserve">Part III: Moral Inversion  →  Chapter 8: Work as Virtue, Poverty as Failure</w:t>
            </w:r>
          </w:p>
        </w:tc>
      </w:tr>
    </w:tbl>
    <w:p>
      <w:pPr>
        <w:spacing w:after="40" w:before="220"/>
      </w:pPr>
      <w:r>
        <w:rPr>
          <w:rFonts w:ascii="Georgia" w:cs="Georgia" w:eastAsia="Georgia" w:hAnsi="Georgia"/>
          <w:b/>
          <w:bCs/>
          <w:color w:val="141412"/>
          <w:sz w:val="34"/>
          <w:szCs w:val="34"/>
        </w:rPr>
        <w:t xml:space="preserve">A closed investigation, sitting quietly next to a pay rise</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Metro's BBC pay-list report notes, almost in passing, that Scott Mills, the corporation's highest-paid star until his sacking in March, had an internal Metropolitan Police-prompted investigation opened into serious allegations involving a boy aged under 16, between 1997 and 2000. Prosecutors decided in 2019 there was insufficient evidence to bring charges, and the file was closed. Mills earned between £745,000 and £749,999 in the year to March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"Insufficient evidence to charge" is a specific, narrow finding, not an exoneration, and institutions are generally careful to keep those two things separate when it suits them. What's notable here is how little the 2019 closure appears to have shaped anything afterwards: the salary continued rising for years after the file closed, and the sacking in March is reported without a clearly stated cause. An institution can hold a closed file and a rising pay grade in the same hand indefinitely, right up until something forces the two into the same sentence.</w:t>
      </w:r>
    </w:p>
    <w:p>
      <w:pPr>
        <w:spacing w:after="200" w:before="100"/>
      </w:pPr>
      <w:r>
        <w:rPr>
          <w:rFonts w:ascii="Georgia" w:cs="Georgia" w:eastAsia="Georgia" w:hAnsi="Georgia"/>
          <w:i/>
          <w:iCs/>
          <w:color w:val="242320"/>
          <w:sz w:val="20"/>
          <w:szCs w:val="20"/>
        </w:rPr>
        <w:t xml:space="preserve">This entry shows a closed file and a rising salary coexisting for years without friction, until public pressure forced the two into the same sentence.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https://citizenknowledge.theperformanceofobedience.co.uk/posts/post-20-mills-investigation_b/</w:t>
      </w:r>
    </w:p>
    <w:p>
      <w:r>
        <w:br w:type="page"/>
      </w:r>
    </w:p>
    <w:tbl>
      <w:tblPr>
        <w:tblW w:type="pct" w:w="100%"/>
        <w:tblBorders>
          <w:top w:val="single" w:color="7A2222" w:sz="8"/>
          <w:left w:val="single" w:color="7A2222" w:sz="8"/>
          <w:bottom w:val="single" w:color="7A2222" w:sz="8"/>
          <w:right w:val="single" w:color="7A2222" w:sz="8"/>
          <w:insideH w:val="none" w:color="FFFFFF" w:sz="0"/>
          <w:insideV w:val="none" w:color="FFFFFF" w:sz="0"/>
        </w:tblBorders>
      </w:tblPr>
      <w:tblGrid>
        <w:gridCol w:w="100"/>
      </w:tblGrid>
      <w:tr>
        <w:tc>
          <w:tcPr>
            <w:shd w:fill="FFFFFF" w:val="clear"/>
            <w:tcMar>
              <w:top w:type="dxa" w:w="140"/>
              <w:left w:type="dxa" w:w="220"/>
              <w:bottom w:type="dxa" w:w="140"/>
              <w:right w:type="dxa" w:w="220"/>
            </w:tcMar>
          </w:tcPr>
          <w:p>
            <w:pPr>
              <w:spacing w:after="40"/>
            </w:pPr>
            <w:r>
              <w:rPr>
                <w:rFonts w:ascii="Courier New" w:cs="Courier New" w:eastAsia="Courier New" w:hAnsi="Courier New"/>
                <w:b/>
                <w:bCs/>
                <w:color w:val="7A2222"/>
                <w:spacing w:val="8"/>
                <w:sz w:val="16"/>
                <w:szCs w:val="16"/>
              </w:rPr>
              <w:t xml:space="preserve">MAPS TO THE PERFORMANCE OF OBEDIENCE — BRIEF ENTRY</w:t>
            </w:r>
          </w:p>
          <w:p>
            <w:r>
              <w:rPr>
                <w:rFonts w:ascii="Courier New" w:cs="Courier New" w:eastAsia="Courier New" w:hAnsi="Courier New"/>
                <w:b/>
                <w:bCs/>
                <w:color w:val="7A2222"/>
                <w:sz w:val="19"/>
                <w:szCs w:val="19"/>
              </w:rPr>
              <w:t xml:space="preserve">Part IV: Criminality and Control  →  Chapter 13: Discretion as Power</w:t>
            </w:r>
          </w:p>
        </w:tc>
      </w:tr>
    </w:tbl>
    <w:p>
      <w:pPr>
        <w:spacing w:after="40" w:before="220"/>
      </w:pPr>
      <w:r>
        <w:rPr>
          <w:rFonts w:ascii="Georgia" w:cs="Georgia" w:eastAsia="Georgia" w:hAnsi="Georgia"/>
          <w:b/>
          <w:bCs/>
          <w:color w:val="141412"/>
          <w:sz w:val="34"/>
          <w:szCs w:val="34"/>
        </w:rPr>
        <w:t xml:space="preserve">A law built because the ordinary process didn't work</w:t>
      </w:r>
    </w:p>
    <w:p>
      <w:pPr>
        <w:spacing w:after="220"/>
      </w:pPr>
      <w:r>
        <w:rPr>
          <w:rFonts w:ascii="Georgia" w:cs="Georgia" w:eastAsia="Georgia" w:hAnsi="Georgia"/>
          <w:b/>
          <w:bCs/>
          <w:i/>
          <w:iCs/>
          <w:color w:val="141412"/>
          <w:sz w:val="20"/>
          <w:szCs w:val="20"/>
        </w:rPr>
        <w:t xml:space="preserve">Metro, Wednesday 15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Incoming PM Andy Burnham told the Commons the Hillsborough Law, imposing a duty on public officials to tell the truth and cooperate with investigations, will "reshape the relationship between the public and the state." It takes its name from the 1989 disaster in which 97 Liverpool fans died, and follows 37 years in which, Burnham wrote, families "stood firm when powerful institutions closed ranks against them."</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A new law compelling officials to cooperate with inquiries is only necessary because the existing legal and institutional framework didn't require that, in practice, for 37 years. Officials weren't breaking the law by closing ranks; there wasn't a law making that illegal. This is worth including as the other side of the book's usual pattern: sometimes the gap between rule and practice does eventually get closed, but only after decades, and only because the people harmed refused to stop pointing at it. The law itself is a late admission of exactly what its absence had already made clear.</w:t>
      </w:r>
    </w:p>
    <w:p>
      <w:pPr>
        <w:spacing w:after="200" w:before="100"/>
      </w:pPr>
      <w:r>
        <w:rPr>
          <w:rFonts w:ascii="Georgia" w:cs="Georgia" w:eastAsia="Georgia" w:hAnsi="Georgia"/>
          <w:i/>
          <w:iCs/>
          <w:color w:val="242320"/>
          <w:sz w:val="20"/>
          <w:szCs w:val="20"/>
        </w:rPr>
        <w:t xml:space="preserve">This entry shows a new legal duty as a late admission: officials were never required to cooperate honestly with inquiries, and thirty-seven years of that gap is what finally produced the law.</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https://citizenknowledge.theperformanceofobedience.co.uk/posts/post-21-hillsborough-law_b/</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Appearance of Action</w:t>
            </w:r>
          </w:p>
        </w:tc>
      </w:tr>
    </w:tbl>
    <w:p>
      <w:pPr>
        <w:spacing w:after="40" w:before="220"/>
      </w:pPr>
      <w:r>
        <w:rPr>
          <w:rFonts w:ascii="Georgia" w:cs="Georgia" w:eastAsia="Georgia" w:hAnsi="Georgia"/>
          <w:b/>
          <w:bCs/>
          <w:color w:val="141412"/>
          <w:sz w:val="34"/>
          <w:szCs w:val="34"/>
        </w:rPr>
        <w:t xml:space="preserve">A crackdown announced after the cases it responds to are already over</w:t>
      </w:r>
    </w:p>
    <w:p>
      <w:pPr>
        <w:spacing w:after="220"/>
      </w:pPr>
      <w:r>
        <w:rPr>
          <w:rFonts w:ascii="Georgia" w:cs="Georgia" w:eastAsia="Georgia" w:hAnsi="Georgia"/>
          <w:b/>
          <w:bCs/>
          <w:i/>
          <w:iCs/>
          <w:color w:val="141412"/>
          <w:sz w:val="20"/>
          <w:szCs w:val="20"/>
        </w:rPr>
        <w:t xml:space="preserve">Metro, Thursday 16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safeguarding will be strengthened at nurseries after "appalling" abuse cases, with early education minister Olivia Bailey saying the government is "absolutely determined" to protect children. Bailey cited nursery workers Vincent Chan, jailed for 18 years for a campaign of sexual abuse, and Nathan Bennett, jailed for 24 years for raping and abusing young children in his care, alongside the case of nine-month-old Genevieve Meehan, killed by a worker who strapped her face-down on a bean bag for 90 minutes. Proposed changes include mandatory CCTV under consideration, powers for Ofsted to act across whole provider chains rather than individual settings, and mandatory staff supervision.</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Every measure being proposed here is reasonable on its own terms. CCTV, chain-wide inspection powers, mandatory supervision: nobody would argue these are bad ideas. What is worth noticing is the sequence. The children these measures are meant to protect have already been harmed. The convictions have already happened. The system is being strengthened in direct, named response to specific catastrophic failures it did not prevent, which means the announcement is not really describing prevention at all. It is describing repair, dressed in the language of getting ahead of a problem.</w:t>
      </w:r>
    </w:p>
    <w:p>
      <w:pPr>
        <w:spacing w:after="220"/>
      </w:pPr>
      <w:r>
        <w:rPr>
          <w:rFonts w:ascii="Georgia" w:cs="Georgia" w:eastAsia="Georgia" w:hAnsi="Georgia"/>
          <w:color w:val="242320"/>
          <w:sz w:val="23"/>
          <w:szCs w:val="23"/>
        </w:rPr>
        <w:t xml:space="preserve">Chapter 13's account of what enforcement optimises for is relevant here: a system under this kind of pressure tends to produce visible, nameable action rather than the harder, slower work of actually closing the gap that let Chan and Bennett operate for as long as they did. Mandatory CCTV and chain-wide powers are the kind of reform that photographs well and can be pointed to in a press release. Whether they would have stopped either case, or whether the actual failure was somewhere less visible, in supervision, in vetting, in how concerns raised by staff or parents were handled, is a separate question the announcement does not really engage with. Ms Bailey describing meetings with affected parents as harder than anything else in her life is not in doubt as a genuine reaction. But genuine horror after the fact and a system that reliably prevents the next case are not the same achievement, and the gap between them is exactly what gets papered over when a crackdown is announced in the same breath as the convictions that made it necessary.</w:t>
      </w:r>
    </w:p>
    <w:p>
      <w:pPr>
        <w:spacing w:after="200" w:before="100"/>
      </w:pPr>
      <w:r>
        <w:rPr>
          <w:rFonts w:ascii="Georgia" w:cs="Georgia" w:eastAsia="Georgia" w:hAnsi="Georgia"/>
          <w:i/>
          <w:iCs/>
          <w:color w:val="242320"/>
          <w:sz w:val="20"/>
          <w:szCs w:val="20"/>
        </w:rPr>
        <w:t xml:space="preserve">This entry shows a system announcing strengthened safeguards only once named catastrophic failures have already run their course through the courts, framing repair as prevention after the fact.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https://citizenknowledge.theperformanceofobedience.co.uk/posts/post-22-nursery-safeguarding/</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V: Withdrawal  →  Chapter 14: Symbolic Politics and the Maintenance of Appearances  →  Statements as Evidence of Concern</w:t>
            </w:r>
          </w:p>
        </w:tc>
      </w:tr>
    </w:tbl>
    <w:p>
      <w:pPr>
        <w:spacing w:after="40" w:before="220"/>
      </w:pPr>
      <w:r>
        <w:rPr>
          <w:rFonts w:ascii="Georgia" w:cs="Georgia" w:eastAsia="Georgia" w:hAnsi="Georgia"/>
          <w:b/>
          <w:bCs/>
          <w:color w:val="141412"/>
          <w:sz w:val="34"/>
          <w:szCs w:val="34"/>
        </w:rPr>
        <w:t xml:space="preserve">The word doing the work is "voluntary"</w:t>
      </w:r>
    </w:p>
    <w:p>
      <w:pPr>
        <w:spacing w:after="220"/>
      </w:pPr>
      <w:r>
        <w:rPr>
          <w:rFonts w:ascii="Georgia" w:cs="Georgia" w:eastAsia="Georgia" w:hAnsi="Georgia"/>
          <w:b/>
          <w:bCs/>
          <w:i/>
          <w:iCs/>
          <w:color w:val="141412"/>
          <w:sz w:val="20"/>
          <w:szCs w:val="20"/>
        </w:rPr>
        <w:t xml:space="preserve">Metro, Thursday 16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technology secretary Liz Kendall has announced voluntary social media curfews for 16- and 17-year-olds, preventing access between midnight and 6am, with addictive features such as auto-scrolling and algorithmic feeds turned off during that window. Teens will be able to switch the controls off if they choose. A government pilot of more than 300 teens found the curfews improved sleep and concentration, and found that 90% would not switch them off. The Conservatives called it a "dog's dinner." NSPCC chief Chris Sherwood labelled the plans "a sticking plaster" that fails to address the addictive design features driving high screentime.</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government's own pilot figure, that 90% of teens would not opt out, is being used as evidence the policy works. Read the other way, it says the same thing the NSPCC is pointing at: a meaningful minority would switch it off, and a curfew that can be switched off protects exactly the teenagers least likely to need protecting, while doing nothing for the ones the policy is nominally about. A genuinely at-risk teenager, in the grip of exactly the addictive design the NSPCC describes, is the person most likely to find the toggle and turn it back on. The 90% who leave it alone were probably closer to fine either way.</w:t>
      </w:r>
    </w:p>
    <w:p>
      <w:pPr>
        <w:spacing w:after="220"/>
      </w:pPr>
      <w:r>
        <w:rPr>
          <w:rFonts w:ascii="Georgia" w:cs="Georgia" w:eastAsia="Georgia" w:hAnsi="Georgia"/>
          <w:color w:val="242320"/>
          <w:sz w:val="23"/>
          <w:szCs w:val="23"/>
        </w:rPr>
        <w:t xml:space="preserve">Chapter 14's discussion of symbolic solutions becoming attractive when practical ones are difficult applies directly here. Banning addictive design features outright, the auto-scroll, the algorithmic feed, is the practical solution, and it is notable that the announcement gestures at doing exactly that only inside the midnight-to-6am window, as though the addictive architecture becomes acceptable again at 6:01am. A curfew with an opt-out is not a weaker version of protecting children from addictive design. It is a different policy entirely, one that produces a statement of concern and a measurable pilot statistic without requiring anyone to confront the design incentives the NSPCC is naming. Minister Kanishka Narayan's own framing, that he wouldn't want to presume teenagers will all switch it off, inadvertently makes the point: the policy's success is being defined by how few people use the feature that makes it optional, which is a strange way to measure whether a protection is actually protecting anyone.</w:t>
      </w:r>
    </w:p>
    <w:p>
      <w:pPr>
        <w:spacing w:after="200" w:before="100"/>
      </w:pPr>
      <w:r>
        <w:rPr>
          <w:rFonts w:ascii="Georgia" w:cs="Georgia" w:eastAsia="Georgia" w:hAnsi="Georgia"/>
          <w:i/>
          <w:iCs/>
          <w:color w:val="242320"/>
          <w:sz w:val="20"/>
          <w:szCs w:val="20"/>
        </w:rPr>
        <w:t xml:space="preserve">This entry shows an optional safeguard being presented as a protective policy, where the opt-out mechanism exempts precisely the users the measure is meant to protect.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https://citizenknowledge.theperformanceofobedience.co.uk/posts/post-23-voluntary-curfew/</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Cost Without Resolution</w:t>
            </w:r>
          </w:p>
        </w:tc>
      </w:tr>
    </w:tbl>
    <w:p>
      <w:pPr>
        <w:spacing w:after="40" w:before="220"/>
      </w:pPr>
      <w:r>
        <w:rPr>
          <w:rFonts w:ascii="Georgia" w:cs="Georgia" w:eastAsia="Georgia" w:hAnsi="Georgia"/>
          <w:b/>
          <w:bCs/>
          <w:color w:val="141412"/>
          <w:sz w:val="34"/>
          <w:szCs w:val="34"/>
        </w:rPr>
        <w:t xml:space="preserve">Twenty-seven thousand password resets is what "secure" turned out to mean</w:t>
      </w:r>
    </w:p>
    <w:p>
      <w:pPr>
        <w:spacing w:after="220"/>
      </w:pPr>
      <w:r>
        <w:rPr>
          <w:rFonts w:ascii="Georgia" w:cs="Georgia" w:eastAsia="Georgia" w:hAnsi="Georgia"/>
          <w:b/>
          <w:bCs/>
          <w:i/>
          <w:iCs/>
          <w:color w:val="141412"/>
          <w:sz w:val="20"/>
          <w:szCs w:val="20"/>
        </w:rPr>
        <w:t xml:space="preserve">Metro, Thursday 16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two teenage hackers, Thalha Jubair, now 20, and Owen Flowers, 18, face sentencing after admitting conspiracy over a 2024 attack on Transport for London that a prosecutor said could have caused a potential £56billion loss to the UK economy. The pair spent six days inside TfL's servers using the log-ins of its chief information security officer, obtained after requesting a password reset, gaining what the prosecution called "the keys to the kingdom." They stopped contactless and Oyster payments, disrupted live Tube information, and viewed celebrities' account details, forcing TfL to pull the plug on its whole system and 27,000 staff to change passwords. The remedial work cost the public purse £29million. The pair, part of hacking gang Scattered Spider, face a maximum of 14 years in jail.</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prosecution's own language, "keys to the kingdom," names the actual finding here more precisely than the £56billion figure does. That number describes a hypothetical worst case the pair chose not to trigger. What they did trigger, a single password reset request against the login of TfL's own chief information security officer, is the more useful piece of information, because it is not a story about sophisticated infiltration defeating a hardened target. It is a story about a critical national infrastructure system whose security depended, at the point that mattered, on a process no more robust than the one an ordinary customer uses to get back into a locked account.</w:t>
      </w:r>
    </w:p>
    <w:p>
      <w:pPr>
        <w:spacing w:after="220"/>
      </w:pPr>
      <w:r>
        <w:rPr>
          <w:rFonts w:ascii="Georgia" w:cs="Georgia" w:eastAsia="Georgia" w:hAnsi="Georgia"/>
          <w:color w:val="242320"/>
          <w:sz w:val="23"/>
          <w:szCs w:val="23"/>
        </w:rPr>
        <w:t xml:space="preserve">Chapter 13's discussion of dormant capability is usually about tools that exist but sit unused. This is close to the inverse: a vulnerability that existed, unused, until two people the prosecution's own framing repeatedly calls teenagers found it in an afternoon. The £29million remedial cost and the 27,000 forced password changes are the visible bill for a gap that was, on the specific facts here, cheap and simple to open. "Remarkably sophisticated, on a grand scale," as the prosecutor called it, describes the consequences accurately and the method less so. A system whose defences turn out to hinge on a single support-desk process is not a fortress that fell to a sophisticated siege. It is a system that had never been seriously tested until someone bothered to try the front door, and calling the result sophisticated is easier than admitting how little was actually required to walk through it.</w:t>
      </w:r>
    </w:p>
    <w:p>
      <w:pPr>
        <w:spacing w:after="200" w:before="100"/>
      </w:pPr>
      <w:r>
        <w:rPr>
          <w:rFonts w:ascii="Georgia" w:cs="Georgia" w:eastAsia="Georgia" w:hAnsi="Georgia"/>
          <w:i/>
          <w:iCs/>
          <w:color w:val="242320"/>
          <w:sz w:val="20"/>
          <w:szCs w:val="20"/>
        </w:rPr>
        <w:t xml:space="preserve">This entry shows a critical infrastructure system's security resting, at the point that mattered, on a process no stronger than an ordinary customer support request, with the language of sophistication arriving only after the fact.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https://citizenknowledge.theperformanceofobedience.co.uk/posts/post-24-tfl-hack-sentencing/</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12: Illegal, Illicit, and Ignored  →  The Gap Between Law and Practice</w:t>
            </w:r>
          </w:p>
        </w:tc>
      </w:tr>
    </w:tbl>
    <w:p>
      <w:pPr>
        <w:spacing w:after="40" w:before="220"/>
      </w:pPr>
      <w:r>
        <w:rPr>
          <w:rFonts w:ascii="Georgia" w:cs="Georgia" w:eastAsia="Georgia" w:hAnsi="Georgia"/>
          <w:b/>
          <w:bCs/>
          <w:color w:val="141412"/>
          <w:sz w:val="34"/>
          <w:szCs w:val="34"/>
        </w:rPr>
        <w:t xml:space="preserve">The same gap between a legal principle and a headline, a second time</w:t>
      </w:r>
    </w:p>
    <w:p>
      <w:pPr>
        <w:spacing w:after="220"/>
      </w:pPr>
      <w:r>
        <w:rPr>
          <w:rFonts w:ascii="Georgia" w:cs="Georgia" w:eastAsia="Georgia" w:hAnsi="Georgia"/>
          <w:b/>
          <w:bCs/>
          <w:i/>
          <w:iCs/>
          <w:color w:val="141412"/>
          <w:sz w:val="20"/>
          <w:szCs w:val="20"/>
        </w:rPr>
        <w:t xml:space="preserve">Metro, Thursday 16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Metro's court report on the trial of Patrick Spencer, the 38-year-old MP for Central Suffolk and North Ipswich accused of sexually assaulting two women at London's Groucho Club, leads with CCTV showing him raising a clenched fist after one alleged assault, which prosecutor Polly Dyer suggested was "like a fist pump in celebration." Spencer disagreed, telling jurors "it's an interpretation but it's not my interpretation." He called himself "gregarious" and "huggy," conceded his hands accidentally touched one woman's breasts, and denied touching the other at all or asking either "lurid" questions about her marriage. He denies sexual assault. The trial continues.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This is worth naming plainly: the structure of this report is close to identical to Post 6, the court report on an actor's trial covered here in early July. A denial is included. The defendant's own account is given space. Nothing here is inaccurate reporting, again. And once again, the piece is built, entirely lawfully, around a single dramatic image, here a CCTV gesture and a prosecutor's characterisation of it, in a way that invites a reader to form a view well before a jury has reached one.</w:t>
      </w:r>
    </w:p>
    <w:p>
      <w:pPr>
        <w:spacing w:after="220"/>
      </w:pPr>
      <w:r>
        <w:rPr>
          <w:rFonts w:ascii="Georgia" w:cs="Georgia" w:eastAsia="Georgia" w:hAnsi="Georgia"/>
          <w:color w:val="242320"/>
          <w:sz w:val="23"/>
          <w:szCs w:val="23"/>
        </w:rPr>
        <w:t xml:space="preserve">The reason this is worth returning to rather than treating as a separate, unrelated case is that the repetition is the actual finding. One instance of this structure could be coincidence, a single reporter's choices on a single day. A second instance, in an unrelated case, with a different defendant, a different court, a different alleged offence, shows something closer to a standing convention: this is simply how contested criminal trials get written up, consistently, regardless of the specifics. Spencer's own words to the jury, "it's an interpretation but it's not my interpretation," are doing more analytical work than they might appear to. He is describing, from inside his own trial, exactly the gap Post 6 named from outside one: a single ambiguous fact, filtered through one party's characterisation of it, hardening into the version of events that reaches print. The presumption of innocence still governs what the jury is legally required to do here. Whether it survives contact with a headline built around a fist-pump is, again, a separate question, and this book keeps finding the same answer to it in contexts that have nothing else in common.</w:t>
      </w:r>
    </w:p>
    <w:p>
      <w:pPr>
        <w:spacing w:after="200" w:before="100"/>
      </w:pPr>
      <w:r>
        <w:rPr>
          <w:rFonts w:ascii="Georgia" w:cs="Georgia" w:eastAsia="Georgia" w:hAnsi="Georgia"/>
          <w:i/>
          <w:iCs/>
          <w:color w:val="242320"/>
          <w:sz w:val="20"/>
          <w:szCs w:val="20"/>
        </w:rPr>
        <w:t xml:space="preserve">This entry repeats the pattern traced in Post 6: lawful, accurate court reporting built around a single dramatic detail that primes a reader's judgement ahead of any verdict.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https://citizenknowledge.theperformanceofobedience.co.uk/posts/post-25-mp-groucho-trial/</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The system investigates itself and finds itself wanting, then continues</w:t>
      </w:r>
    </w:p>
    <w:p>
      <w:pPr>
        <w:spacing w:after="220"/>
      </w:pPr>
      <w:r>
        <w:rPr>
          <w:rFonts w:ascii="Georgia" w:cs="Georgia" w:eastAsia="Georgia" w:hAnsi="Georgia"/>
          <w:b/>
          <w:bCs/>
          <w:i/>
          <w:iCs/>
          <w:color w:val="141412"/>
          <w:sz w:val="20"/>
          <w:szCs w:val="20"/>
        </w:rPr>
        <w:t xml:space="preserve">Metro, Friday 17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home secretary Shabana Mahmood said she is taking "urgent action" to hold MI5 to account, after a report found "serious failings" by its officers led to costs being awarded against the service. This follows MI5 apologising and settling a legal claim brought by a woman known as Beth over its handling of her treatment by an alleged abusive ex-partner. The report also concluded that MI5 had "systemic failures."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Notice the order these events happened in, because the order is the story. MI5 did not get caught by an external regulator, a court finding against it on the facts, or an independent public inquiry it was powerless to resist. It apologised and settled, then the report it commissioned, or that emerged from the same process, described its own failures as systemic. An institution naming its own failure as systemic is not obviously the same thing as an institution being held accountable for it. Systemic is a word that spreads responsibility so evenly across an organisation that it becomes difficult to locate in any single decision, officer, or moment where a different call could have been made. It reads as candour. Functionally, it can also operate as the least specific possible admission available.</w:t>
      </w:r>
    </w:p>
    <w:p>
      <w:pPr>
        <w:spacing w:after="220"/>
      </w:pPr>
      <w:r>
        <w:rPr>
          <w:rFonts w:ascii="Georgia" w:cs="Georgia" w:eastAsia="Georgia" w:hAnsi="Georgia"/>
          <w:color w:val="242320"/>
          <w:sz w:val="23"/>
          <w:szCs w:val="23"/>
        </w:rPr>
        <w:t xml:space="preserve">Mahmood's "urgent action" language sits on top of this in a way Chapter 13 spends considerable time on: the announcement of accountability substituting for a description of what will actually be different going forward. Nothing in the Metro report specifies a changed protocol, a named individual held responsible, or a mechanism preventing the same failure recurring for the next woman in Beth's position. What exists is an apology, a settlement, a report confirming failure in the abstract, and a minister promising urgency. Each of those things is true and each of those things happened. None of them describes the system operating differently tomorrow than it did when Beth needed it to work. This is the cost-without-resolution pattern the chapter tracks elsewhere: the appearance of a system correcting itself is not the same event as a system correcting itself, and the two are easiest to tell apart by asking what, specifically, is different now. Here, the honest answer is that a report exists.</w:t>
      </w:r>
    </w:p>
    <w:p>
      <w:pPr>
        <w:spacing w:after="200" w:before="100"/>
      </w:pPr>
      <w:r>
        <w:rPr>
          <w:rFonts w:ascii="Georgia" w:cs="Georgia" w:eastAsia="Georgia" w:hAnsi="Georgia"/>
          <w:i/>
          <w:iCs/>
          <w:color w:val="242320"/>
          <w:sz w:val="20"/>
          <w:szCs w:val="20"/>
        </w:rPr>
        <w:t xml:space="preserve">An institution's public acknowledgement of its own systemic failure functions here as the resolution, standing in for any described change to the system that produced it.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https://citizenknowledge.theperformanceofobedience.co.uk/posts/post-26-mi5-systemic-failures/</w:t>
      </w:r>
    </w:p>
    <w:p>
      <w:r>
        <w:br w:type="page"/>
      </w:r>
    </w:p>
    <w:tbl>
      <w:tblPr>
        <w:tblW w:type="pct" w:w="100%"/>
        <w:tblBorders>
          <w:top w:val="none" w:color="141412" w:sz="0"/>
          <w:left w:val="none" w:color="141412" w:sz="0"/>
          <w:bottom w:val="none" w:color="141412" w:sz="0"/>
          <w:right w:val="none" w:color="141412" w:sz="0"/>
          <w:insideH w:val="none" w:color="141412" w:sz="0"/>
          <w:insideV w:val="none" w:color="141412" w:sz="0"/>
        </w:tblBorders>
      </w:tblPr>
      <w:tblGrid>
        <w:gridCol w:w="100"/>
      </w:tblGrid>
      <w:tr>
        <w:tc>
          <w:tcPr>
            <w:shd w:fill="14141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The fine is identical. The enforcement is timed.</w:t>
      </w:r>
    </w:p>
    <w:p>
      <w:pPr>
        <w:spacing w:after="220"/>
      </w:pPr>
      <w:r>
        <w:rPr>
          <w:rFonts w:ascii="Georgia" w:cs="Georgia" w:eastAsia="Georgia" w:hAnsi="Georgia"/>
          <w:b/>
          <w:bCs/>
          <w:i/>
          <w:iCs/>
          <w:color w:val="141412"/>
          <w:sz w:val="20"/>
          <w:szCs w:val="20"/>
        </w:rPr>
        <w:t xml:space="preserve">Metro, Friday 17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fresh diplomatic tension after Argentina's players paraded a banner reading "Las Malvinas Son Argentinas" (the Falklands are Argentina's) following their World Cup win over England, with Argentina's vice-president separately calling England players "invaders" and "usurping pirates" in pre-match posts. Business secretary Peter Kyle said FIFA should investigate thoroughly, and No.10 was accused by Argentina's foreign minister of a "military incursion" over a routine HMS Medway resupply visit to Chile. Argentina's FA has been fined £20,000 for the banner, the same fine it received for an identical offence in 2014, and it has been reported that any punishment against the players involved will not be enforced until after the tournament has finished.</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Start with the number that should be doing more work than it is: £20,000, the same fine, for the same offence, twelve years apart. Chapter 14 has a name for what a repeated, unadjusted penalty like this actually signals about the language surrounding it:</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*At first this shift is almost invisible. The institutions remain familiar. The procedures remain familiar. Elections continue. Policies continue. Reports continue. Everything appears unchanged. Yet citizens gradually learn to interpret official language differently. Promises cease functioning as forecasts. They become indicators.*</w:t>
            </w:r>
          </w:p>
        </w:tc>
      </w:tr>
    </w:tbl>
    <w:p>
      <w:pPr>
        <w:spacing w:after="200" w:before="200"/>
      </w:pPr>
    </w:p>
    <w:p>
      <w:pPr>
        <w:spacing w:after="220"/>
      </w:pPr>
      <w:r>
        <w:rPr>
          <w:rFonts w:ascii="Georgia" w:cs="Georgia" w:eastAsia="Georgia" w:hAnsi="Georgia"/>
          <w:color w:val="242320"/>
          <w:sz w:val="23"/>
          <w:szCs w:val="23"/>
        </w:rPr>
        <w:t xml:space="preserve">A fine is normally a forecast: pay this, or expect to pay it again next time you do this. When the same body issues the same fine for the same offence more than a decade apart, the fine has stopped forecasting anything. It has become an indicator instead, of the fact that FIFA knows the behaviour will recur and has priced that recurrence in rather than deterred it. £20,000 is not a cost designed to be avoided. It is closer to a standing licence fee for a banner FIFA already knows it will see again.</w:t>
      </w:r>
    </w:p>
    <w:p>
      <w:pPr>
        <w:spacing w:after="220"/>
      </w:pPr>
      <w:r>
        <w:rPr>
          <w:rFonts w:ascii="Georgia" w:cs="Georgia" w:eastAsia="Georgia" w:hAnsi="Georgia"/>
          <w:color w:val="242320"/>
          <w:sz w:val="23"/>
          <w:szCs w:val="23"/>
        </w:rPr>
        <w:t xml:space="preserve">The more instructive detail sits in the second half of the story, though: any punishment of the players themselves reportedly won't be enforced until after the tournament ends. This is the mechanism the book's central case study, the diplomatic parking and Congestion Charge debt figures, exists to make visible in a context with no football attached to it at all:</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same notice is issued. The same legal process begins. The same enforcement language is used. Yet the practical outcome differs entirely depending upon who receives it.*</w:t>
            </w:r>
          </w:p>
        </w:tc>
      </w:tr>
    </w:tbl>
    <w:p>
      <w:pPr>
        <w:spacing w:after="200" w:before="200"/>
      </w:pPr>
    </w:p>
    <w:p>
      <w:pPr>
        <w:spacing w:after="220"/>
      </w:pPr>
      <w:r>
        <w:rPr>
          <w:rFonts w:ascii="Georgia" w:cs="Georgia" w:eastAsia="Georgia" w:hAnsi="Georgia"/>
          <w:color w:val="242320"/>
          <w:sz w:val="23"/>
          <w:szCs w:val="23"/>
        </w:rPr>
        <w:t xml:space="preserve">FIFA's ban is not diplomatically unenforceable the way a Congestion Charge notice to an embassy is; nothing prevents FIFA punishing its own players immediately. Timing does the same structural job here that legal immunity does in the book's case study: it produces a notice that looks, on paper, exactly like enforcement, while ensuring the underlying event the notice was meant to police concludes entirely unaffected by it. A ban that starts once the tournament is over does not restrain anything. It exists to satisfy the requirement that a ban exists.</w:t>
      </w:r>
    </w:p>
    <w:p>
      <w:pPr>
        <w:spacing w:after="220"/>
      </w:pPr>
      <w:r>
        <w:rPr>
          <w:rFonts w:ascii="Georgia" w:cs="Georgia" w:eastAsia="Georgia" w:hAnsi="Georgia"/>
          <w:color w:val="242320"/>
          <w:sz w:val="23"/>
          <w:szCs w:val="23"/>
        </w:rPr>
        <w:t xml:space="preserve">The book is direct about why this distinction, rather than the exemption itself, is what actually corrodes trust:</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issue is not whether exemptions can be justified; many can. The issue is whether the language used to describe a system remains consistent with how that system actually functions.*</w:t>
            </w:r>
          </w:p>
        </w:tc>
      </w:tr>
    </w:tbl>
    <w:p>
      <w:pPr>
        <w:spacing w:after="200" w:before="200"/>
      </w:pPr>
    </w:p>
    <w:p>
      <w:pPr>
        <w:spacing w:after="220"/>
      </w:pPr>
      <w:r>
        <w:rPr>
          <w:rFonts w:ascii="Georgia" w:cs="Georgia" w:eastAsia="Georgia" w:hAnsi="Georgia"/>
          <w:color w:val="242320"/>
          <w:sz w:val="23"/>
          <w:szCs w:val="23"/>
        </w:rPr>
        <w:t xml:space="preserve">Nobody at FIFA needs to explain the deferred timing as anything other than routine process, and reasonable administrative reasons for a delay may well exist. What matters is that FIFA continues describing this as discipline while the discipline is scheduled specifically to avoid producing any disciplinary effect. This is what the book calls symbolic solutions substituting for practical ones, activity that resembles consequence without the timing that would make it one. FIFA gets to say discipline occurred. The players who broke the rule play every remaining match unaffected by it. Nobody had to choose between enforcing the rule and letting the tournament proceed as planned, because the schedule quietly ensured that choice never had to be made. And as the book notes, the public does not need a single dramatic betrayal to notice this kind of thing happening:</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*Trust rarely disappears because a single promise is broken. It erodes because a pattern becomes visible.*</w:t>
            </w:r>
          </w:p>
        </w:tc>
      </w:tr>
    </w:tbl>
    <w:p>
      <w:pPr>
        <w:spacing w:after="200" w:before="200"/>
      </w:pPr>
    </w:p>
    <w:p>
      <w:pPr>
        <w:spacing w:after="220"/>
      </w:pPr>
      <w:r>
        <w:rPr>
          <w:rFonts w:ascii="Georgia" w:cs="Georgia" w:eastAsia="Georgia" w:hAnsi="Georgia"/>
          <w:color w:val="242320"/>
          <w:sz w:val="23"/>
          <w:szCs w:val="23"/>
        </w:rPr>
        <w:t xml:space="preserve">A £20,000 fine, unchanged since 2014, followed by a ban timed to start after it can matter, is exactly that: not a scandal, just a pattern, repeating itself in public, for anyone still counting.</w:t>
      </w:r>
    </w:p>
    <w:p>
      <w:pPr>
        <w:spacing w:after="200" w:before="100"/>
      </w:pPr>
      <w:r>
        <w:rPr>
          <w:rFonts w:ascii="Georgia" w:cs="Georgia" w:eastAsia="Georgia" w:hAnsi="Georgia"/>
          <w:i/>
          <w:iCs/>
          <w:color w:val="242320"/>
          <w:sz w:val="20"/>
          <w:szCs w:val="20"/>
        </w:rPr>
        <w:t xml:space="preserve">The identical fine and the deferred ban together show a system that repeats its own stated penalty without ever letting that penalty interrupt the event it was meant to police.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https://citizenknowledge.theperformanceofobedience.co.uk/posts/post-27-falklands-flag-fine/</w:t>
      </w:r>
    </w:p>
    <w:p>
      <w:pPr>
        <w:pBdr>
          <w:top w:val="single" w:color="141412" w:sz="16" w:space="8"/>
        </w:pBdr>
        <w:spacing w:after="100" w:before="400"/>
      </w:pPr>
      <w:r>
        <w:rPr>
          <w:rFonts w:ascii="Georgia" w:cs="Georgia" w:eastAsia="Georgia" w:hAnsi="Georgia"/>
          <w:color w:val="242320"/>
          <w:sz w:val="20"/>
          <w:szCs w:val="20"/>
        </w:rPr>
        <w:t xml:space="preserve">That's everything published between Monday, 13 July 2026 and Sunday, 19 July 2026.</w:t>
      </w:r>
    </w:p>
    <w:p>
      <w:pPr>
        <w:spacing w:after="0"/>
      </w:pPr>
      <w:r>
        <w:rPr>
          <w:rFonts w:ascii="Courier New" w:cs="Courier New" w:eastAsia="Courier New" w:hAnsi="Courier New"/>
          <w:color w:val="7A2222"/>
          <w:sz w:val="18"/>
          <w:szCs w:val="18"/>
        </w:rPr>
        <w:t xml:space="preserve">https://citizenknowledge.theperformanceofobedience.co.uk — new entries most days.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B8B2A2"/>
        <w:sz w:val="16"/>
        <w:szCs w:val="16"/>
      </w:rPr>
      <w:t xml:space="preserve">Page </w:t>
    </w:r>
    <w:r>
      <w:rPr>
        <w:rFonts w:ascii="Courier New" w:cs="Courier New" w:eastAsia="Courier New" w:hAnsi="Courier New"/>
        <w:color w:val="B8B2A2"/>
        <w:sz w:val="16"/>
        <w:szCs w:val="16"/>
      </w:rPr>
      <w:fldChar w:fldCharType="begin"/>
      <w:instrText xml:space="preserve">PAGE</w:instrText>
      <w:fldChar w:fldCharType="separate"/>
      <w:fldChar w:fldCharType="end"/>
    </w:r>
    <w:r>
      <w:rPr>
        <w:rFonts w:ascii="Courier New" w:cs="Courier New" w:eastAsia="Courier New" w:hAnsi="Courier New"/>
        <w:color w:val="B8B2A2"/>
        <w:sz w:val="16"/>
        <w:szCs w:val="16"/>
      </w:rPr>
      <w:t xml:space="preserve"> of </w:t>
    </w:r>
    <w:r>
      <w:rPr>
        <w:rFonts w:ascii="Courier New" w:cs="Courier New" w:eastAsia="Courier New" w:hAnsi="Courier New"/>
        <w:color w:val="B8B2A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B8B2A2"/>
        <w:spacing w:val="6"/>
        <w:sz w:val="14"/>
        <w:szCs w:val="14"/>
      </w:rPr>
      <w:t xml:space="preserve">CITIZEN KNOWLEDGE — WEEKLY PRINT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2026-07-18T01:16:57.005Z</dcterms:created>
  <dcterms:modified xsi:type="dcterms:W3CDTF">2026-07-18T01:16:57.005Z</dcterms:modified>
</cp:coreProperties>
</file>

<file path=docProps/custom.xml><?xml version="1.0" encoding="utf-8"?>
<Properties xmlns="http://schemas.openxmlformats.org/officeDocument/2006/custom-properties" xmlns:vt="http://schemas.openxmlformats.org/officeDocument/2006/docPropsVTypes"/>
</file>