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7A2222"/>
          <w:spacing w:val="20"/>
          <w:sz w:val="20"/>
          <w:szCs w:val="20"/>
        </w:rPr>
        <w:t xml:space="preserve">CITIZEN KNOWLEDGE</w:t>
      </w:r>
    </w:p>
    <w:p>
      <w:pPr>
        <w:pBdr>
          <w:bottom w:val="single" w:color="141412" w:sz="24" w:space="8"/>
        </w:pBdr>
        <w:spacing w:after="120"/>
      </w:pPr>
      <w:r>
        <w:rPr>
          <w:rFonts w:ascii="Georgia" w:cs="Georgia" w:eastAsia="Georgia" w:hAnsi="Georgia"/>
          <w:b/>
          <w:bCs/>
          <w:color w:val="141412"/>
          <w:sz w:val="56"/>
          <w:szCs w:val="56"/>
        </w:rPr>
        <w:t xml:space="preserve">This Week's Entries</w:t>
      </w:r>
    </w:p>
    <w:p>
      <w:pPr>
        <w:spacing w:after="300"/>
      </w:pPr>
      <w:r>
        <w:rPr>
          <w:rFonts w:ascii="Georgia" w:cs="Georgia" w:eastAsia="Georgia" w:hAnsi="Georgia"/>
          <w:i/>
          <w:iCs/>
          <w:color w:val="242320"/>
          <w:sz w:val="24"/>
          <w:szCs w:val="24"/>
        </w:rPr>
        <w:t xml:space="preserve">Monday, 6 July 2026 — Sunday, 12 July 2026</w:t>
      </w:r>
    </w:p>
    <w:p>
      <w:pPr>
        <w:spacing w:after="160"/>
      </w:pPr>
      <w:r>
        <w:rPr>
          <w:rFonts w:ascii="Georgia" w:cs="Georgia" w:eastAsia="Georgia" w:hAnsi="Georgia"/>
          <w:color w:val="242320"/>
          <w:sz w:val="22"/>
          <w:szCs w:val="22"/>
        </w:rPr>
        <w:t xml:space="preserve">Citizen Knowledge is a companion project to a book called The Performance of Obedience: Legitimacy, Law, and the Systems We Pretend to Believe In, by Greg Lewis, currently with UK literary agents.</w:t>
      </w:r>
    </w:p>
    <w:p>
      <w:pPr>
        <w:spacing w:after="160"/>
      </w:pPr>
      <w:r>
        <w:rPr>
          <w:rFonts w:ascii="Georgia" w:cs="Georgia" w:eastAsia="Georgia" w:hAnsi="Georgia"/>
          <w:color w:val="242320"/>
          <w:sz w:val="22"/>
          <w:szCs w:val="22"/>
        </w:rPr>
        <w:t xml:space="preserve">The book argues that selective enforcement — not consistent rule-following — is how modern institutions actually operate: the same law, the same rule, the same process, applied differently depending on who it lands on. Citizen Knowledge takes ordinary daily news stories and maps each one against that argument, showing which part of the book's structure the story illustrates.</w:t>
      </w:r>
    </w:p>
    <w:p>
      <w:pPr>
        <w:spacing w:after="160"/>
      </w:pPr>
      <w:r>
        <w:rPr>
          <w:rFonts w:ascii="Georgia" w:cs="Georgia" w:eastAsia="Georgia" w:hAnsi="Georgia"/>
          <w:color w:val="242320"/>
          <w:sz w:val="22"/>
          <w:szCs w:val="22"/>
        </w:rPr>
        <w:t xml:space="preserve">This printout gathers everything published on the site this week into one document. Three kinds of entry may appear:</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Standard entries — </w:t>
      </w:r>
      <w:r>
        <w:rPr>
          <w:rFonts w:ascii="Georgia" w:cs="Georgia" w:eastAsia="Georgia" w:hAnsi="Georgia"/>
          <w:color w:val="242320"/>
          <w:sz w:val="22"/>
          <w:szCs w:val="22"/>
        </w:rPr>
        <w:t xml:space="preserve">a news story mapped to the book, in full.</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Deep Read entries — </w:t>
      </w:r>
      <w:r>
        <w:rPr>
          <w:rFonts w:ascii="Georgia" w:cs="Georgia" w:eastAsia="Georgia" w:hAnsi="Georgia"/>
          <w:color w:val="242320"/>
          <w:sz w:val="22"/>
          <w:szCs w:val="22"/>
        </w:rPr>
        <w:t xml:space="preserve">a fuller analysis that includes short excerpts from the manuscript itself, printed here in full rather than summarised.</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Briefs — </w:t>
      </w:r>
      <w:r>
        <w:rPr>
          <w:rFonts w:ascii="Georgia" w:cs="Georgia" w:eastAsia="Georgia" w:hAnsi="Georgia"/>
          <w:color w:val="242320"/>
          <w:sz w:val="22"/>
          <w:szCs w:val="22"/>
        </w:rPr>
        <w:t xml:space="preserve">a shorter-format entry, included here in full.</w:t>
      </w:r>
    </w:p>
    <w:p>
      <w:pPr>
        <w:spacing w:after="100" w:before="240"/>
      </w:pPr>
    </w:p>
    <w:tbl>
      <w:tblPr>
        <w:tblW w:type="pct" w:w="100%"/>
        <w:tblBorders>
          <w:top w:val="single" w:color="7A2222" w:sz="4"/>
          <w:left w:val="single" w:color="7A2222" w:sz="4"/>
          <w:bottom w:val="single" w:color="7A2222" w:sz="4"/>
          <w:right w:val="single" w:color="7A2222" w:sz="4"/>
          <w:insideH w:val="none" w:color="7A2222" w:sz="0"/>
          <w:insideV w:val="none" w:color="7A2222" w:sz="0"/>
        </w:tblBorders>
      </w:tblPr>
      <w:tblGrid>
        <w:gridCol w:w="100"/>
      </w:tblGrid>
      <w:tr>
        <w:tc>
          <w:tcPr>
            <w:shd w:fill="F1E3E0" w:val="clear"/>
            <w:tcMar>
              <w:top w:type="dxa" w:w="200"/>
              <w:left w:type="dxa" w:w="260"/>
              <w:bottom w:type="dxa" w:w="200"/>
              <w:right w:type="dxa" w:w="260"/>
            </w:tcMar>
            <w:vAlign w:val="center"/>
          </w:tcPr>
          <w:p>
            <w:pPr>
              <w:spacing w:after="100"/>
            </w:pPr>
            <w:r>
              <w:rPr>
                <w:rFonts w:ascii="Courier New" w:cs="Courier New" w:eastAsia="Courier New" w:hAnsi="Courier New"/>
                <w:b/>
                <w:bCs/>
                <w:color w:val="7A2222"/>
                <w:spacing w:val="10"/>
                <w:sz w:val="18"/>
                <w:szCs w:val="18"/>
              </w:rPr>
              <w:t xml:space="preserve">IF YOU'D LIKE TO TRY READING ONLINE</w:t>
            </w:r>
          </w:p>
          <w:p>
            <w:pPr>
              <w:spacing w:after="100"/>
            </w:pPr>
            <w:r>
              <w:rPr>
                <w:rFonts w:ascii="Georgia" w:cs="Georgia" w:eastAsia="Georgia" w:hAnsi="Georgia"/>
                <w:color w:val="242320"/>
                <w:sz w:val="22"/>
                <w:szCs w:val="22"/>
              </w:rPr>
              <w:t xml:space="preserve">Every entry also lives permanently on the website, where you can browse the full archive and search by chapter:</w:t>
            </w:r>
          </w:p>
          <w:p>
            <w:pPr>
              <w:spacing w:after="100"/>
            </w:pPr>
            <w:r>
              <w:rPr>
                <w:rFonts w:ascii="Courier New" w:cs="Courier New" w:eastAsia="Courier New" w:hAnsi="Courier New"/>
                <w:b/>
                <w:bCs/>
                <w:color w:val="141412"/>
                <w:sz w:val="22"/>
                <w:szCs w:val="22"/>
              </w:rPr>
              <w:t xml:space="preserve">https://citizenknowledge.theperformanceofobedience.co.uk</w:t>
            </w:r>
          </w:p>
          <w:p>
            <w:pPr>
              <w:spacing w:after="0"/>
            </w:pPr>
            <w:r>
              <w:rPr>
                <w:rFonts w:ascii="Georgia" w:cs="Georgia" w:eastAsia="Georgia" w:hAnsi="Georgia"/>
                <w:color w:val="242320"/>
                <w:sz w:val="22"/>
                <w:szCs w:val="22"/>
              </w:rPr>
              <w:t xml:space="preserve">Type that address into any web browser (on a phone, tablet, or computer) to visit the site. If you'd like new entries sent to you by email automatically as they're published, there is a simple sign-up box on the site's homepage and About page — just enter your email address there.</w:t>
            </w:r>
          </w:p>
        </w:tc>
      </w:tr>
    </w:tbl>
    <w:p>
      <w:pPr>
        <w:spacing w:after="200"/>
      </w:pPr>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 When the Law Stops Meaning What It Says  →  Chapter 1: The Illusion of Law  →  Driving as the Soft Test</w:t>
            </w:r>
          </w:p>
        </w:tc>
      </w:tr>
    </w:tbl>
    <w:p>
      <w:pPr>
        <w:spacing w:after="40" w:before="220"/>
      </w:pPr>
      <w:r>
        <w:rPr>
          <w:rFonts w:ascii="Georgia" w:cs="Georgia" w:eastAsia="Georgia" w:hAnsi="Georgia"/>
          <w:b/>
          <w:bCs/>
          <w:color w:val="141412"/>
          <w:sz w:val="34"/>
          <w:szCs w:val="34"/>
        </w:rPr>
        <w:t xml:space="preserve">A nation of speed racers</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RAC figures obtained through freedom of information requests to every UK police force: more than 30,000 drivers were caught doing 30mph or faster in 20mph zones last year. One driver was clocked at 89mph in a 20mph zone; another reached 114mph on a 30mph stretch. Speeds of 161mph were recorded on the A5 and M6. The RAC's own framing is that these figures reveal a nation "oblivious" to the risk, and it wants courts given power to fit anti-speed technology to offenders' vehicles.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RAC's own explanation for these figures is that drivers are unaware of the risk. That explanation quietly does a lot of work, because it locates the problem in public ignorance rather than in the enforcement system itself. A speed limit is a rule stated in absolute terms: 20 means 20. In practice it functions as a threshold with graduated tolerance built in, where everyone, including the police, understands that the real enforcement line sits somewhere above the posted number. Nobody meaningfully expects a driver doing 22mph in a 20 zone to be stopped. That tolerance is not written down anywhere, but it is universally understood and factored into behaviour, which is exactly the mechanism Chapter 1 calls calibration, not rebellion: people are not breaking the rule so much as reading its real operating threshold and adjusting to it.</w:t>
      </w:r>
    </w:p>
    <w:p>
      <w:pPr>
        <w:spacing w:after="220"/>
      </w:pPr>
      <w:r>
        <w:rPr>
          <w:rFonts w:ascii="Georgia" w:cs="Georgia" w:eastAsia="Georgia" w:hAnsi="Georgia"/>
          <w:color w:val="242320"/>
          <w:sz w:val="23"/>
          <w:szCs w:val="23"/>
        </w:rPr>
        <w:t xml:space="preserve">What the 114mph and 161mph readings show is what happens at the far end of that same logic once the gap between stated rule and enforced rule becomes wide enough. If the posted limit were genuinely the operating limit, tolerance would not exist at all, and the graduated leniency that makes low-level speeding a non-event would not be available to normalise the far more extreme readings sitting in the same dataset. The RAC calling this obliviousness treats it as an information problem. Reading it as calibration treats it as what it actually is: a rational response to a system that has never enforced its own stated terms consistently, and cannot then be surprised when some drivers extend that same calculation much further than the system intended.</w:t>
      </w:r>
    </w:p>
    <w:p>
      <w:pPr>
        <w:spacing w:after="200" w:before="100"/>
      </w:pPr>
      <w:r>
        <w:rPr>
          <w:rFonts w:ascii="Georgia" w:cs="Georgia" w:eastAsia="Georgia" w:hAnsi="Georgia"/>
          <w:i/>
          <w:iCs/>
          <w:color w:val="242320"/>
          <w:sz w:val="20"/>
          <w:szCs w:val="20"/>
        </w:rPr>
        <w:t xml:space="preserve">This entry shows calibration in action: a posted limit that everyone, including enforcers, treats as a threshold with built-in tolerance rather than an absolute rule.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https://citizenknowledge.theperformanceofobedience.co.uk/posts/01-nation-of-speed-racers/</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V: Withdrawal  →  Chapter 14: Symbolic Politics and the Maintenance of Appearances  →  Selective Enforcement and Visible Equality</w:t>
            </w:r>
          </w:p>
        </w:tc>
      </w:tr>
    </w:tbl>
    <w:p>
      <w:pPr>
        <w:spacing w:after="40" w:before="220"/>
      </w:pPr>
      <w:r>
        <w:rPr>
          <w:rFonts w:ascii="Georgia" w:cs="Georgia" w:eastAsia="Georgia" w:hAnsi="Georgia"/>
          <w:b/>
          <w:bCs/>
          <w:color w:val="141412"/>
          <w:sz w:val="34"/>
          <w:szCs w:val="34"/>
        </w:rPr>
        <w:t xml:space="preserve">Politicians reaching into a system that claims neutrality</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Belgium mocked Donald Trump after their 4-1 win over the US, in a match that followed Trump's intervention in a disciplinary decision. American player Folarin Balogun had received a one-match ban for a tackle against Bosnia Herzegovina; FIFA president Gianni Infantino admitted Trump called him over the ban, and it was subsequently overturned, only for Balogun to then be handed an automatic one-match ban for a full year. Belgium's players celebrated their victory by mimicking Trump's trademark dance moves.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Chapter 14 uses a diplomatic parking debt ledger to show a specific mechanism: the same notice is issued, the same process begins, the same language of enforcement is used, and yet the outcome differs entirely depending on who receives it. This story is the same mechanism wearing a different uniform. A disciplinary panel exists specifically because football's governing bodies want the public to believe that on-pitch conduct is judged by consistent, depoliticised criteria, applied the same way to every player regardless of nationality or standing. That is the claim the system makes about itself.</w:t>
      </w:r>
    </w:p>
    <w:p>
      <w:pPr>
        <w:spacing w:after="220"/>
      </w:pPr>
      <w:r>
        <w:rPr>
          <w:rFonts w:ascii="Georgia" w:cs="Georgia" w:eastAsia="Georgia" w:hAnsi="Georgia"/>
          <w:color w:val="242320"/>
          <w:sz w:val="23"/>
          <w:szCs w:val="23"/>
        </w:rPr>
        <w:t xml:space="preserve">What actually happened is that a head of state made a phone call and a suspension was reversed. Infantino confirming the call happened, rather than denying it, is arguably the more revealing detail than the reversal itself: the system did not even feel the need to disguise that political pressure had reached it. The subsequent one-year ban imposed on Balogun looks less like consistent enforcement and more like the institution trying to reassert, after the fact, that its process still means something. Nobody needs to believe there was a conspiracy here for the pattern to hold. It is simply what happens when informal power has a more direct route to an outcome than the formal process does, which is the same structural gap Chapter 14 traces through Congestion Charge enforcement: rules stay on the books unchanged, but who a rule actually binds turns out to depend on who is asking.</w:t>
      </w:r>
    </w:p>
    <w:p>
      <w:pPr>
        <w:spacing w:after="200" w:before="100"/>
      </w:pPr>
      <w:r>
        <w:rPr>
          <w:rFonts w:ascii="Georgia" w:cs="Georgia" w:eastAsia="Georgia" w:hAnsi="Georgia"/>
          <w:i/>
          <w:iCs/>
          <w:color w:val="242320"/>
          <w:sz w:val="20"/>
          <w:szCs w:val="20"/>
        </w:rPr>
        <w:t xml:space="preserve">This entry shows a supposedly neutral disciplinary process visibly reversed by informal political pressure, then re-asserted after the fact to preserve the appearance that the process still means something.</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https://citizenknowledge.theperformanceofobedience.co.uk/posts/02-politicians-and-neutral-systems/</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III: Moral Inversion  →  Chapter 8: Work as Virtue, Poverty as Failure  →  Proximity and Moral Exemption</w:t>
            </w:r>
          </w:p>
        </w:tc>
      </w:tr>
    </w:tbl>
    <w:p>
      <w:pPr>
        <w:spacing w:after="40" w:before="220"/>
      </w:pPr>
      <w:r>
        <w:rPr>
          <w:rFonts w:ascii="Georgia" w:cs="Georgia" w:eastAsia="Georgia" w:hAnsi="Georgia"/>
          <w:b/>
          <w:bCs/>
          <w:color w:val="141412"/>
          <w:sz w:val="34"/>
          <w:szCs w:val="34"/>
        </w:rPr>
        <w:t xml:space="preserve">One coping mechanism sold, another quietly judged</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covers the rise of "bring your baby" wine tastings, now running in London, Birmingham, and Nottingham, marketed explicitly at new parents as a few hours of adult time with a baby in arms. Organisers describe wanting to create a space where mothers in particular feel welcome rather than judged for wanting a glass of wine while caring for an infant. The article also notes, almost in passing, that babysitting for a few hours can cost more than the wine tasting itself.</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Chapter 8 uses the term proximity and moral exemption to describe how the same behaviour is read completely differently depending on who is doing it and in what setting, and this is a small, almost gentle example of exactly that mechanism. A parent drinking while solely responsible for an infant is, stripped of branding, the kind of behaviour that would draw concern in most other contexts. Packaged as a ticketed event with a sommelier, a curated flight, and a marketing line about parents deserving a break, it becomes a lifestyle product, something to be enjoyed and photographed rather than something to raise an eyebrow.</w:t>
      </w:r>
    </w:p>
    <w:p>
      <w:pPr>
        <w:spacing w:after="220"/>
      </w:pPr>
      <w:r>
        <w:rPr>
          <w:rFonts w:ascii="Georgia" w:cs="Georgia" w:eastAsia="Georgia" w:hAnsi="Georgia"/>
          <w:color w:val="242320"/>
          <w:sz w:val="23"/>
          <w:szCs w:val="23"/>
        </w:rPr>
        <w:t xml:space="preserve">The article is not wrong that new parents are exhausted and under-supported; the organisers' instinct to create a welcoming space is a real and reasonable response to real isolation. What is worth noticing is what makes the difference between concern and marketing here: it is not the underlying behaviour, and it is not really about wine consumption at all. It is proximity to a socially legible identity, "parent doing something for themselves," that provides the exemption. The same gap runs through Chapter 8's wider argument about who gets treated as making an understandable, forgivable choice under strain, and who gets treated as a problem for the exact same choice, made under the exact same strain, without the right packaging around it.</w:t>
      </w:r>
    </w:p>
    <w:p>
      <w:pPr>
        <w:spacing w:after="200" w:before="100"/>
      </w:pPr>
      <w:r>
        <w:rPr>
          <w:rFonts w:ascii="Georgia" w:cs="Georgia" w:eastAsia="Georgia" w:hAnsi="Georgia"/>
          <w:i/>
          <w:iCs/>
          <w:color w:val="242320"/>
          <w:sz w:val="20"/>
          <w:szCs w:val="20"/>
        </w:rPr>
        <w:t xml:space="preserve">This entry shows how proximity to a socially legible identity converts a behaviour that would otherwise draw concern into a marketed lifestyle product.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https://citizenknowledge.theperformanceofobedience.co.uk/posts/03-baby-wine-tastings/</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A ruling read as vindication, resting on delay rather than denial</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Prince Harry lost his privacy case against Associated Newspapers, publisher of the Daily Mail, with the High Court dismissing all 97 claims brought by Harry and six others including Elton John and Elizabeth Hurley. Mr Justice Nicklin's judgment, running to more than 400 pages, found that many of the events dated back 20 or 30 years, which limited the evidence still available, and stated that memories had faded, in some cases entirely, with many documents no longer available. ANL's editor-in-chief called it "an overwhelming vindication" of the paper's journalism.</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judgment turned substantially on delay: too much time had passed, memories had faded, and documentary evidence no longer existed in sufficient quantity to meet the evidential bar the claims required. That is a procedural finding about what could be proven this many years on, not a finding that the underlying conduct did not happen. The distinction matters, because it is being collapsed in the public reporting of the result almost immediately; a dismissal on evidential grounds is being read, and actively marketed by the winning side, as a vindication on the merits.</w:t>
      </w:r>
    </w:p>
    <w:p>
      <w:pPr>
        <w:spacing w:after="220"/>
      </w:pPr>
      <w:r>
        <w:rPr>
          <w:rFonts w:ascii="Georgia" w:cs="Georgia" w:eastAsia="Georgia" w:hAnsi="Georgia"/>
          <w:color w:val="242320"/>
          <w:sz w:val="23"/>
          <w:szCs w:val="23"/>
        </w:rPr>
        <w:t xml:space="preserve">This is worth sitting with because it shows how a legal outcome and public belief about that outcome can diverge the moment a verdict lands, and how quickly the gap between the two gets papered over by whoever benefits from the simpler story. Chapter 13's broader argument about discretion and process applies here even though this is a civil case rather than an enforcement decision: legitimacy depends not just on a system reaching a defensible outcome, but on the public understanding what kind of outcome it actually reached. "The claims were dismissed because time had eroded the evidence" and "the claims were false" are very different findings. Only one of them happened. The other is the one being repeated in headlines, and once repeated enough, will likely become the version of events that persists.</w:t>
      </w:r>
    </w:p>
    <w:p>
      <w:pPr>
        <w:spacing w:after="200" w:before="100"/>
      </w:pPr>
      <w:r>
        <w:rPr>
          <w:rFonts w:ascii="Georgia" w:cs="Georgia" w:eastAsia="Georgia" w:hAnsi="Georgia"/>
          <w:i/>
          <w:iCs/>
          <w:color w:val="242320"/>
          <w:sz w:val="20"/>
          <w:szCs w:val="20"/>
        </w:rPr>
        <w:t xml:space="preserve">This entry shows how a dismissal on evidential grounds is publicly repackaged as a finding on the merits, collapsing two very different outcomes into one convenient story.</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https://citizenknowledge.theperformanceofobedience.co.uk/posts/04-harry-privacy-case/</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Cost Without Resolution</w:t>
            </w:r>
          </w:p>
        </w:tc>
      </w:tr>
    </w:tbl>
    <w:p>
      <w:pPr>
        <w:spacing w:after="40" w:before="220"/>
      </w:pPr>
      <w:r>
        <w:rPr>
          <w:rFonts w:ascii="Georgia" w:cs="Georgia" w:eastAsia="Georgia" w:hAnsi="Georgia"/>
          <w:b/>
          <w:bCs/>
          <w:color w:val="141412"/>
          <w:sz w:val="34"/>
          <w:szCs w:val="34"/>
        </w:rPr>
        <w:t xml:space="preserve">Capability existing for decades before it is applied</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a man has been jailed for 18 years after Metropolitan Police detectives used forensic techniques to solve a cold case. David Pearce, 70, admitted seven sex offences dating back 36 years. In 1990, he lured children into a changing area at a lido in Barking and touched them inappropriately; when the children, as young as eight, reported it, DNA from semen recovered at the time did not match anyone then on the police database. The case sat unresolved for decades until DNA matching technology and an expanded database eventually produced a match, also linking him to a separate assault on a 13-year-old in 1996.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forensic sample was taken in 1990. The technology and database needed to use it properly did not exist yet, or were not adequate, for over three decades. That gap is presented, understandably, as a good news story: justice delayed but ultimately delivered, technology finally closing a case that had sat open since before some of the officers who solved it were born. It is a good outcome for the specific victims involved, and worth being clear about that.</w:t>
      </w:r>
    </w:p>
    <w:p>
      <w:pPr>
        <w:spacing w:after="220"/>
      </w:pPr>
      <w:r>
        <w:rPr>
          <w:rFonts w:ascii="Georgia" w:cs="Georgia" w:eastAsia="Georgia" w:hAnsi="Georgia"/>
          <w:color w:val="242320"/>
          <w:sz w:val="23"/>
          <w:szCs w:val="23"/>
        </w:rPr>
        <w:t xml:space="preserve">But the more uncomfortable question the story does not ask is what an 18-year sentence, arriving 36 years after the offending began, means for everyone the technology gap failed to protect in between. The capability existed in some partial form for most of that period; it simply had not been built out, funded, or connected to a large enough database to be useful yet. Chapter 13's discussion of enforcement cost without resolution is about exactly this kind of gap: not an absence of tools, but tools that exist in principle while sitting unused or underused in practice, for reasons that are rarely about whether the crime matters enough to solve. The dormant capability is not morally neutral just because it eventually got used. Thirty-six years is also thirty-six years of a working system that, on the specific facts of this case, was not actually working.</w:t>
      </w:r>
    </w:p>
    <w:p>
      <w:pPr>
        <w:spacing w:after="200" w:before="100"/>
      </w:pPr>
      <w:r>
        <w:rPr>
          <w:rFonts w:ascii="Georgia" w:cs="Georgia" w:eastAsia="Georgia" w:hAnsi="Georgia"/>
          <w:i/>
          <w:iCs/>
          <w:color w:val="242320"/>
          <w:sz w:val="20"/>
          <w:szCs w:val="20"/>
        </w:rPr>
        <w:t xml:space="preserve">This entry shows enforcement capability existing in dormant, underfunded form for decades, illustrating that a tool's eventual use does not make its long absence morally neutral.</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https://citizenknowledge.theperformanceofobedience.co.uk/posts/05-cold-case-forensics/</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12: Illegal, Illicit, and Ignored  →  The Gap Between Law and Practice</w:t>
            </w:r>
          </w:p>
        </w:tc>
      </w:tr>
    </w:tbl>
    <w:p>
      <w:pPr>
        <w:spacing w:after="40" w:before="220"/>
      </w:pPr>
      <w:r>
        <w:rPr>
          <w:rFonts w:ascii="Georgia" w:cs="Georgia" w:eastAsia="Georgia" w:hAnsi="Georgia"/>
          <w:b/>
          <w:bCs/>
          <w:color w:val="141412"/>
          <w:sz w:val="34"/>
          <w:szCs w:val="34"/>
        </w:rPr>
        <w:t xml:space="preserve">Reporting a live trial in a way that primes a verdict before one exists</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Metro's court report on the trial of an actor facing rape and sexual assault charges leads with prosecution cross-examination quotes given full headline and photograph prominence, describing him as having been "bent on getting his own way." The defendant denies all charges and has told the court the encounter was consensual throughout. The trial continues.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This one needs handling carefully, and the point is about reporting convention rather than the specifics of the case, which remains live and where the defendant is presumed innocent unless and until a jury decides otherwise. Standard UK court reporting practice allows prosecution and defence quotes to be published during a trial, and Metro's report does include the defendant's denials and his account of events. Nothing here is inaccurate reporting.</w:t>
      </w:r>
    </w:p>
    <w:p>
      <w:pPr>
        <w:spacing w:after="220"/>
      </w:pPr>
      <w:r>
        <w:rPr>
          <w:rFonts w:ascii="Georgia" w:cs="Georgia" w:eastAsia="Georgia" w:hAnsi="Georgia"/>
          <w:color w:val="242320"/>
          <w:sz w:val="23"/>
          <w:szCs w:val="23"/>
        </w:rPr>
        <w:t xml:space="preserve">What is worth noticing, separate from the facts of this specific case, is the structural gap between the presumption of innocence as a formal legal principle and the practical experience of reading about a live trial in a newspaper. The presumption of innocence governs what a jury is legally required to do. It does not govern headline construction, photograph selection, or which quotes get pulled into a standfirst versus buried in paragraph nine. A reader forms an impression well before a verdict exists, because the reporting is built, entirely lawfully, in a way that a courtroom drama is built: character, accusation, denial, tension, in that order. Chapter 12's discussion of the gap between what a rule says and how it actually functions in practice applies here too. The presumption of innocence is real as a legal instruction to a jury. Whether it survives as a lived public experience once a story has a headline attached to it is a separate question entirely, and one this book keeps returning to across contexts that have nothing to do with courts.</w:t>
      </w:r>
    </w:p>
    <w:p>
      <w:pPr>
        <w:spacing w:after="200" w:before="100"/>
      </w:pPr>
      <w:r>
        <w:rPr>
          <w:rFonts w:ascii="Georgia" w:cs="Georgia" w:eastAsia="Georgia" w:hAnsi="Georgia"/>
          <w:i/>
          <w:iCs/>
          <w:color w:val="242320"/>
          <w:sz w:val="20"/>
          <w:szCs w:val="20"/>
        </w:rPr>
        <w:t xml:space="preserve">This entry shows the gap between the presumption of innocence as a formal legal instruction to a jury and its practical survival once a live trial has a headline attached.</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https://citizenknowledge.theperformanceofobedience.co.uk/posts/06-court-reporting/</w:t>
      </w:r>
    </w:p>
    <w:p>
      <w:r>
        <w:br w:type="page"/>
      </w:r>
    </w:p>
    <w:tbl>
      <w:tblPr>
        <w:tblW w:type="pct" w:w="100%"/>
        <w:tblBorders>
          <w:top w:val="none" w:color="141412" w:sz="0"/>
          <w:left w:val="none" w:color="141412" w:sz="0"/>
          <w:bottom w:val="none" w:color="141412" w:sz="0"/>
          <w:right w:val="none" w:color="141412" w:sz="0"/>
          <w:insideH w:val="none" w:color="141412" w:sz="0"/>
          <w:insideV w:val="none" w:color="141412" w:sz="0"/>
        </w:tblBorders>
      </w:tblPr>
      <w:tblGrid>
        <w:gridCol w:w="100"/>
      </w:tblGrid>
      <w:tr>
        <w:tc>
          <w:tcPr>
            <w:shd w:fill="14141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 — DEEP READ ENTRY</w:t>
            </w:r>
          </w:p>
          <w:p>
            <w:r>
              <w:rPr>
                <w:rFonts w:ascii="Courier New" w:cs="Courier New" w:eastAsia="Courier New" w:hAnsi="Courier New"/>
                <w:b/>
                <w:bCs/>
                <w:color w:val="F7F5F0"/>
                <w:sz w:val="19"/>
                <w:szCs w:val="19"/>
              </w:rPr>
              <w:t xml:space="preserve">Part IV: Criminality and Control  →  Chapter 13: Discretion as Power  →  The Cost of Enforcement / The Appearance of Action</w:t>
            </w:r>
          </w:p>
        </w:tc>
      </w:tr>
    </w:tbl>
    <w:p>
      <w:pPr>
        <w:spacing w:after="40" w:before="220"/>
      </w:pPr>
      <w:r>
        <w:rPr>
          <w:rFonts w:ascii="Georgia" w:cs="Georgia" w:eastAsia="Georgia" w:hAnsi="Georgia"/>
          <w:b/>
          <w:bCs/>
          <w:color w:val="141412"/>
          <w:sz w:val="34"/>
          <w:szCs w:val="34"/>
        </w:rPr>
        <w:t xml:space="preserve">A pardon that confirms the system already knew</w:t>
      </w:r>
    </w:p>
    <w:p>
      <w:pPr>
        <w:spacing w:after="220"/>
      </w:pPr>
      <w:r>
        <w:rPr>
          <w:rFonts w:ascii="Georgia" w:cs="Georgia" w:eastAsia="Georgia" w:hAnsi="Georgia"/>
          <w:b/>
          <w:bCs/>
          <w:i/>
          <w:iCs/>
          <w:color w:val="141412"/>
          <w:sz w:val="20"/>
          <w:szCs w:val="20"/>
        </w:rPr>
        <w:t xml:space="preserve">Metro, Thursday 9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deputy PM David Lammy told MPs the King has granted a posthumous conditional pardon to Ruth Ellis, the last woman hanged in Britain, executed at HMP Holloway in July 1955 for shooting her lover David Blakely outside The Magdala pub in Hampstead. The pardon does not claim she was innocent, but replaces the death penalty finding with one of life imprisonment, formally acknowledging what Ellis's granddaughter has called sustained, brutal abuse. Jurors deliberated for just fifteen minutes in 1955, never hearing evidence of the abuse Blakely had subjected her to.</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 WITH THE MANUSCRIPT</w:t>
      </w:r>
    </w:p>
    <w:p>
      <w:pPr>
        <w:spacing w:after="220"/>
      </w:pPr>
      <w:r>
        <w:rPr>
          <w:rFonts w:ascii="Georgia" w:cs="Georgia" w:eastAsia="Georgia" w:hAnsi="Georgia"/>
          <w:color w:val="242320"/>
          <w:sz w:val="23"/>
          <w:szCs w:val="23"/>
        </w:rPr>
        <w:t xml:space="preserve">This story sits almost exactly inside the argument Chapter 13 makes about enforcement and its costs, specifically what happens once a system's machinery has already run.</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Where enforcement fails to reduce harm, the response is rarely to question the framework itself. Instead, enforcement is intensified, expanded, or rebranded… The system grows even when the problem does not shrink. — The Performance of Obedience, Ch. 13</w:t>
            </w:r>
          </w:p>
        </w:tc>
      </w:tr>
    </w:tbl>
    <w:p>
      <w:pPr>
        <w:spacing w:after="200" w:before="200"/>
      </w:pPr>
    </w:p>
    <w:p>
      <w:pPr>
        <w:spacing w:after="220"/>
      </w:pPr>
      <w:r>
        <w:rPr>
          <w:rFonts w:ascii="Georgia" w:cs="Georgia" w:eastAsia="Georgia" w:hAnsi="Georgia"/>
          <w:color w:val="242320"/>
          <w:sz w:val="23"/>
          <w:szCs w:val="23"/>
        </w:rPr>
        <w:t xml:space="preserve">Ruth Ellis's case shows what happens on the other side of that same machine, seventy-one years later, once its output can finally be examined against evidence the system itself refused to hear in fifteen minutes of deliberation. The manuscript's account of what enforcement actually optimises for explains why that evidence never surfaced at trial:</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Success reads upward, not outward… Enforcement gravitates toward what is manageable rather than what is meaningful. The system optimises for defensibility, not resolution. — The Performance of Obedience, Ch. 13</w:t>
            </w:r>
          </w:p>
        </w:tc>
      </w:tr>
    </w:tbl>
    <w:p>
      <w:pPr>
        <w:spacing w:after="200" w:before="200"/>
      </w:pPr>
    </w:p>
    <w:p>
      <w:pPr>
        <w:spacing w:after="220"/>
      </w:pPr>
      <w:r>
        <w:rPr>
          <w:rFonts w:ascii="Georgia" w:cs="Georgia" w:eastAsia="Georgia" w:hAnsi="Georgia"/>
          <w:color w:val="242320"/>
          <w:sz w:val="23"/>
          <w:szCs w:val="23"/>
        </w:rPr>
        <w:t xml:space="preserve">A fifteen-minute jury deliberation, in a capital case, with no admitted evidence of the sustained abuse Ellis had suffered, is exactly what a system optimised for defensibility rather than resolution looks like: it produced a verdict, cleanly and fast, that was procedurally defensible on the terms available to it, and morally indefensible on the terms that mattered.</w:t>
      </w:r>
    </w:p>
    <w:p>
      <w:pPr>
        <w:spacing w:after="220"/>
      </w:pPr>
      <w:r>
        <w:rPr>
          <w:rFonts w:ascii="Georgia" w:cs="Georgia" w:eastAsia="Georgia" w:hAnsi="Georgia"/>
          <w:color w:val="242320"/>
          <w:sz w:val="23"/>
          <w:szCs w:val="23"/>
        </w:rPr>
        <w:t xml:space="preserve">The book's discussion of symbolic acknowledgment, written about a different context but built for exactly this pattern, applies almost word for word to the pardon itself:</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 — The Performance of Obedience, Ch. 13</w:t>
            </w:r>
          </w:p>
        </w:tc>
      </w:tr>
    </w:tbl>
    <w:p>
      <w:pPr>
        <w:spacing w:after="200" w:before="200"/>
      </w:pPr>
    </w:p>
    <w:p>
      <w:pPr>
        <w:spacing w:after="220"/>
      </w:pPr>
      <w:r>
        <w:rPr>
          <w:rFonts w:ascii="Georgia" w:cs="Georgia" w:eastAsia="Georgia" w:hAnsi="Georgia"/>
          <w:color w:val="242320"/>
          <w:sz w:val="23"/>
          <w:szCs w:val="23"/>
        </w:rPr>
        <w:t xml:space="preserve">Lammy's own framing to Parliament makes this explicit rather than something the book has to infer: the pardon doesn't claim she was innocent, but is offered because the moment sends a message to the establishment. That is precisely the mechanism Chapter 13 names when discussing gestures that substitute for structural correction:</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The cost of this performance is rarely presented honestly. It is dispersed across budgets, departments, and years. It does not appear as a single decision, but as continuation of what already exists. — The Performance of Obedience, Ch. 13</w:t>
            </w:r>
          </w:p>
        </w:tc>
      </w:tr>
    </w:tbl>
    <w:p>
      <w:pPr>
        <w:spacing w:after="200" w:before="200"/>
      </w:pPr>
    </w:p>
    <w:p>
      <w:pPr>
        <w:spacing w:after="220"/>
      </w:pPr>
      <w:r>
        <w:rPr>
          <w:rFonts w:ascii="Georgia" w:cs="Georgia" w:eastAsia="Georgia" w:hAnsi="Georgia"/>
          <w:color w:val="242320"/>
          <w:sz w:val="23"/>
          <w:szCs w:val="23"/>
        </w:rPr>
        <w:t xml:space="preserve">The pardon corrects nothing about how domestic abuse evidence is weighed in criminal trials today; it closes one file from 1955. Ellis's granddaughter has said as much herself: this does not undo what happened 71 years ago. The book's own closing formulation for this exact type of institutional gesture applies directly:</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Trust erodes accordingly, not because officers are malicious, but because predictability disappears. — The Performance of Obedience, Ch. 13</w:t>
            </w:r>
          </w:p>
        </w:tc>
      </w:tr>
    </w:tbl>
    <w:p>
      <w:pPr>
        <w:spacing w:after="200" w:before="200"/>
      </w:pPr>
    </w:p>
    <w:p>
      <w:pPr>
        <w:spacing w:after="220"/>
      </w:pPr>
      <w:r>
        <w:rPr>
          <w:rFonts w:ascii="Georgia" w:cs="Georgia" w:eastAsia="Georgia" w:hAnsi="Georgia"/>
          <w:color w:val="242320"/>
          <w:sz w:val="23"/>
          <w:szCs w:val="23"/>
        </w:rPr>
        <w:t xml:space="preserve">A pardon, seventy-one years after the fact, restores nothing predictable about how such a case would be handled today. It only confirms, formally and belatedly, that the system already knew.</w:t>
      </w:r>
    </w:p>
    <w:p>
      <w:pPr>
        <w:spacing w:after="200" w:before="100"/>
      </w:pPr>
      <w:r>
        <w:rPr>
          <w:rFonts w:ascii="Georgia" w:cs="Georgia" w:eastAsia="Georgia" w:hAnsi="Georgia"/>
          <w:i/>
          <w:iCs/>
          <w:color w:val="242320"/>
          <w:sz w:val="20"/>
          <w:szCs w:val="20"/>
        </w:rPr>
        <w:t xml:space="preserve">This entry shows a symbolic gesture, offered seventy-one years after the fact, standing in for the structural correction it does not actually make.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https://citizenknowledge.theperformanceofobedience.co.uk/posts/07-ruth-ellis-pardon/</w:t>
      </w:r>
    </w:p>
    <w:p>
      <w:r>
        <w:br w:type="page"/>
      </w:r>
    </w:p>
    <w:tbl>
      <w:tblPr>
        <w:tblW w:type="pct" w:w="100%"/>
        <w:tblBorders>
          <w:top w:val="none" w:color="141412" w:sz="0"/>
          <w:left w:val="none" w:color="141412" w:sz="0"/>
          <w:bottom w:val="none" w:color="141412" w:sz="0"/>
          <w:right w:val="none" w:color="141412" w:sz="0"/>
          <w:insideH w:val="none" w:color="141412" w:sz="0"/>
          <w:insideV w:val="none" w:color="141412" w:sz="0"/>
        </w:tblBorders>
      </w:tblPr>
      <w:tblGrid>
        <w:gridCol w:w="100"/>
      </w:tblGrid>
      <w:tr>
        <w:tc>
          <w:tcPr>
            <w:shd w:fill="14141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 — DEEP READ ENTRY</w:t>
            </w:r>
          </w:p>
          <w:p>
            <w:r>
              <w:rPr>
                <w:rFonts w:ascii="Courier New" w:cs="Courier New" w:eastAsia="Courier New" w:hAnsi="Courier New"/>
                <w:b/>
                <w:bCs/>
                <w:color w:val="F7F5F0"/>
                <w:sz w:val="19"/>
                <w:szCs w:val="19"/>
              </w:rPr>
              <w:t xml:space="preserve">Part V: Withdrawal  →  Chapter 14: Symbolic Politics and the Maintenance of Appearances  →  Selective Enforcement and Visible Equality</w:t>
            </w:r>
          </w:p>
        </w:tc>
      </w:tr>
    </w:tbl>
    <w:p>
      <w:pPr>
        <w:spacing w:after="40" w:before="220"/>
      </w:pPr>
      <w:r>
        <w:rPr>
          <w:rFonts w:ascii="Georgia" w:cs="Georgia" w:eastAsia="Georgia" w:hAnsi="Georgia"/>
          <w:b/>
          <w:bCs/>
          <w:color w:val="141412"/>
          <w:sz w:val="34"/>
          <w:szCs w:val="34"/>
        </w:rPr>
        <w:t xml:space="preserve">Neutral on paper, selective in practice</w:t>
      </w:r>
    </w:p>
    <w:p>
      <w:pPr>
        <w:spacing w:after="220"/>
      </w:pPr>
      <w:r>
        <w:rPr>
          <w:rFonts w:ascii="Georgia" w:cs="Georgia" w:eastAsia="Georgia" w:hAnsi="Georgia"/>
          <w:b/>
          <w:bCs/>
          <w:i/>
          <w:iCs/>
          <w:color w:val="141412"/>
          <w:sz w:val="20"/>
          <w:szCs w:val="20"/>
        </w:rPr>
        <w:t xml:space="preserve">Metro, Thursday 9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Ukraine's sporting and political leaders have condemned a provisional decision by the International Olympic Committee to allow Russian athletes to compete at the Los Angeles 2028 Summer Games. Ukraine's foreign ministry called the decision troubling and urged host nations to maintain bans on Russian state symbols, noting the war against Ukraine continues under that flag. The National Olympic Committee of Ukraine called the move unjustified, noting more than 600 Ukrainian athletes and coaches have been killed by Russian forces during the invasion. IOC president Kirsty Coventry said the body does not condone wars, but that athletes should not pay the price.</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 WITH THE MANUSCRIPT</w:t>
      </w:r>
    </w:p>
    <w:p>
      <w:pPr>
        <w:spacing w:after="220"/>
      </w:pPr>
      <w:r>
        <w:rPr>
          <w:rFonts w:ascii="Georgia" w:cs="Georgia" w:eastAsia="Georgia" w:hAnsi="Georgia"/>
          <w:color w:val="242320"/>
          <w:sz w:val="23"/>
          <w:szCs w:val="23"/>
        </w:rPr>
        <w:t xml:space="preserve">Chapter 14's central case study is built around exactly this structure: a rule applied identically on paper while producing entirely different outcomes depending on who it lands on. The book's framing of that mechanism could be describing this story directly:</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The same notice is issued. The same legal process begins. The same enforcement language is used. Yet the practical outcome differs entirely depending upon who receives it. This matters because legitimacy depends not merely upon the existence of rules but upon public belief that those rules correspond meaningfully to the principles used to justify them. — The Performance of Obedience, Ch. 14</w:t>
            </w:r>
          </w:p>
        </w:tc>
      </w:tr>
    </w:tbl>
    <w:p>
      <w:pPr>
        <w:spacing w:after="200" w:before="200"/>
      </w:pPr>
    </w:p>
    <w:p>
      <w:pPr>
        <w:spacing w:after="220"/>
      </w:pPr>
      <w:r>
        <w:rPr>
          <w:rFonts w:ascii="Georgia" w:cs="Georgia" w:eastAsia="Georgia" w:hAnsi="Georgia"/>
          <w:color w:val="242320"/>
          <w:sz w:val="23"/>
          <w:szCs w:val="23"/>
        </w:rPr>
        <w:t xml:space="preserve">The IOC's own justification, that athletes should not pay the price for a war they didn't start, is a coherent, humane-sounding principle in isolation. But the manuscript's account of how symbolic language expands to cover institutional strain is relevant to exactly this kind of statement:</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When practical solutions are difficult, symbolic solutions become attractive… Statements become evidence of concern… Activity becomes evidence of progress. Whether the underlying problem is moving towards resolution becomes increasingly difficult to determine. — The Performance of Obedience, Ch. 14</w:t>
            </w:r>
          </w:p>
        </w:tc>
      </w:tr>
    </w:tbl>
    <w:p>
      <w:pPr>
        <w:spacing w:after="200" w:before="200"/>
      </w:pPr>
    </w:p>
    <w:p>
      <w:pPr>
        <w:spacing w:after="220"/>
      </w:pPr>
      <w:r>
        <w:rPr>
          <w:rFonts w:ascii="Georgia" w:cs="Georgia" w:eastAsia="Georgia" w:hAnsi="Georgia"/>
          <w:color w:val="242320"/>
          <w:sz w:val="23"/>
          <w:szCs w:val="23"/>
        </w:rPr>
        <w:t xml:space="preserve">Ukraine's objection isn't really about individual athletes' guilt, and the book's own account of why selective application corrodes legitimacy, even when each individual exemption sounds reasonable, explains why:</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The issue is not whether exemptions can be justified; many can. The issue is whether the language used to describe a system remains consistent with how that system actually functions. — The Performance of Obedience, Ch. 14</w:t>
            </w:r>
          </w:p>
        </w:tc>
      </w:tr>
    </w:tbl>
    <w:p>
      <w:pPr>
        <w:spacing w:after="200" w:before="200"/>
      </w:pPr>
    </w:p>
    <w:p>
      <w:pPr>
        <w:spacing w:after="220"/>
      </w:pPr>
      <w:r>
        <w:rPr>
          <w:rFonts w:ascii="Georgia" w:cs="Georgia" w:eastAsia="Georgia" w:hAnsi="Georgia"/>
          <w:color w:val="242320"/>
          <w:sz w:val="23"/>
          <w:szCs w:val="23"/>
        </w:rPr>
        <w:t xml:space="preserve">The IOC has consistently framed Olympic neutrality as a fixed, universal principle, sport standing apart from politics. Ukraine's foreign ministry response, that the war continues under that flag, is precisely the kind of public recognition the book describes as the endpoint of a credibility pattern, not a single decision:</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Trust rarely disappears because a single promise is broken. It erodes because a pattern becomes visible. Citizens learn to distinguish between activity and progress. — The Performance of Obedience, Ch. 14</w:t>
            </w:r>
          </w:p>
        </w:tc>
      </w:tr>
    </w:tbl>
    <w:p>
      <w:pPr>
        <w:spacing w:after="200" w:before="200"/>
      </w:pPr>
    </w:p>
    <w:p>
      <w:pPr>
        <w:spacing w:after="220"/>
      </w:pPr>
      <w:r>
        <w:rPr>
          <w:rFonts w:ascii="Georgia" w:cs="Georgia" w:eastAsia="Georgia" w:hAnsi="Georgia"/>
          <w:color w:val="242320"/>
          <w:sz w:val="23"/>
          <w:szCs w:val="23"/>
        </w:rPr>
        <w:t xml:space="preserve">Whether the IOC's position is defensible is a genuinely disputed question, and the book does not resolve contested moral questions for the reader. What it does track is the mechanism: an institution insisting its rules are neutral and universal, while the actual application of those rules depends on a judgement call about which violations disqualify and which don't, made by the same body that benefits from appearing consistent regardless of the answer.</w:t>
      </w:r>
    </w:p>
    <w:p>
      <w:pPr>
        <w:spacing w:after="200" w:before="100"/>
      </w:pPr>
      <w:r>
        <w:rPr>
          <w:rFonts w:ascii="Georgia" w:cs="Georgia" w:eastAsia="Georgia" w:hAnsi="Georgia"/>
          <w:i/>
          <w:iCs/>
          <w:color w:val="242320"/>
          <w:sz w:val="20"/>
          <w:szCs w:val="20"/>
        </w:rPr>
        <w:t xml:space="preserve">This entry shows a body insisting its rules are neutral and universal while their actual application depends on a judgement call made by the same body that benefits from appearing consistent.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https://citizenknowledge.theperformanceofobedience.co.uk/posts/08-ukraine-ioc-russia-ban/</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V: Withdrawal  →  Chapter 14: Symbolic Politics and the Maintenance of Appearances  →  Selective Enforcement and Visible Equality</w:t>
            </w:r>
          </w:p>
        </w:tc>
      </w:tr>
    </w:tbl>
    <w:p>
      <w:pPr>
        <w:spacing w:after="40" w:before="220"/>
      </w:pPr>
      <w:r>
        <w:rPr>
          <w:rFonts w:ascii="Georgia" w:cs="Georgia" w:eastAsia="Georgia" w:hAnsi="Georgia"/>
          <w:b/>
          <w:bCs/>
          <w:color w:val="141412"/>
          <w:sz w:val="34"/>
          <w:szCs w:val="34"/>
        </w:rPr>
        <w:t xml:space="preserve">The anti-establishment candidate, running against the establishment charge</w:t>
      </w:r>
    </w:p>
    <w:p>
      <w:pPr>
        <w:spacing w:after="220"/>
      </w:pPr>
      <w:r>
        <w:rPr>
          <w:rFonts w:ascii="Georgia" w:cs="Georgia" w:eastAsia="Georgia" w:hAnsi="Georgia"/>
          <w:b/>
          <w:bCs/>
          <w:i/>
          <w:iCs/>
          <w:color w:val="141412"/>
          <w:sz w:val="20"/>
          <w:szCs w:val="20"/>
        </w:rPr>
        <w:t xml:space="preserve">Metro, Friday 10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chancellor Rachel Reeves approved Nigel Farage's request to resign as an MP to trigger a by-election in Clacton, joking, "If he wants to spend summer arguing with a bin, I won't stop him." Farage is being investigated by the parliamentary standards commissioner over an undeclared £5million gift from a tycoon received before he became an MP in 2024, and has also faced pressure over reported support from a previously jailed fraudster. Despite this, he has dubbed the contest a "people versus the establishment" fight, telling GB News that a strong endorsement from voters would "send a big message to the establishment." The main Westminster parties are boycotting the race, leaving comedy candidate Count Binface as his highest-profile opponent, alongside a wildlife campaigner standing in a fox costume.</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Farage's campaign message depends on a specific self-positioning: he is the outsider, the establishment is everyone else, and the vote is a chance to reject it. That framing only survives if nobody looks too closely at who is actually standing where, and at what is happening to him procedurally while he says it. Here the candidate calling for a revolt against the establishment is simultaneously under a live parliamentary standards investigation into an undeclared multi-million-pound gift, and is being handed his by-election, and its timing, by the very institutional machinery, a chancellor's sign-off, a Crown steward appointment unused since 1842, that the "people versus the establishment" framing depends on erasing from view.</w:t>
      </w:r>
    </w:p>
    <w:p>
      <w:pPr>
        <w:spacing w:after="220"/>
      </w:pPr>
      <w:r>
        <w:rPr>
          <w:rFonts w:ascii="Georgia" w:cs="Georgia" w:eastAsia="Georgia" w:hAnsi="Georgia"/>
          <w:color w:val="242320"/>
          <w:sz w:val="23"/>
          <w:szCs w:val="23"/>
        </w:rPr>
        <w:t xml:space="preserve">The phrase Farage uses to describe a strong result, that it would "send a big message to the establishment," is worth sitting with, because it is close to identical in structure to language used elsewhere in this record to describe an act of symbolic institutional correction: a gesture that reads as significant, that generates coverage and reaction, and that changes nothing about the process running quietly underneath it. The Standards Commissioner inquiry does not pause because a by-election is more exciting than it, and Ms Reeves's approval of the resignation is itself an exercise of exactly the kind of discretionary establishment power the campaign message insists doesn't apply to Farage. The most establishment story here is the one being told as its opposite.</w:t>
      </w:r>
    </w:p>
    <w:p>
      <w:pPr>
        <w:spacing w:after="200" w:before="100"/>
      </w:pPr>
      <w:r>
        <w:rPr>
          <w:rFonts w:ascii="Georgia" w:cs="Georgia" w:eastAsia="Georgia" w:hAnsi="Georgia"/>
          <w:i/>
          <w:iCs/>
          <w:color w:val="242320"/>
          <w:sz w:val="20"/>
          <w:szCs w:val="20"/>
        </w:rPr>
        <w:t xml:space="preserve">This entry shows how a claim of outsider status depends on ignoring the discretionary institutional power actively shaping the same campaign.</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https://citizenknowledge.theperformanceofobedience.co.uk/posts/post-09-clacton-two-fox-race/</w:t>
      </w:r>
    </w:p>
    <w:p>
      <w:r>
        <w:br w:type="page"/>
      </w:r>
    </w:p>
    <w:tbl>
      <w:tblPr>
        <w:tblW w:type="pct" w:w="100%"/>
        <w:tblBorders>
          <w:top w:val="none" w:color="EDEBE5" w:sz="0"/>
          <w:left w:val="none" w:color="EDEBE5" w:sz="0"/>
          <w:bottom w:val="none" w:color="EDEBE5" w:sz="0"/>
          <w:right w:val="none" w:color="EDEBE5" w:sz="0"/>
          <w:insideH w:val="none" w:color="EDEBE5" w:sz="0"/>
          <w:insideV w:val="none" w:color="EDEBE5" w:sz="0"/>
        </w:tblBorders>
      </w:tblPr>
      <w:tblGrid>
        <w:gridCol w:w="100"/>
      </w:tblGrid>
      <w:tr>
        <w:tc>
          <w:tcPr>
            <w:shd w:fill="EDEBE5" w:val="clear"/>
            <w:tcMar>
              <w:top w:type="dxa" w:w="140"/>
              <w:left w:type="dxa" w:w="220"/>
              <w:bottom w:type="dxa" w:w="140"/>
              <w:right w:type="dxa" w:w="220"/>
            </w:tcMar>
          </w:tcPr>
          <w:p>
            <w:pPr>
              <w:spacing w:after="40"/>
            </w:pPr>
            <w:r>
              <w:rPr>
                <w:rFonts w:ascii="Courier New" w:cs="Courier New" w:eastAsia="Courier New" w:hAnsi="Courier New"/>
                <w:b/>
                <w:bCs/>
                <w:color w:val="242320"/>
                <w:spacing w:val="8"/>
                <w:sz w:val="16"/>
                <w:szCs w:val="16"/>
              </w:rPr>
              <w:t xml:space="preserve">MAPS TO THE PERFORMANCE OF OBEDIENCE — STANDARD ENTRY</w:t>
            </w:r>
          </w:p>
          <w:p>
            <w:r>
              <w:rPr>
                <w:rFonts w:ascii="Courier New" w:cs="Courier New" w:eastAsia="Courier New" w:hAnsi="Courier New"/>
                <w:b/>
                <w:bCs/>
                <w:color w:val="24232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The dogs got a day off. The prisoners did not.</w:t>
      </w:r>
    </w:p>
    <w:p>
      <w:pPr>
        <w:spacing w:after="220"/>
      </w:pPr>
      <w:r>
        <w:rPr>
          <w:rFonts w:ascii="Georgia" w:cs="Georgia" w:eastAsia="Georgia" w:hAnsi="Georgia"/>
          <w:b/>
          <w:bCs/>
          <w:i/>
          <w:iCs/>
          <w:color w:val="141412"/>
          <w:sz w:val="20"/>
          <w:szCs w:val="20"/>
        </w:rPr>
        <w:t xml:space="preserve">Metro, Friday 10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inmates at HMP Chelmsford say they were "tortured" rather than punished during June's heatwave, locked in cells reaching 35.6C for up to 22 hours a day with no ventilation and only an extra 330ml bottle of water, which they also had to use for washing since the showers ran only hot water. One mother said cooler clothes she dropped off for her son were not passed to him until after the heatwave had ended, because staff told her it was "too hot for the sniffer dogs to work." A 2021 inspection had already described the prison as being in a "state of near collapse," with staff frequently failing to respond to basic requests.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A working dog's welfare rule, that it shouldn't be made to work in extreme heat, was applied without apparent difficulty. The same institution failed to apply the equivalent standard of care to the human beings in its custody, some held well beyond their expected stay in a higher-category prison than intended, for weeks longer than planned. Nobody had to decide, in a single dramatic moment, that prisoners mattered less than dogs; the two decisions were made separately, by different parts of the same system, and the gap between them opened up simply because nobody was required to notice it as a single pattern.</w:t>
      </w:r>
    </w:p>
    <w:p>
      <w:pPr>
        <w:spacing w:after="220"/>
      </w:pPr>
      <w:r>
        <w:rPr>
          <w:rFonts w:ascii="Georgia" w:cs="Georgia" w:eastAsia="Georgia" w:hAnsi="Georgia"/>
          <w:color w:val="242320"/>
          <w:sz w:val="23"/>
          <w:szCs w:val="23"/>
        </w:rPr>
        <w:t xml:space="preserve">That is closer to how the book's account of discretion actually works than a story of deliberate cruelty would be. The rule protecting the dogs was followed because it was clear, specific, and easy to apply. The rule protecting prisoners from inhumane conditions is vaguer, harder to enforce, and depends on staff who, according to the mother quoted, showed "only limited empathy and care" for people they were nonetheless responsible for. An institution already flagged four years earlier as being in a state of near collapse does not need new intent to keep producing outcomes like this; it only needs the existing gap between clear rules and vague ones to keep being resolved the same way, in favour of whichever obligation is easiest to discharge.</w:t>
      </w:r>
    </w:p>
    <w:p>
      <w:pPr>
        <w:spacing w:after="200" w:before="100"/>
      </w:pPr>
      <w:r>
        <w:rPr>
          <w:rFonts w:ascii="Georgia" w:cs="Georgia" w:eastAsia="Georgia" w:hAnsi="Georgia"/>
          <w:i/>
          <w:iCs/>
          <w:color w:val="242320"/>
          <w:sz w:val="20"/>
          <w:szCs w:val="20"/>
        </w:rPr>
        <w:t xml:space="preserve">This entry shows discretion resolving itself the same way by default: a clear, specific welfare rule gets followed without difficulty, while a vaguer duty of care to people in custody quietly gives way, with no single decision or deliberate cruelty required.</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https://citizenknowledge.theperformanceofobedience.co.uk/posts/post-10-chelmsford-heatwave/</w:t>
      </w:r>
    </w:p>
    <w:p>
      <w:pPr>
        <w:pBdr>
          <w:top w:val="single" w:color="141412" w:sz="16" w:space="8"/>
        </w:pBdr>
        <w:spacing w:after="100" w:before="400"/>
      </w:pPr>
      <w:r>
        <w:rPr>
          <w:rFonts w:ascii="Georgia" w:cs="Georgia" w:eastAsia="Georgia" w:hAnsi="Georgia"/>
          <w:color w:val="242320"/>
          <w:sz w:val="20"/>
          <w:szCs w:val="20"/>
        </w:rPr>
        <w:t xml:space="preserve">That's everything published between Monday, 6 July 2026 and Sunday, 12 July 2026.</w:t>
      </w:r>
    </w:p>
    <w:p>
      <w:pPr>
        <w:spacing w:after="0"/>
      </w:pPr>
      <w:r>
        <w:rPr>
          <w:rFonts w:ascii="Courier New" w:cs="Courier New" w:eastAsia="Courier New" w:hAnsi="Courier New"/>
          <w:color w:val="7A2222"/>
          <w:sz w:val="18"/>
          <w:szCs w:val="18"/>
        </w:rPr>
        <w:t xml:space="preserve">https://citizenknowledge.theperformanceofobedience.co.uk — new entries most days.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B8B2A2"/>
        <w:sz w:val="16"/>
        <w:szCs w:val="16"/>
      </w:rPr>
      <w:t xml:space="preserve">Page </w:t>
    </w:r>
    <w:r>
      <w:rPr>
        <w:rFonts w:ascii="Courier New" w:cs="Courier New" w:eastAsia="Courier New" w:hAnsi="Courier New"/>
        <w:color w:val="B8B2A2"/>
        <w:sz w:val="16"/>
        <w:szCs w:val="16"/>
      </w:rPr>
      <w:fldChar w:fldCharType="begin"/>
      <w:instrText xml:space="preserve">PAGE</w:instrText>
      <w:fldChar w:fldCharType="separate"/>
      <w:fldChar w:fldCharType="end"/>
    </w:r>
    <w:r>
      <w:rPr>
        <w:rFonts w:ascii="Courier New" w:cs="Courier New" w:eastAsia="Courier New" w:hAnsi="Courier New"/>
        <w:color w:val="B8B2A2"/>
        <w:sz w:val="16"/>
        <w:szCs w:val="16"/>
      </w:rPr>
      <w:t xml:space="preserve"> of </w:t>
    </w:r>
    <w:r>
      <w:rPr>
        <w:rFonts w:ascii="Courier New" w:cs="Courier New" w:eastAsia="Courier New" w:hAnsi="Courier New"/>
        <w:color w:val="B8B2A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B8B2A2"/>
        <w:spacing w:val="6"/>
        <w:sz w:val="14"/>
        <w:szCs w:val="14"/>
      </w:rPr>
      <w:t xml:space="preserve">CITIZEN KNOWLEDGE — WEEKLY PRINT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2026-07-18T01:29:24.893Z</dcterms:created>
  <dcterms:modified xsi:type="dcterms:W3CDTF">2026-07-18T01:29:24.893Z</dcterms:modified>
</cp:coreProperties>
</file>

<file path=docProps/custom.xml><?xml version="1.0" encoding="utf-8"?>
<Properties xmlns="http://schemas.openxmlformats.org/officeDocument/2006/custom-properties" xmlns:vt="http://schemas.openxmlformats.org/officeDocument/2006/docPropsVTypes"/>
</file>