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0C40" w14:textId="77777777" w:rsidR="007F5F3B" w:rsidRDefault="00000000">
      <w:pPr>
        <w:spacing w:after="60"/>
      </w:pPr>
      <w:r>
        <w:rPr>
          <w:rFonts w:ascii="Courier New" w:eastAsia="Courier New" w:hAnsi="Courier New" w:cs="Courier New"/>
          <w:b/>
          <w:bCs/>
          <w:color w:val="7A2222"/>
          <w:spacing w:val="20"/>
        </w:rPr>
        <w:t>CITIZEN KNOWLEDGE</w:t>
      </w:r>
    </w:p>
    <w:p w14:paraId="30F0D6E8" w14:textId="77777777" w:rsidR="007F5F3B" w:rsidRDefault="00000000">
      <w:pPr>
        <w:pBdr>
          <w:bottom w:val="single" w:sz="24" w:space="8" w:color="141412"/>
        </w:pBdr>
        <w:spacing w:after="120"/>
      </w:pPr>
      <w:r>
        <w:rPr>
          <w:rFonts w:ascii="Georgia" w:eastAsia="Georgia" w:hAnsi="Georgia" w:cs="Georgia"/>
          <w:b/>
          <w:bCs/>
          <w:color w:val="141412"/>
          <w:sz w:val="56"/>
          <w:szCs w:val="56"/>
        </w:rPr>
        <w:t>This Week's Entries</w:t>
      </w:r>
    </w:p>
    <w:p w14:paraId="22714C16" w14:textId="77777777" w:rsidR="007F5F3B" w:rsidRDefault="00000000">
      <w:pPr>
        <w:spacing w:after="300"/>
      </w:pPr>
      <w:r>
        <w:rPr>
          <w:rFonts w:ascii="Georgia" w:eastAsia="Georgia" w:hAnsi="Georgia" w:cs="Georgia"/>
          <w:i/>
          <w:iCs/>
          <w:color w:val="242320"/>
          <w:sz w:val="24"/>
          <w:szCs w:val="24"/>
        </w:rPr>
        <w:t>Monday, 6 July 2026 — Sunday, 12 July 2026</w:t>
      </w:r>
    </w:p>
    <w:p w14:paraId="6F80BE9B" w14:textId="77777777" w:rsidR="007F5F3B" w:rsidRDefault="00000000">
      <w:pPr>
        <w:spacing w:after="160"/>
      </w:pPr>
      <w:r>
        <w:rPr>
          <w:rFonts w:ascii="Georgia" w:eastAsia="Georgia" w:hAnsi="Georgia" w:cs="Georgia"/>
          <w:color w:val="242320"/>
          <w:sz w:val="22"/>
          <w:szCs w:val="22"/>
        </w:rPr>
        <w:t>Citizen Knowledge is a companion project to a book called The Performance of Obedience: Legitimacy, Law, and the Systems We Pretend to Believe In, by Greg Lewis, currently with UK literary agents.</w:t>
      </w:r>
    </w:p>
    <w:p w14:paraId="391D3F9D" w14:textId="77777777" w:rsidR="007F5F3B" w:rsidRDefault="00000000">
      <w:pPr>
        <w:spacing w:after="160"/>
      </w:pPr>
      <w:r>
        <w:rPr>
          <w:rFonts w:ascii="Georgia" w:eastAsia="Georgia" w:hAnsi="Georgia" w:cs="Georgia"/>
          <w:color w:val="242320"/>
          <w:sz w:val="22"/>
          <w:szCs w:val="22"/>
        </w:rPr>
        <w:t xml:space="preserve">The book argues that selective enforcement — not consistent rule-following — is how modern institutions </w:t>
      </w:r>
      <w:proofErr w:type="gramStart"/>
      <w:r>
        <w:rPr>
          <w:rFonts w:ascii="Georgia" w:eastAsia="Georgia" w:hAnsi="Georgia" w:cs="Georgia"/>
          <w:color w:val="242320"/>
          <w:sz w:val="22"/>
          <w:szCs w:val="22"/>
        </w:rPr>
        <w:t>actually operate</w:t>
      </w:r>
      <w:proofErr w:type="gramEnd"/>
      <w:r>
        <w:rPr>
          <w:rFonts w:ascii="Georgia" w:eastAsia="Georgia" w:hAnsi="Georgia" w:cs="Georgia"/>
          <w:color w:val="242320"/>
          <w:sz w:val="22"/>
          <w:szCs w:val="22"/>
        </w:rPr>
        <w:t>: the same law, the same rule, the same process, applied differently depending on who it lands on. Citizen Knowledge takes ordinary daily news stories and maps each one against that argument, showing which part of the book's structure the story illustrates.</w:t>
      </w:r>
    </w:p>
    <w:p w14:paraId="321E34E4" w14:textId="77777777" w:rsidR="007F5F3B" w:rsidRDefault="00000000">
      <w:pPr>
        <w:spacing w:after="160"/>
      </w:pPr>
      <w:r>
        <w:rPr>
          <w:rFonts w:ascii="Georgia" w:eastAsia="Georgia" w:hAnsi="Georgia" w:cs="Georgia"/>
          <w:color w:val="242320"/>
          <w:sz w:val="22"/>
          <w:szCs w:val="22"/>
        </w:rPr>
        <w:t>This printout gathers everything published on the site this week into one document. Three kinds of entry may appear:</w:t>
      </w:r>
    </w:p>
    <w:p w14:paraId="4BDFD3E9"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Standard entries — </w:t>
      </w:r>
      <w:r>
        <w:rPr>
          <w:rFonts w:ascii="Georgia" w:eastAsia="Georgia" w:hAnsi="Georgia" w:cs="Georgia"/>
          <w:color w:val="242320"/>
          <w:sz w:val="22"/>
          <w:szCs w:val="22"/>
        </w:rPr>
        <w:t>a news story mapped to the book, in full.</w:t>
      </w:r>
    </w:p>
    <w:p w14:paraId="64D17D9D"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Deep Read entries — </w:t>
      </w:r>
      <w:r>
        <w:rPr>
          <w:rFonts w:ascii="Georgia" w:eastAsia="Georgia" w:hAnsi="Georgia" w:cs="Georgia"/>
          <w:color w:val="242320"/>
          <w:sz w:val="22"/>
          <w:szCs w:val="22"/>
        </w:rPr>
        <w:t>a fuller analysis that includes short excerpts from the manuscript itself, printed here in full rather than summarised.</w:t>
      </w:r>
    </w:p>
    <w:p w14:paraId="53CCE66C"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Briefs — </w:t>
      </w:r>
      <w:r>
        <w:rPr>
          <w:rFonts w:ascii="Georgia" w:eastAsia="Georgia" w:hAnsi="Georgia" w:cs="Georgia"/>
          <w:color w:val="242320"/>
          <w:sz w:val="22"/>
          <w:szCs w:val="22"/>
        </w:rPr>
        <w:t>a shorter-format entry, included here in full.</w:t>
      </w:r>
    </w:p>
    <w:p w14:paraId="76B096C5" w14:textId="77777777" w:rsidR="007F5F3B" w:rsidRDefault="007F5F3B">
      <w:pPr>
        <w:spacing w:before="240" w:after="100"/>
      </w:pPr>
    </w:p>
    <w:tbl>
      <w:tblPr>
        <w:tblW w:w="5000" w:type="pct"/>
        <w:tblBorders>
          <w:top w:val="single" w:sz="4" w:space="0" w:color="7A2222"/>
          <w:left w:val="single" w:sz="4" w:space="0" w:color="7A2222"/>
          <w:bottom w:val="single" w:sz="4" w:space="0" w:color="7A2222"/>
          <w:right w:val="single" w:sz="4"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96"/>
      </w:tblGrid>
      <w:tr w:rsidR="007F5F3B" w14:paraId="42F9C46A" w14:textId="77777777">
        <w:tblPrEx>
          <w:tblCellMar>
            <w:top w:w="0" w:type="dxa"/>
            <w:bottom w:w="0" w:type="dxa"/>
          </w:tblCellMar>
        </w:tblPrEx>
        <w:tc>
          <w:tcPr>
            <w:tcW w:w="0" w:type="auto"/>
            <w:shd w:val="clear" w:color="auto" w:fill="F1E3E0"/>
            <w:tcMar>
              <w:top w:w="200" w:type="dxa"/>
              <w:left w:w="260" w:type="dxa"/>
              <w:bottom w:w="200" w:type="dxa"/>
              <w:right w:w="260" w:type="dxa"/>
            </w:tcMar>
            <w:vAlign w:val="center"/>
          </w:tcPr>
          <w:p w14:paraId="6F950617" w14:textId="77777777" w:rsidR="007F5F3B" w:rsidRDefault="00000000">
            <w:pPr>
              <w:spacing w:after="100"/>
            </w:pPr>
            <w:r>
              <w:rPr>
                <w:rFonts w:ascii="Courier New" w:eastAsia="Courier New" w:hAnsi="Courier New" w:cs="Courier New"/>
                <w:b/>
                <w:bCs/>
                <w:color w:val="7A2222"/>
                <w:spacing w:val="10"/>
                <w:sz w:val="18"/>
                <w:szCs w:val="18"/>
              </w:rPr>
              <w:t>IF YOU'D LIKE TO TRY READING ONLINE</w:t>
            </w:r>
          </w:p>
          <w:p w14:paraId="43178A61" w14:textId="77777777" w:rsidR="007F5F3B" w:rsidRDefault="00000000">
            <w:pPr>
              <w:spacing w:after="100"/>
            </w:pPr>
            <w:r>
              <w:rPr>
                <w:rFonts w:ascii="Georgia" w:eastAsia="Georgia" w:hAnsi="Georgia" w:cs="Georgia"/>
                <w:color w:val="242320"/>
                <w:sz w:val="22"/>
                <w:szCs w:val="22"/>
              </w:rPr>
              <w:t>Every entry also lives permanently on the website, where you can browse the full archive and search by chapter:</w:t>
            </w:r>
          </w:p>
          <w:p w14:paraId="792485F9" w14:textId="77777777" w:rsidR="007F5F3B" w:rsidRDefault="00000000">
            <w:pPr>
              <w:spacing w:after="100"/>
            </w:pPr>
            <w:r>
              <w:rPr>
                <w:rFonts w:ascii="Courier New" w:eastAsia="Courier New" w:hAnsi="Courier New" w:cs="Courier New"/>
                <w:b/>
                <w:bCs/>
                <w:color w:val="141412"/>
                <w:sz w:val="22"/>
                <w:szCs w:val="22"/>
              </w:rPr>
              <w:t>https://citizenknowledge.theperformanceofobedience.co.uk</w:t>
            </w:r>
          </w:p>
          <w:p w14:paraId="0934A064" w14:textId="77777777" w:rsidR="007F5F3B" w:rsidRDefault="00000000">
            <w:r>
              <w:rPr>
                <w:rFonts w:ascii="Georgia" w:eastAsia="Georgia" w:hAnsi="Georgia" w:cs="Georgia"/>
                <w:color w:val="242320"/>
                <w:sz w:val="22"/>
                <w:szCs w:val="22"/>
              </w:rPr>
              <w:t>Type that address into any web browser (on a phone, tablet, or computer) to visit the site. If you'd like new entries sent to you by email automatically as they're published, there is a simple sign-up box on the site's homepage and About page — just enter your email address there.</w:t>
            </w:r>
          </w:p>
        </w:tc>
      </w:tr>
    </w:tbl>
    <w:p w14:paraId="02F0F72B" w14:textId="77777777" w:rsidR="007F5F3B" w:rsidRDefault="00000000">
      <w:pPr>
        <w:spacing w:after="200"/>
      </w:pPr>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12230EDF"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7146EC3C"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48E19BCE" w14:textId="77777777" w:rsidR="007F5F3B" w:rsidRDefault="00000000">
            <w:r>
              <w:rPr>
                <w:rFonts w:ascii="Courier New" w:eastAsia="Courier New" w:hAnsi="Courier New" w:cs="Courier New"/>
                <w:b/>
                <w:bCs/>
                <w:color w:val="242320"/>
                <w:sz w:val="19"/>
                <w:szCs w:val="19"/>
              </w:rPr>
              <w:t>Part I: When the Law Stops Meaning What It Says  →  Chapter 1: The Illusion of Law  →  Driving as the Soft Test</w:t>
            </w:r>
          </w:p>
        </w:tc>
      </w:tr>
    </w:tbl>
    <w:p w14:paraId="65FE3D1A" w14:textId="77777777" w:rsidR="007F5F3B" w:rsidRDefault="00000000">
      <w:pPr>
        <w:spacing w:before="220" w:after="40"/>
      </w:pPr>
      <w:r>
        <w:rPr>
          <w:rFonts w:ascii="Georgia" w:eastAsia="Georgia" w:hAnsi="Georgia" w:cs="Georgia"/>
          <w:b/>
          <w:bCs/>
          <w:color w:val="141412"/>
          <w:sz w:val="34"/>
          <w:szCs w:val="34"/>
        </w:rPr>
        <w:t>A nation of speed racers</w:t>
      </w:r>
    </w:p>
    <w:p w14:paraId="657B0235" w14:textId="77777777" w:rsidR="007F5F3B" w:rsidRDefault="00000000">
      <w:pPr>
        <w:spacing w:after="220"/>
      </w:pPr>
      <w:r>
        <w:rPr>
          <w:rFonts w:ascii="Georgia" w:eastAsia="Georgia" w:hAnsi="Georgia" w:cs="Georgia"/>
          <w:b/>
          <w:bCs/>
          <w:i/>
          <w:iCs/>
          <w:color w:val="141412"/>
        </w:rPr>
        <w:t>Metro, Wednesday 8 July 2026</w:t>
      </w:r>
    </w:p>
    <w:p w14:paraId="3B109D7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0774F15D" w14:textId="77777777" w:rsidR="007F5F3B" w:rsidRDefault="00000000">
      <w:pPr>
        <w:spacing w:after="240"/>
      </w:pPr>
      <w:r>
        <w:rPr>
          <w:rFonts w:ascii="Georgia" w:eastAsia="Georgia" w:hAnsi="Georgia" w:cs="Georgia"/>
          <w:color w:val="242320"/>
          <w:sz w:val="23"/>
          <w:szCs w:val="23"/>
        </w:rPr>
        <w:t>Metro reports RAC figures obtained through freedom of information requests to every UK police force: more than 30,000 drivers were caught doing 30mph or faster in 20mph zones last year. One driver was clocked at 89mph in a 20mph zone; another reached 114mph on a 30mph stretch. Speeds of 161mph were recorded on the A5 and M6. The RAC's own framing is that these figures reveal a nation "oblivious" to the risk, and it wants courts given power to fit anti-speed technology to offenders' vehicles.</w:t>
      </w:r>
    </w:p>
    <w:p w14:paraId="2C5C332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682466F7" w14:textId="77777777" w:rsidR="007F5F3B" w:rsidRDefault="00000000">
      <w:pPr>
        <w:spacing w:after="220"/>
      </w:pPr>
      <w:r>
        <w:rPr>
          <w:rFonts w:ascii="Georgia" w:eastAsia="Georgia" w:hAnsi="Georgia" w:cs="Georgia"/>
          <w:color w:val="242320"/>
          <w:sz w:val="23"/>
          <w:szCs w:val="23"/>
        </w:rPr>
        <w:t>The RAC's own explanation for these figures is that drivers are unaware of the risk. That explanation quietly does a lot of work, because it locates the problem in public ignorance rather than in the enforcement system itself. A speed limit is a rule stated in absolute terms: 20 means 20. In practice it functions as a threshold with graduated tolerance built in, where everyone, including the police, understands that the real enforcement line sits somewhere above the posted number. Nobody meaningfully expects a driver doing 22mph in a 20 zone to be stopped. That tolerance is not written down anywhere, but it is universally understood and factored into behaviour, which is exactly the mechanism Chapter 1 calls calibration, not rebellion: people are not breaking the rule so much as reading its real operating threshold and adjusting to it.</w:t>
      </w:r>
    </w:p>
    <w:p w14:paraId="578F0A37" w14:textId="77777777" w:rsidR="007F5F3B" w:rsidRDefault="00000000">
      <w:pPr>
        <w:spacing w:after="220"/>
      </w:pPr>
      <w:r>
        <w:rPr>
          <w:rFonts w:ascii="Georgia" w:eastAsia="Georgia" w:hAnsi="Georgia" w:cs="Georgia"/>
          <w:color w:val="242320"/>
          <w:sz w:val="23"/>
          <w:szCs w:val="23"/>
        </w:rPr>
        <w:t xml:space="preserve">What the 114mph and 161mph readings show is what happens at the far end of that same logic once the gap between stated rule and enforced rule becomes wide enough. If the posted limit were genuinely the operating limit, tolerance would not exist at all, and the graduated leniency that makes low-level speeding a non-event would not be available to normalise the far more extreme readings sitting in the same dataset. The RAC calling this obliviousness treats it as an information problem. Reading it as calibration treats it as what it </w:t>
      </w:r>
      <w:proofErr w:type="gramStart"/>
      <w:r>
        <w:rPr>
          <w:rFonts w:ascii="Georgia" w:eastAsia="Georgia" w:hAnsi="Georgia" w:cs="Georgia"/>
          <w:color w:val="242320"/>
          <w:sz w:val="23"/>
          <w:szCs w:val="23"/>
        </w:rPr>
        <w:t>actually is</w:t>
      </w:r>
      <w:proofErr w:type="gramEnd"/>
      <w:r>
        <w:rPr>
          <w:rFonts w:ascii="Georgia" w:eastAsia="Georgia" w:hAnsi="Georgia" w:cs="Georgia"/>
          <w:color w:val="242320"/>
          <w:sz w:val="23"/>
          <w:szCs w:val="23"/>
        </w:rPr>
        <w:t>: a rational response to a system that has never enforced its own stated terms consistently, and cannot then be surprised when some drivers extend that same calculation much further than the system intended.</w:t>
      </w:r>
    </w:p>
    <w:p w14:paraId="2587BCD2" w14:textId="77777777" w:rsidR="007F5F3B" w:rsidRDefault="00000000">
      <w:pPr>
        <w:spacing w:before="100" w:after="200"/>
      </w:pPr>
      <w:r>
        <w:rPr>
          <w:rFonts w:ascii="Georgia" w:eastAsia="Georgia" w:hAnsi="Georgia" w:cs="Georgia"/>
          <w:i/>
          <w:iCs/>
          <w:color w:val="242320"/>
        </w:rPr>
        <w:t>This entry shows calibration in action: a posted limit that everyone, including enforcers, treats as a threshold with built-in tolerance rather than an absolute rule.</w:t>
      </w:r>
    </w:p>
    <w:p w14:paraId="636379C9"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https://citizenknowledge.theperformanceofobedience.co.uk/posts/01-nation-of-speed-racers/</w:t>
      </w:r>
    </w:p>
    <w:p w14:paraId="7A440861"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372FA8AD"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1F0274D1"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C4827E7" w14:textId="77777777" w:rsidR="007F5F3B" w:rsidRDefault="00000000">
            <w:r>
              <w:rPr>
                <w:rFonts w:ascii="Courier New" w:eastAsia="Courier New" w:hAnsi="Courier New" w:cs="Courier New"/>
                <w:b/>
                <w:bCs/>
                <w:color w:val="242320"/>
                <w:sz w:val="19"/>
                <w:szCs w:val="19"/>
              </w:rPr>
              <w:t>Part V: Withdrawal  →  Chapter 14: Symbolic Politics and the Maintenance of Appearances  →  Selective Enforcement and Visible Equality</w:t>
            </w:r>
          </w:p>
        </w:tc>
      </w:tr>
    </w:tbl>
    <w:p w14:paraId="3A66D3EF" w14:textId="77777777" w:rsidR="007F5F3B" w:rsidRDefault="00000000">
      <w:pPr>
        <w:spacing w:before="220" w:after="40"/>
      </w:pPr>
      <w:r>
        <w:rPr>
          <w:rFonts w:ascii="Georgia" w:eastAsia="Georgia" w:hAnsi="Georgia" w:cs="Georgia"/>
          <w:b/>
          <w:bCs/>
          <w:color w:val="141412"/>
          <w:sz w:val="34"/>
          <w:szCs w:val="34"/>
        </w:rPr>
        <w:t>Politicians reaching into a system that claims neutrality</w:t>
      </w:r>
    </w:p>
    <w:p w14:paraId="15DD3E8F" w14:textId="77777777" w:rsidR="007F5F3B" w:rsidRDefault="00000000">
      <w:pPr>
        <w:spacing w:after="220"/>
      </w:pPr>
      <w:r>
        <w:rPr>
          <w:rFonts w:ascii="Georgia" w:eastAsia="Georgia" w:hAnsi="Georgia" w:cs="Georgia"/>
          <w:b/>
          <w:bCs/>
          <w:i/>
          <w:iCs/>
          <w:color w:val="141412"/>
        </w:rPr>
        <w:t>Metro, Wednesday 8 July 2026</w:t>
      </w:r>
    </w:p>
    <w:p w14:paraId="63B5B968"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4D96B33B" w14:textId="77777777" w:rsidR="007F5F3B" w:rsidRDefault="00000000">
      <w:pPr>
        <w:spacing w:after="240"/>
      </w:pPr>
      <w:r>
        <w:rPr>
          <w:rFonts w:ascii="Georgia" w:eastAsia="Georgia" w:hAnsi="Georgia" w:cs="Georgia"/>
          <w:color w:val="242320"/>
          <w:sz w:val="23"/>
          <w:szCs w:val="23"/>
        </w:rPr>
        <w:t>Metro reports that Belgium mocked Donald Trump after their 4-1 win over the US, in a match that followed Trump's intervention in a disciplinary decision. American player Folarin Balogun had received a one-match ban for a tackle against Bosnia Herzegovina; FIFA president Gianni Infantino admitted Trump called him over the ban, and it was subsequently overturned, only for Balogun to then be handed an automatic one-match ban for a full year. Belgium's players celebrated their victory by mimicking Trump's trademark dance moves.</w:t>
      </w:r>
    </w:p>
    <w:p w14:paraId="2966C037"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65E8D964" w14:textId="77777777" w:rsidR="007F5F3B" w:rsidRDefault="00000000">
      <w:pPr>
        <w:spacing w:after="220"/>
      </w:pPr>
      <w:r>
        <w:rPr>
          <w:rFonts w:ascii="Georgia" w:eastAsia="Georgia" w:hAnsi="Georgia" w:cs="Georgia"/>
          <w:color w:val="242320"/>
          <w:sz w:val="23"/>
          <w:szCs w:val="23"/>
        </w:rPr>
        <w:t>Chapter 14 uses a diplomatic parking debt ledger to show a specific mechanism: the same notice is issued, the same process begins, the same language of enforcement is used, and yet the outcome differs entirely depending on who receives it. This story is the same mechanism wearing a different uniform. A disciplinary panel exists specifically because football's governing bodies want the public to believe that on-pitch conduct is judged by consistent, depoliticised criteria, applied the same way to every player regardless of nationality or standing. That is the claim the system makes about itself.</w:t>
      </w:r>
    </w:p>
    <w:p w14:paraId="30E8C23F" w14:textId="77777777" w:rsidR="007F5F3B" w:rsidRDefault="00000000">
      <w:pPr>
        <w:spacing w:after="220"/>
      </w:pPr>
      <w:r>
        <w:rPr>
          <w:rFonts w:ascii="Georgia" w:eastAsia="Georgia" w:hAnsi="Georgia" w:cs="Georgia"/>
          <w:color w:val="242320"/>
          <w:sz w:val="23"/>
          <w:szCs w:val="23"/>
        </w:rPr>
        <w:t xml:space="preserve">What </w:t>
      </w:r>
      <w:proofErr w:type="gramStart"/>
      <w:r>
        <w:rPr>
          <w:rFonts w:ascii="Georgia" w:eastAsia="Georgia" w:hAnsi="Georgia" w:cs="Georgia"/>
          <w:color w:val="242320"/>
          <w:sz w:val="23"/>
          <w:szCs w:val="23"/>
        </w:rPr>
        <w:t>actually happened</w:t>
      </w:r>
      <w:proofErr w:type="gramEnd"/>
      <w:r>
        <w:rPr>
          <w:rFonts w:ascii="Georgia" w:eastAsia="Georgia" w:hAnsi="Georgia" w:cs="Georgia"/>
          <w:color w:val="242320"/>
          <w:sz w:val="23"/>
          <w:szCs w:val="23"/>
        </w:rPr>
        <w:t xml:space="preserve"> is that a head of state made a phone call and a suspension was reversed. Infantino confirming the call happened, rather than denying it, is arguably the more revealing detail than the reversal itself: the system did not even feel the need to disguise that political pressure had reached it. The subsequent one-year ban imposed on Balogun looks less like consistent enforcement and more like the institution trying to reassert, after the fact, that its process still means something. Nobody needs to believe there was a conspiracy here for the pattern to hold. It is simply what happens when informal power has a more direct route to an outcome than the formal process does, which is the same structural gap Chapter 14 traces through Congestion Charge enforcement: rules stay on the books unchanged, but who a rule </w:t>
      </w:r>
      <w:proofErr w:type="gramStart"/>
      <w:r>
        <w:rPr>
          <w:rFonts w:ascii="Georgia" w:eastAsia="Georgia" w:hAnsi="Georgia" w:cs="Georgia"/>
          <w:color w:val="242320"/>
          <w:sz w:val="23"/>
          <w:szCs w:val="23"/>
        </w:rPr>
        <w:t>actually binds</w:t>
      </w:r>
      <w:proofErr w:type="gramEnd"/>
      <w:r>
        <w:rPr>
          <w:rFonts w:ascii="Georgia" w:eastAsia="Georgia" w:hAnsi="Georgia" w:cs="Georgia"/>
          <w:color w:val="242320"/>
          <w:sz w:val="23"/>
          <w:szCs w:val="23"/>
        </w:rPr>
        <w:t xml:space="preserve"> turns out to depend on who is asking.</w:t>
      </w:r>
    </w:p>
    <w:p w14:paraId="6C70BA75" w14:textId="77777777" w:rsidR="007F5F3B" w:rsidRDefault="00000000">
      <w:pPr>
        <w:spacing w:before="100" w:after="200"/>
      </w:pPr>
      <w:r>
        <w:rPr>
          <w:rFonts w:ascii="Georgia" w:eastAsia="Georgia" w:hAnsi="Georgia" w:cs="Georgia"/>
          <w:i/>
          <w:iCs/>
          <w:color w:val="242320"/>
        </w:rPr>
        <w:t>This entry shows a supposedly neutral disciplinary process visibly reversed by informal political pressure, then re-asserted after the fact to preserve the appearance that the process still means something.</w:t>
      </w:r>
    </w:p>
    <w:p w14:paraId="3BAE16F6"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https://citizenknowledge.theperformanceofobedience.co.uk/posts/02-politicians-and-neutral-systems/</w:t>
      </w:r>
    </w:p>
    <w:p w14:paraId="20B3A9F8"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47392F38"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278C5754"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4DFEE8E3" w14:textId="77777777" w:rsidR="007F5F3B" w:rsidRDefault="00000000">
            <w:r>
              <w:rPr>
                <w:rFonts w:ascii="Courier New" w:eastAsia="Courier New" w:hAnsi="Courier New" w:cs="Courier New"/>
                <w:b/>
                <w:bCs/>
                <w:color w:val="242320"/>
                <w:sz w:val="19"/>
                <w:szCs w:val="19"/>
              </w:rPr>
              <w:t>Part III: Moral Inversion  →  Chapter 8: Work as Virtue, Poverty as Failure  →  Proximity and Moral Exemption</w:t>
            </w:r>
          </w:p>
        </w:tc>
      </w:tr>
    </w:tbl>
    <w:p w14:paraId="77D5609D" w14:textId="77777777" w:rsidR="007F5F3B" w:rsidRDefault="00000000">
      <w:pPr>
        <w:spacing w:before="220" w:after="40"/>
      </w:pPr>
      <w:r>
        <w:rPr>
          <w:rFonts w:ascii="Georgia" w:eastAsia="Georgia" w:hAnsi="Georgia" w:cs="Georgia"/>
          <w:b/>
          <w:bCs/>
          <w:color w:val="141412"/>
          <w:sz w:val="34"/>
          <w:szCs w:val="34"/>
        </w:rPr>
        <w:t>One coping mechanism sold, another quietly judged</w:t>
      </w:r>
    </w:p>
    <w:p w14:paraId="4FE86F1B" w14:textId="77777777" w:rsidR="007F5F3B" w:rsidRDefault="00000000">
      <w:pPr>
        <w:spacing w:after="220"/>
      </w:pPr>
      <w:r>
        <w:rPr>
          <w:rFonts w:ascii="Georgia" w:eastAsia="Georgia" w:hAnsi="Georgia" w:cs="Georgia"/>
          <w:b/>
          <w:bCs/>
          <w:i/>
          <w:iCs/>
          <w:color w:val="141412"/>
        </w:rPr>
        <w:t>Metro, Wednesday 8 July 2026</w:t>
      </w:r>
    </w:p>
    <w:p w14:paraId="22FB3341"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19EA134A" w14:textId="77777777" w:rsidR="007F5F3B" w:rsidRDefault="00000000">
      <w:pPr>
        <w:spacing w:after="240"/>
      </w:pPr>
      <w:r>
        <w:rPr>
          <w:rFonts w:ascii="Georgia" w:eastAsia="Georgia" w:hAnsi="Georgia" w:cs="Georgia"/>
          <w:color w:val="242320"/>
          <w:sz w:val="23"/>
          <w:szCs w:val="23"/>
        </w:rPr>
        <w:t>Metro covers the rise of "bring your baby" wine tastings, now running in London, Birmingham, and Nottingham, marketed explicitly at new parents as a few hours of adult time with a baby in arms. Organisers describe wanting to create a space where mothers in particular feel welcome rather than judged for wanting a glass of wine while caring for an infant. The article also notes, almost in passing, that babysitting for a few hours can cost more than the wine tasting itself.</w:t>
      </w:r>
    </w:p>
    <w:p w14:paraId="43F2CD15"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4B2783E" w14:textId="77777777" w:rsidR="007F5F3B" w:rsidRDefault="00000000">
      <w:pPr>
        <w:spacing w:after="220"/>
      </w:pPr>
      <w:r>
        <w:rPr>
          <w:rFonts w:ascii="Georgia" w:eastAsia="Georgia" w:hAnsi="Georgia" w:cs="Georgia"/>
          <w:color w:val="242320"/>
          <w:sz w:val="23"/>
          <w:szCs w:val="23"/>
        </w:rPr>
        <w:t>Chapter 8 uses the term proximity and moral exemption to describe how the same behaviour is read completely differently depending on who is doing it and in what setting, and this is a small, almost gentle example of exactly that mechanism. A parent drinking while solely responsible for an infant is, stripped of branding, the kind of behaviour that would draw concern in most other contexts. Packaged as a ticketed event with a sommelier, a curated flight, and a marketing line about parents deserving a break, it becomes a lifestyle product, something to be enjoyed and photographed rather than something to raise an eyebrow.</w:t>
      </w:r>
    </w:p>
    <w:p w14:paraId="5DBBC5A7" w14:textId="77777777" w:rsidR="007F5F3B" w:rsidRDefault="00000000">
      <w:pPr>
        <w:spacing w:after="220"/>
      </w:pPr>
      <w:r>
        <w:rPr>
          <w:rFonts w:ascii="Georgia" w:eastAsia="Georgia" w:hAnsi="Georgia" w:cs="Georgia"/>
          <w:color w:val="242320"/>
          <w:sz w:val="23"/>
          <w:szCs w:val="23"/>
        </w:rPr>
        <w:t xml:space="preserve">The article is not wrong that new parents are exhausted and under-supported; the organisers' instinct to create a welcoming space is a real and reasonable response to real isolation. What is worth noticing is what makes the difference between concern and marketing here: it is not the underlying behaviour, and it is not </w:t>
      </w:r>
      <w:proofErr w:type="gramStart"/>
      <w:r>
        <w:rPr>
          <w:rFonts w:ascii="Georgia" w:eastAsia="Georgia" w:hAnsi="Georgia" w:cs="Georgia"/>
          <w:color w:val="242320"/>
          <w:sz w:val="23"/>
          <w:szCs w:val="23"/>
        </w:rPr>
        <w:t>really about</w:t>
      </w:r>
      <w:proofErr w:type="gramEnd"/>
      <w:r>
        <w:rPr>
          <w:rFonts w:ascii="Georgia" w:eastAsia="Georgia" w:hAnsi="Georgia" w:cs="Georgia"/>
          <w:color w:val="242320"/>
          <w:sz w:val="23"/>
          <w:szCs w:val="23"/>
        </w:rPr>
        <w:t xml:space="preserve"> wine consumption at all. It is proximity to a socially legible identity, "parent doing something for themselves," that provides the exemption. The same gap runs through Chapter 8's wider argument about who gets treated as making an understandable, forgivable choice under strain, and who gets treated as a problem for the exact same choice, made under the exact same strain, without the right packaging around it.</w:t>
      </w:r>
    </w:p>
    <w:p w14:paraId="079A7D6D" w14:textId="77777777" w:rsidR="007F5F3B" w:rsidRDefault="00000000">
      <w:pPr>
        <w:spacing w:before="100" w:after="200"/>
      </w:pPr>
      <w:r>
        <w:rPr>
          <w:rFonts w:ascii="Georgia" w:eastAsia="Georgia" w:hAnsi="Georgia" w:cs="Georgia"/>
          <w:i/>
          <w:iCs/>
          <w:color w:val="242320"/>
        </w:rPr>
        <w:t>This entry shows how proximity to a socially legible identity converts a behaviour that would otherwise draw concern into a marketed lifestyle product.</w:t>
      </w:r>
    </w:p>
    <w:p w14:paraId="4CCA6556"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https://citizenknowledge.theperformanceofobedience.co.uk/posts/03-baby-wine-tastings/</w:t>
      </w:r>
    </w:p>
    <w:p w14:paraId="0B9E6A90"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292107A"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576AD361"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83C0B80" w14:textId="77777777" w:rsidR="007F5F3B" w:rsidRDefault="00000000">
            <w:r>
              <w:rPr>
                <w:rFonts w:ascii="Courier New" w:eastAsia="Courier New" w:hAnsi="Courier New" w:cs="Courier New"/>
                <w:b/>
                <w:bCs/>
                <w:color w:val="242320"/>
                <w:sz w:val="19"/>
                <w:szCs w:val="19"/>
              </w:rPr>
              <w:t>Part IV: Criminality and Control  →  Chapter 13: Discretion as Power  →  The Cost of Enforcement</w:t>
            </w:r>
          </w:p>
        </w:tc>
      </w:tr>
    </w:tbl>
    <w:p w14:paraId="688F167F" w14:textId="77777777" w:rsidR="007F5F3B" w:rsidRDefault="00000000">
      <w:pPr>
        <w:spacing w:before="220" w:after="40"/>
      </w:pPr>
      <w:r>
        <w:rPr>
          <w:rFonts w:ascii="Georgia" w:eastAsia="Georgia" w:hAnsi="Georgia" w:cs="Georgia"/>
          <w:b/>
          <w:bCs/>
          <w:color w:val="141412"/>
          <w:sz w:val="34"/>
          <w:szCs w:val="34"/>
        </w:rPr>
        <w:t>A ruling read as vindication, resting on delay rather than denial</w:t>
      </w:r>
    </w:p>
    <w:p w14:paraId="545F01D8" w14:textId="77777777" w:rsidR="007F5F3B" w:rsidRDefault="00000000">
      <w:pPr>
        <w:spacing w:after="220"/>
      </w:pPr>
      <w:r>
        <w:rPr>
          <w:rFonts w:ascii="Georgia" w:eastAsia="Georgia" w:hAnsi="Georgia" w:cs="Georgia"/>
          <w:b/>
          <w:bCs/>
          <w:i/>
          <w:iCs/>
          <w:color w:val="141412"/>
        </w:rPr>
        <w:t>Metro, Wednesday 8 July 2026</w:t>
      </w:r>
    </w:p>
    <w:p w14:paraId="5BD69109"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5186F0BE" w14:textId="77777777" w:rsidR="007F5F3B" w:rsidRDefault="00000000">
      <w:pPr>
        <w:spacing w:after="240"/>
      </w:pPr>
      <w:r>
        <w:rPr>
          <w:rFonts w:ascii="Georgia" w:eastAsia="Georgia" w:hAnsi="Georgia" w:cs="Georgia"/>
          <w:color w:val="242320"/>
          <w:sz w:val="23"/>
          <w:szCs w:val="23"/>
        </w:rPr>
        <w:t>Metro reports that Prince Harry lost his privacy case against Associated Newspapers, publisher of the Daily Mail, with the High Court dismissing all 97 claims brought by Harry and six others including Elton John and Elizabeth Hurley. Mr Justice Nicklin's judgment, running to more than 400 pages, found that many of the events dated back 20 or 30 years, which limited the evidence still available, and stated that memories had faded, in some cases entirely, with many documents no longer available. ANL's editor-in-chief called it "an overwhelming vindication" of the paper's journalism.</w:t>
      </w:r>
    </w:p>
    <w:p w14:paraId="40CE872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4E230296" w14:textId="77777777" w:rsidR="007F5F3B" w:rsidRDefault="00000000">
      <w:pPr>
        <w:spacing w:after="220"/>
      </w:pPr>
      <w:r>
        <w:rPr>
          <w:rFonts w:ascii="Georgia" w:eastAsia="Georgia" w:hAnsi="Georgia" w:cs="Georgia"/>
          <w:color w:val="242320"/>
          <w:sz w:val="23"/>
          <w:szCs w:val="23"/>
        </w:rPr>
        <w:t>The judgment turned substantially on delay: too much time had passed, memories had faded, and documentary evidence no longer existed in sufficient quantity to meet the evidential bar the claims required. That is a procedural finding about what could be proven this many years on, not a finding that the underlying conduct did not happen. The distinction matters, because it is being collapsed in the public reporting of the result almost immediately; a dismissal on evidential grounds is being read, and actively marketed by the winning side, as a vindication on the merits.</w:t>
      </w:r>
    </w:p>
    <w:p w14:paraId="3027092A" w14:textId="77777777" w:rsidR="007F5F3B" w:rsidRDefault="00000000">
      <w:pPr>
        <w:spacing w:after="220"/>
      </w:pPr>
      <w:r>
        <w:rPr>
          <w:rFonts w:ascii="Georgia" w:eastAsia="Georgia" w:hAnsi="Georgia" w:cs="Georgia"/>
          <w:color w:val="242320"/>
          <w:sz w:val="23"/>
          <w:szCs w:val="23"/>
        </w:rPr>
        <w:t xml:space="preserve">This is worth sitting with because it shows how a legal outcome and public belief about that outcome can diverge the moment a verdict lands, and how quickly the gap between the two gets papered over by whoever benefits from the simpler story. Chapter 13's broader argument about discretion and process applies here even though this is a civil case rather than an enforcement decision: legitimacy depends not just on a system reaching a defensible outcome, but on the public understanding what kind of outcome it </w:t>
      </w:r>
      <w:proofErr w:type="gramStart"/>
      <w:r>
        <w:rPr>
          <w:rFonts w:ascii="Georgia" w:eastAsia="Georgia" w:hAnsi="Georgia" w:cs="Georgia"/>
          <w:color w:val="242320"/>
          <w:sz w:val="23"/>
          <w:szCs w:val="23"/>
        </w:rPr>
        <w:t>actually reached</w:t>
      </w:r>
      <w:proofErr w:type="gramEnd"/>
      <w:r>
        <w:rPr>
          <w:rFonts w:ascii="Georgia" w:eastAsia="Georgia" w:hAnsi="Georgia" w:cs="Georgia"/>
          <w:color w:val="242320"/>
          <w:sz w:val="23"/>
          <w:szCs w:val="23"/>
        </w:rPr>
        <w:t>. "The claims were dismissed because time had eroded the evidence" and "the claims were false" are very different findings. Only one of them happened. The other is the one being repeated in headlines, and once repeated enough, will likely become the version of events that persists.</w:t>
      </w:r>
    </w:p>
    <w:p w14:paraId="64974D79" w14:textId="77777777" w:rsidR="007F5F3B" w:rsidRDefault="00000000">
      <w:pPr>
        <w:spacing w:before="100" w:after="200"/>
      </w:pPr>
      <w:r>
        <w:rPr>
          <w:rFonts w:ascii="Georgia" w:eastAsia="Georgia" w:hAnsi="Georgia" w:cs="Georgia"/>
          <w:i/>
          <w:iCs/>
          <w:color w:val="242320"/>
        </w:rPr>
        <w:t>This entry shows how a dismissal on evidential grounds is publicly repackaged as a finding on the merits, collapsing two very different outcomes into one convenient story.</w:t>
      </w:r>
    </w:p>
    <w:p w14:paraId="1B840429"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https://citizenknowledge.theperformanceofobedience.co.uk/posts/04-harry-privacy-case/</w:t>
      </w:r>
    </w:p>
    <w:p w14:paraId="32A04D45"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1CD9B3E4"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4AC128A2"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6F409D26" w14:textId="77777777" w:rsidR="007F5F3B" w:rsidRDefault="00000000">
            <w:r>
              <w:rPr>
                <w:rFonts w:ascii="Courier New" w:eastAsia="Courier New" w:hAnsi="Courier New" w:cs="Courier New"/>
                <w:b/>
                <w:bCs/>
                <w:color w:val="242320"/>
                <w:sz w:val="19"/>
                <w:szCs w:val="19"/>
              </w:rPr>
              <w:t>Part IV: Criminality and Control  →  Chapter 13: Discretion as Power  →  Cost Without Resolution</w:t>
            </w:r>
          </w:p>
        </w:tc>
      </w:tr>
    </w:tbl>
    <w:p w14:paraId="66D6F9AF" w14:textId="77777777" w:rsidR="007F5F3B" w:rsidRDefault="00000000">
      <w:pPr>
        <w:spacing w:before="220" w:after="40"/>
      </w:pPr>
      <w:r>
        <w:rPr>
          <w:rFonts w:ascii="Georgia" w:eastAsia="Georgia" w:hAnsi="Georgia" w:cs="Georgia"/>
          <w:b/>
          <w:bCs/>
          <w:color w:val="141412"/>
          <w:sz w:val="34"/>
          <w:szCs w:val="34"/>
        </w:rPr>
        <w:t>Capability existing for decades before it is applied</w:t>
      </w:r>
    </w:p>
    <w:p w14:paraId="60358FD4" w14:textId="77777777" w:rsidR="007F5F3B" w:rsidRDefault="00000000">
      <w:pPr>
        <w:spacing w:after="220"/>
      </w:pPr>
      <w:r>
        <w:rPr>
          <w:rFonts w:ascii="Georgia" w:eastAsia="Georgia" w:hAnsi="Georgia" w:cs="Georgia"/>
          <w:b/>
          <w:bCs/>
          <w:i/>
          <w:iCs/>
          <w:color w:val="141412"/>
        </w:rPr>
        <w:t>Metro, Wednesday 8 July 2026</w:t>
      </w:r>
    </w:p>
    <w:p w14:paraId="01DBAF61"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63E3DD46" w14:textId="77777777" w:rsidR="007F5F3B" w:rsidRDefault="00000000">
      <w:pPr>
        <w:spacing w:after="240"/>
      </w:pPr>
      <w:r>
        <w:rPr>
          <w:rFonts w:ascii="Georgia" w:eastAsia="Georgia" w:hAnsi="Georgia" w:cs="Georgia"/>
          <w:color w:val="242320"/>
          <w:sz w:val="23"/>
          <w:szCs w:val="23"/>
        </w:rPr>
        <w:t>Metro reports that a man has been jailed for 18 years after Metropolitan Police detectives used forensic techniques to solve a cold case. David Pearce, 70, admitted seven sex offences dating back 36 years. In 1990, he lured children into a changing area at a lido in Barking and touched them inappropriately; when the children, as young as eight, reported it, DNA from semen recovered at the time did not match anyone then on the police database. The case sat unresolved for decades until DNA matching technology and an expanded database eventually produced a match, also linking him to a separate assault on a 13-year-old in 1996.</w:t>
      </w:r>
    </w:p>
    <w:p w14:paraId="37ACB9B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85EB3C4" w14:textId="77777777" w:rsidR="007F5F3B" w:rsidRDefault="00000000">
      <w:pPr>
        <w:spacing w:after="220"/>
      </w:pPr>
      <w:r>
        <w:rPr>
          <w:rFonts w:ascii="Georgia" w:eastAsia="Georgia" w:hAnsi="Georgia" w:cs="Georgia"/>
          <w:color w:val="242320"/>
          <w:sz w:val="23"/>
          <w:szCs w:val="23"/>
        </w:rPr>
        <w:t>The forensic sample was taken in 1990. The technology and database needed to use it properly did not exist yet, or were not adequate, for over three decades. That gap is presented, understandably, as a good news story: justice delayed but ultimately delivered, technology finally closing a case that had sat open since before some of the officers who solved it were born. It is a good outcome for the specific victims involved, and worth being clear about that.</w:t>
      </w:r>
    </w:p>
    <w:p w14:paraId="64236F2C" w14:textId="77777777" w:rsidR="007F5F3B" w:rsidRDefault="00000000">
      <w:pPr>
        <w:spacing w:after="220"/>
      </w:pPr>
      <w:r>
        <w:rPr>
          <w:rFonts w:ascii="Georgia" w:eastAsia="Georgia" w:hAnsi="Georgia" w:cs="Georgia"/>
          <w:color w:val="242320"/>
          <w:sz w:val="23"/>
          <w:szCs w:val="23"/>
        </w:rPr>
        <w:t>But the more uncomfortable question the story does not ask is what an 18-year sentence, arriving 36 years after the offending began, means for everyone the technology gap failed to protect in between. The capability existed in some partial form for most of that period; it simply had not been built out, funded, or connected to a large enough database to be useful yet. Chapter 13's discussion of enforcement cost without resolution is about exactly this kind of gap: not an absence of tools, but tools that exist in principle while sitting unused or underused in practice, for reasons that are rarely about whether the crime matters enough to solve. The dormant capability is not morally neutral just because it eventually got used. Thirty-six years is also thirty-six years of a working system that, on the specific facts of this case, was not actually working.</w:t>
      </w:r>
    </w:p>
    <w:p w14:paraId="3E6CC653" w14:textId="77777777" w:rsidR="007F5F3B" w:rsidRDefault="00000000">
      <w:pPr>
        <w:spacing w:before="100" w:after="200"/>
      </w:pPr>
      <w:r>
        <w:rPr>
          <w:rFonts w:ascii="Georgia" w:eastAsia="Georgia" w:hAnsi="Georgia" w:cs="Georgia"/>
          <w:i/>
          <w:iCs/>
          <w:color w:val="242320"/>
        </w:rPr>
        <w:t>This entry shows enforcement capability existing in dormant, underfunded form for decades, illustrating that a tool's eventual use does not make its long absence morally neutral.</w:t>
      </w:r>
    </w:p>
    <w:p w14:paraId="6E0121B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https://citizenknowledge.theperformanceofobedience.co.uk/posts/05-cold-case-forensics/</w:t>
      </w:r>
    </w:p>
    <w:p w14:paraId="3C78235B"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946C45C"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67F12FD9"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2AC59736" w14:textId="77777777" w:rsidR="007F5F3B" w:rsidRDefault="00000000">
            <w:r>
              <w:rPr>
                <w:rFonts w:ascii="Courier New" w:eastAsia="Courier New" w:hAnsi="Courier New" w:cs="Courier New"/>
                <w:b/>
                <w:bCs/>
                <w:color w:val="242320"/>
                <w:sz w:val="19"/>
                <w:szCs w:val="19"/>
              </w:rPr>
              <w:t>Part IV: Criminality and Control  →  Chapter 12: Illegal, Illicit, and Ignored  →  The Gap Between Law and Practice</w:t>
            </w:r>
          </w:p>
        </w:tc>
      </w:tr>
    </w:tbl>
    <w:p w14:paraId="2AE80425" w14:textId="77777777" w:rsidR="007F5F3B" w:rsidRDefault="00000000">
      <w:pPr>
        <w:spacing w:before="220" w:after="40"/>
      </w:pPr>
      <w:r>
        <w:rPr>
          <w:rFonts w:ascii="Georgia" w:eastAsia="Georgia" w:hAnsi="Georgia" w:cs="Georgia"/>
          <w:b/>
          <w:bCs/>
          <w:color w:val="141412"/>
          <w:sz w:val="34"/>
          <w:szCs w:val="34"/>
        </w:rPr>
        <w:t>Reporting a live trial in a way that primes a verdict before one exists</w:t>
      </w:r>
    </w:p>
    <w:p w14:paraId="21F3C9B3" w14:textId="77777777" w:rsidR="007F5F3B" w:rsidRDefault="00000000">
      <w:pPr>
        <w:spacing w:after="220"/>
      </w:pPr>
      <w:r>
        <w:rPr>
          <w:rFonts w:ascii="Georgia" w:eastAsia="Georgia" w:hAnsi="Georgia" w:cs="Georgia"/>
          <w:b/>
          <w:bCs/>
          <w:i/>
          <w:iCs/>
          <w:color w:val="141412"/>
        </w:rPr>
        <w:t>Metro, Wednesday 8 July 2026</w:t>
      </w:r>
    </w:p>
    <w:p w14:paraId="208D8BBB"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71364525" w14:textId="77777777" w:rsidR="007F5F3B" w:rsidRDefault="00000000">
      <w:pPr>
        <w:spacing w:after="240"/>
      </w:pPr>
      <w:r>
        <w:rPr>
          <w:rFonts w:ascii="Georgia" w:eastAsia="Georgia" w:hAnsi="Georgia" w:cs="Georgia"/>
          <w:color w:val="242320"/>
          <w:sz w:val="23"/>
          <w:szCs w:val="23"/>
        </w:rPr>
        <w:t>Metro's court report on the trial of an actor facing rape and sexual assault charges leads with prosecution cross-examination quotes given full headline and photograph prominence, describing him as having been "bent on getting his own way." The defendant denies all charges and has told the court the encounter was consensual throughout. The trial continues.</w:t>
      </w:r>
    </w:p>
    <w:p w14:paraId="4A078FD5"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1F25ADBB" w14:textId="77777777" w:rsidR="007F5F3B" w:rsidRDefault="00000000">
      <w:pPr>
        <w:spacing w:after="220"/>
      </w:pPr>
      <w:proofErr w:type="gramStart"/>
      <w:r>
        <w:rPr>
          <w:rFonts w:ascii="Georgia" w:eastAsia="Georgia" w:hAnsi="Georgia" w:cs="Georgia"/>
          <w:color w:val="242320"/>
          <w:sz w:val="23"/>
          <w:szCs w:val="23"/>
        </w:rPr>
        <w:t>This one needs</w:t>
      </w:r>
      <w:proofErr w:type="gramEnd"/>
      <w:r>
        <w:rPr>
          <w:rFonts w:ascii="Georgia" w:eastAsia="Georgia" w:hAnsi="Georgia" w:cs="Georgia"/>
          <w:color w:val="242320"/>
          <w:sz w:val="23"/>
          <w:szCs w:val="23"/>
        </w:rPr>
        <w:t xml:space="preserve"> handling carefully, and the point is about reporting convention rather than the specifics of the case, which remains live and where the defendant is presumed innocent unless and until a jury decides otherwise. Standard UK court reporting practice allows prosecution and defence quotes to be published during a trial, and Metro's report does include the defendant's denials and his account of events. Nothing here is inaccurate reporting.</w:t>
      </w:r>
    </w:p>
    <w:p w14:paraId="0386A020" w14:textId="77777777" w:rsidR="007F5F3B" w:rsidRDefault="00000000">
      <w:pPr>
        <w:spacing w:after="220"/>
      </w:pPr>
      <w:r>
        <w:rPr>
          <w:rFonts w:ascii="Georgia" w:eastAsia="Georgia" w:hAnsi="Georgia" w:cs="Georgia"/>
          <w:color w:val="242320"/>
          <w:sz w:val="23"/>
          <w:szCs w:val="23"/>
        </w:rPr>
        <w:t xml:space="preserve">What is worth noticing, separate from the facts of this specific case, is the structural gap between the presumption of innocence as a formal legal principle and the practical experience of reading about a live trial in a newspaper. The presumption of innocence governs what a jury is legally required to do. It does not govern headline construction, photograph selection, or which quotes get pulled into a standfirst versus buried in paragraph nine. A reader forms an impression well before a verdict exists, because the reporting is built, entirely lawfully, in a way that a courtroom drama is </w:t>
      </w:r>
      <w:proofErr w:type="gramStart"/>
      <w:r>
        <w:rPr>
          <w:rFonts w:ascii="Georgia" w:eastAsia="Georgia" w:hAnsi="Georgia" w:cs="Georgia"/>
          <w:color w:val="242320"/>
          <w:sz w:val="23"/>
          <w:szCs w:val="23"/>
        </w:rPr>
        <w:t>built:</w:t>
      </w:r>
      <w:proofErr w:type="gramEnd"/>
      <w:r>
        <w:rPr>
          <w:rFonts w:ascii="Georgia" w:eastAsia="Georgia" w:hAnsi="Georgia" w:cs="Georgia"/>
          <w:color w:val="242320"/>
          <w:sz w:val="23"/>
          <w:szCs w:val="23"/>
        </w:rPr>
        <w:t xml:space="preserve"> character, accusation, denial, tension, in that order. Chapter 12's discussion of the gap between what a rule says and how it </w:t>
      </w:r>
      <w:proofErr w:type="gramStart"/>
      <w:r>
        <w:rPr>
          <w:rFonts w:ascii="Georgia" w:eastAsia="Georgia" w:hAnsi="Georgia" w:cs="Georgia"/>
          <w:color w:val="242320"/>
          <w:sz w:val="23"/>
          <w:szCs w:val="23"/>
        </w:rPr>
        <w:t>actually functions</w:t>
      </w:r>
      <w:proofErr w:type="gramEnd"/>
      <w:r>
        <w:rPr>
          <w:rFonts w:ascii="Georgia" w:eastAsia="Georgia" w:hAnsi="Georgia" w:cs="Georgia"/>
          <w:color w:val="242320"/>
          <w:sz w:val="23"/>
          <w:szCs w:val="23"/>
        </w:rPr>
        <w:t xml:space="preserve"> in practice applies here too. The presumption of innocence is real as a legal instruction to a jury. Whether it survives as a lived public experience once a story has a headline attached to it is a separate question entirely, and one this book keeps returning to across contexts that have nothing to do with courts.</w:t>
      </w:r>
    </w:p>
    <w:p w14:paraId="5EB9A026" w14:textId="77777777" w:rsidR="007F5F3B" w:rsidRDefault="00000000">
      <w:pPr>
        <w:spacing w:before="100" w:after="200"/>
      </w:pPr>
      <w:r>
        <w:rPr>
          <w:rFonts w:ascii="Georgia" w:eastAsia="Georgia" w:hAnsi="Georgia" w:cs="Georgia"/>
          <w:i/>
          <w:iCs/>
          <w:color w:val="242320"/>
        </w:rPr>
        <w:t>This entry shows the gap between the presumption of innocence as a formal legal instruction to a jury and its practical survival once a live trial has a headline attached.</w:t>
      </w:r>
    </w:p>
    <w:p w14:paraId="1241B84F"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https://citizenknowledge.theperformanceofobedience.co.uk/posts/06-court-reporting/</w:t>
      </w:r>
    </w:p>
    <w:p w14:paraId="7E4874C1" w14:textId="77777777" w:rsidR="007F5F3B" w:rsidRDefault="00000000">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000" w:firstRow="0" w:lastRow="0" w:firstColumn="0" w:lastColumn="0" w:noHBand="0" w:noVBand="0"/>
      </w:tblPr>
      <w:tblGrid>
        <w:gridCol w:w="9706"/>
      </w:tblGrid>
      <w:tr w:rsidR="007F5F3B" w14:paraId="1354C082" w14:textId="77777777">
        <w:tblPrEx>
          <w:tblCellMar>
            <w:top w:w="0" w:type="dxa"/>
            <w:bottom w:w="0" w:type="dxa"/>
          </w:tblCellMar>
        </w:tblPrEx>
        <w:tc>
          <w:tcPr>
            <w:tcW w:w="0" w:type="auto"/>
            <w:shd w:val="clear" w:color="auto" w:fill="141412"/>
            <w:tcMar>
              <w:top w:w="140" w:type="dxa"/>
              <w:left w:w="220" w:type="dxa"/>
              <w:bottom w:w="140" w:type="dxa"/>
              <w:right w:w="220" w:type="dxa"/>
            </w:tcMar>
          </w:tcPr>
          <w:p w14:paraId="3CB409F2" w14:textId="77777777" w:rsidR="007F5F3B" w:rsidRDefault="00000000">
            <w:pPr>
              <w:spacing w:after="40"/>
            </w:pPr>
            <w:r>
              <w:rPr>
                <w:rFonts w:ascii="Courier New" w:eastAsia="Courier New" w:hAnsi="Courier New" w:cs="Courier New"/>
                <w:b/>
                <w:bCs/>
                <w:color w:val="F7F5F0"/>
                <w:spacing w:val="8"/>
                <w:sz w:val="16"/>
                <w:szCs w:val="16"/>
              </w:rPr>
              <w:lastRenderedPageBreak/>
              <w:t>MAPS TO THE PERFORMANCE OF OBEDIENCE — DEEP READ ENTRY</w:t>
            </w:r>
          </w:p>
          <w:p w14:paraId="61EE703D" w14:textId="77777777" w:rsidR="007F5F3B" w:rsidRDefault="00000000">
            <w:r>
              <w:rPr>
                <w:rFonts w:ascii="Courier New" w:eastAsia="Courier New" w:hAnsi="Courier New" w:cs="Courier New"/>
                <w:b/>
                <w:bCs/>
                <w:color w:val="F7F5F0"/>
                <w:sz w:val="19"/>
                <w:szCs w:val="19"/>
              </w:rPr>
              <w:t>Part IV: Criminality and Control  →  Chapter 13: Discretion as Power  →  The Cost of Enforcement / The Appearance of Action</w:t>
            </w:r>
          </w:p>
        </w:tc>
      </w:tr>
    </w:tbl>
    <w:p w14:paraId="356A07BB" w14:textId="77777777" w:rsidR="007F5F3B" w:rsidRDefault="00000000">
      <w:pPr>
        <w:spacing w:before="220" w:after="40"/>
      </w:pPr>
      <w:r>
        <w:rPr>
          <w:rFonts w:ascii="Georgia" w:eastAsia="Georgia" w:hAnsi="Georgia" w:cs="Georgia"/>
          <w:b/>
          <w:bCs/>
          <w:color w:val="141412"/>
          <w:sz w:val="34"/>
          <w:szCs w:val="34"/>
        </w:rPr>
        <w:t>A pardon that confirms the system already knew</w:t>
      </w:r>
    </w:p>
    <w:p w14:paraId="3FB755DE" w14:textId="77777777" w:rsidR="007F5F3B" w:rsidRDefault="00000000">
      <w:pPr>
        <w:spacing w:after="220"/>
      </w:pPr>
      <w:r>
        <w:rPr>
          <w:rFonts w:ascii="Georgia" w:eastAsia="Georgia" w:hAnsi="Georgia" w:cs="Georgia"/>
          <w:b/>
          <w:bCs/>
          <w:i/>
          <w:iCs/>
          <w:color w:val="141412"/>
        </w:rPr>
        <w:t>Metro, Thursday 9 July 2026</w:t>
      </w:r>
    </w:p>
    <w:p w14:paraId="776603A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1FA828D8" w14:textId="77777777" w:rsidR="007F5F3B" w:rsidRDefault="00000000">
      <w:pPr>
        <w:spacing w:after="240"/>
      </w:pPr>
      <w:r>
        <w:rPr>
          <w:rFonts w:ascii="Georgia" w:eastAsia="Georgia" w:hAnsi="Georgia" w:cs="Georgia"/>
          <w:color w:val="242320"/>
          <w:sz w:val="23"/>
          <w:szCs w:val="23"/>
        </w:rPr>
        <w:t>Metro reports that deputy PM David Lammy told MPs the King has granted a posthumous conditional pardon to Ruth Ellis, the last woman hanged in Britain, executed at HMP Holloway in July 1955 for shooting her lover David Blakely outside The Magdala pub in Hampstead. The pardon does not claim she was innocent, but replaces the death penalty finding with one of life imprisonment, formally acknowledging what Ellis's granddaughter has called sustained, brutal abuse. Jurors deliberated for just fifteen minutes in 1955, never hearing evidence of the abuse Blakely had subjected her to.</w:t>
      </w:r>
    </w:p>
    <w:p w14:paraId="1133990C"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03832C24" w14:textId="77777777" w:rsidR="007F5F3B" w:rsidRDefault="00000000">
      <w:pPr>
        <w:spacing w:after="220"/>
      </w:pPr>
      <w:r>
        <w:rPr>
          <w:rFonts w:ascii="Georgia" w:eastAsia="Georgia" w:hAnsi="Georgia" w:cs="Georgia"/>
          <w:color w:val="242320"/>
          <w:sz w:val="23"/>
          <w:szCs w:val="23"/>
        </w:rPr>
        <w:t>This story sits almost exactly inside the argument Chapter 13 makes about enforcement and its costs, specifically what happens once a system's machinery has already run.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061B42D8"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5A411F31"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F568AE6" w14:textId="77777777" w:rsidR="007F5F3B" w:rsidRDefault="00000000">
            <w:r>
              <w:rPr>
                <w:rFonts w:ascii="Georgia" w:eastAsia="Georgia" w:hAnsi="Georgia" w:cs="Georgia"/>
                <w:i/>
                <w:iCs/>
                <w:color w:val="141412"/>
                <w:sz w:val="22"/>
                <w:szCs w:val="22"/>
              </w:rPr>
              <w:t>Where enforcement fails to reduce harm, the response is rarely to question the framework itself. Instead, enforcement is intensified, expanded, or rebranded… The system grows even when the problem does not shrink. — The Performance of Obedience, Ch. 13</w:t>
            </w:r>
          </w:p>
        </w:tc>
      </w:tr>
    </w:tbl>
    <w:p w14:paraId="5EE00F2A" w14:textId="77777777" w:rsidR="007F5F3B" w:rsidRDefault="007F5F3B">
      <w:pPr>
        <w:spacing w:before="200" w:after="200"/>
      </w:pPr>
    </w:p>
    <w:p w14:paraId="54B2AF06" w14:textId="77777777" w:rsidR="007F5F3B" w:rsidRDefault="00000000">
      <w:pPr>
        <w:spacing w:after="220"/>
      </w:pPr>
      <w:r>
        <w:rPr>
          <w:rFonts w:ascii="Georgia" w:eastAsia="Georgia" w:hAnsi="Georgia" w:cs="Georgia"/>
          <w:color w:val="242320"/>
          <w:sz w:val="23"/>
          <w:szCs w:val="23"/>
        </w:rPr>
        <w:t xml:space="preserve">Ruth Ellis's case shows what happens on the other side of that same machine, seventy-one years later, once its output can finally be examined against evidence the system itself refused to hear in fifteen minutes of deliberation. The manuscript's account of what enforcement </w:t>
      </w:r>
      <w:proofErr w:type="gramStart"/>
      <w:r>
        <w:rPr>
          <w:rFonts w:ascii="Georgia" w:eastAsia="Georgia" w:hAnsi="Georgia" w:cs="Georgia"/>
          <w:color w:val="242320"/>
          <w:sz w:val="23"/>
          <w:szCs w:val="23"/>
        </w:rPr>
        <w:t>actually optimises</w:t>
      </w:r>
      <w:proofErr w:type="gramEnd"/>
      <w:r>
        <w:rPr>
          <w:rFonts w:ascii="Georgia" w:eastAsia="Georgia" w:hAnsi="Georgia" w:cs="Georgia"/>
          <w:color w:val="242320"/>
          <w:sz w:val="23"/>
          <w:szCs w:val="23"/>
        </w:rPr>
        <w:t xml:space="preserve"> for explains why that evidence never surfaced at trial:</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7E509A22"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65F1612E"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82A000B" w14:textId="77777777" w:rsidR="007F5F3B" w:rsidRDefault="00000000">
            <w:r>
              <w:rPr>
                <w:rFonts w:ascii="Georgia" w:eastAsia="Georgia" w:hAnsi="Georgia" w:cs="Georgia"/>
                <w:i/>
                <w:iCs/>
                <w:color w:val="141412"/>
                <w:sz w:val="22"/>
                <w:szCs w:val="22"/>
              </w:rPr>
              <w:t>Success reads upward, not outward… Enforcement gravitates toward what is manageable rather than what is meaningful. The system optimises for defensibility, not resolution. — The Performance of Obedience, Ch. 13</w:t>
            </w:r>
          </w:p>
        </w:tc>
      </w:tr>
    </w:tbl>
    <w:p w14:paraId="7535F92B" w14:textId="77777777" w:rsidR="007F5F3B" w:rsidRDefault="007F5F3B">
      <w:pPr>
        <w:spacing w:before="200" w:after="200"/>
      </w:pPr>
    </w:p>
    <w:p w14:paraId="32A4D956" w14:textId="77777777" w:rsidR="007F5F3B" w:rsidRDefault="00000000">
      <w:pPr>
        <w:spacing w:after="220"/>
      </w:pPr>
      <w:r>
        <w:rPr>
          <w:rFonts w:ascii="Georgia" w:eastAsia="Georgia" w:hAnsi="Georgia" w:cs="Georgia"/>
          <w:color w:val="242320"/>
          <w:sz w:val="23"/>
          <w:szCs w:val="23"/>
        </w:rPr>
        <w:t>A fifteen-minute jury deliberation, in a capital case, with no admitted evidence of the sustained abuse Ellis had suffered, is exactly what a system optimised for defensibility rather than resolution looks like: it produced a verdict, cleanly and fast, that was procedurally defensible on the terms available to it, and morally indefensible on the terms that mattered.</w:t>
      </w:r>
    </w:p>
    <w:p w14:paraId="793295AD" w14:textId="77777777" w:rsidR="007F5F3B" w:rsidRDefault="00000000">
      <w:pPr>
        <w:spacing w:after="220"/>
      </w:pPr>
      <w:r>
        <w:rPr>
          <w:rFonts w:ascii="Georgia" w:eastAsia="Georgia" w:hAnsi="Georgia" w:cs="Georgia"/>
          <w:color w:val="242320"/>
          <w:sz w:val="23"/>
          <w:szCs w:val="23"/>
        </w:rPr>
        <w:t>The book's discussion of symbolic acknowledgment, written about a different context but built for exactly this pattern, applies almost word for word to the pardon itself:</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7EE477C"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24A4FB18"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68419B43" w14:textId="77777777" w:rsidR="007F5F3B" w:rsidRDefault="00000000">
            <w:r>
              <w:rPr>
                <w:rFonts w:ascii="Georgia" w:eastAsia="Georgia" w:hAnsi="Georgia" w:cs="Georgia"/>
                <w:i/>
                <w:iCs/>
                <w:color w:val="141412"/>
                <w:sz w:val="22"/>
                <w:szCs w:val="22"/>
              </w:rPr>
              <w:t>Enforcement also performs a symbolic function… They create the impression of control even when underlying conditions remain unchanged. This appearance is politically valuable. It deflects responsibility, absorbs public anxiety, and postpones more difficult questions about systemic causes. — The Performance of Obedience, Ch. 13</w:t>
            </w:r>
          </w:p>
        </w:tc>
      </w:tr>
    </w:tbl>
    <w:p w14:paraId="4B393A56" w14:textId="77777777" w:rsidR="007F5F3B" w:rsidRDefault="007F5F3B">
      <w:pPr>
        <w:spacing w:before="200" w:after="200"/>
      </w:pPr>
    </w:p>
    <w:p w14:paraId="6D7FCA5C" w14:textId="77777777" w:rsidR="007F5F3B" w:rsidRDefault="00000000">
      <w:pPr>
        <w:spacing w:after="220"/>
      </w:pPr>
      <w:r>
        <w:rPr>
          <w:rFonts w:ascii="Georgia" w:eastAsia="Georgia" w:hAnsi="Georgia" w:cs="Georgia"/>
          <w:color w:val="242320"/>
          <w:sz w:val="23"/>
          <w:szCs w:val="23"/>
        </w:rPr>
        <w:t xml:space="preserve">Lammy's own framing to Parliament makes this explicit rather than something the book </w:t>
      </w:r>
      <w:proofErr w:type="gramStart"/>
      <w:r>
        <w:rPr>
          <w:rFonts w:ascii="Georgia" w:eastAsia="Georgia" w:hAnsi="Georgia" w:cs="Georgia"/>
          <w:color w:val="242320"/>
          <w:sz w:val="23"/>
          <w:szCs w:val="23"/>
        </w:rPr>
        <w:t>has to</w:t>
      </w:r>
      <w:proofErr w:type="gramEnd"/>
      <w:r>
        <w:rPr>
          <w:rFonts w:ascii="Georgia" w:eastAsia="Georgia" w:hAnsi="Georgia" w:cs="Georgia"/>
          <w:color w:val="242320"/>
          <w:sz w:val="23"/>
          <w:szCs w:val="23"/>
        </w:rPr>
        <w:t xml:space="preserve"> infer: the pardon doesn't claim she was innocent, but is offered because the moment sends a message to the establishment. That is precisely the mechanism Chapter 13 names when discussing gestures that substitute for structural correction: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DFED21C"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5A831272"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1679653" w14:textId="77777777" w:rsidR="007F5F3B" w:rsidRDefault="00000000">
            <w:r>
              <w:rPr>
                <w:rFonts w:ascii="Georgia" w:eastAsia="Georgia" w:hAnsi="Georgia" w:cs="Georgia"/>
                <w:i/>
                <w:iCs/>
                <w:color w:val="141412"/>
                <w:sz w:val="22"/>
                <w:szCs w:val="22"/>
              </w:rPr>
              <w:t>The cost of this performance is rarely presented honestly. It is dispersed across budgets, departments, and years. It does not appear as a single decision, but as continuation of what already exists. — The Performance of Obedience, Ch. 13</w:t>
            </w:r>
          </w:p>
        </w:tc>
      </w:tr>
    </w:tbl>
    <w:p w14:paraId="23CF3BA3" w14:textId="77777777" w:rsidR="007F5F3B" w:rsidRDefault="007F5F3B">
      <w:pPr>
        <w:spacing w:before="200" w:after="200"/>
      </w:pPr>
    </w:p>
    <w:p w14:paraId="602FB048" w14:textId="77777777" w:rsidR="007F5F3B" w:rsidRDefault="00000000">
      <w:pPr>
        <w:spacing w:after="220"/>
      </w:pPr>
      <w:r>
        <w:rPr>
          <w:rFonts w:ascii="Georgia" w:eastAsia="Georgia" w:hAnsi="Georgia" w:cs="Georgia"/>
          <w:color w:val="242320"/>
          <w:sz w:val="23"/>
          <w:szCs w:val="23"/>
        </w:rPr>
        <w:t>The pardon corrects nothing about how domestic abuse evidence is weighed in criminal trials today; it closes one file from 1955. Ellis's granddaughter has said as much herself: this does not undo what happened 71 years ago. The book's own closing formulation for this exact type of institutional gesture applies directly: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4EC9A43"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208AB2B8"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3F6FA4A" w14:textId="77777777" w:rsidR="007F5F3B" w:rsidRDefault="00000000">
            <w:r>
              <w:rPr>
                <w:rFonts w:ascii="Georgia" w:eastAsia="Georgia" w:hAnsi="Georgia" w:cs="Georgia"/>
                <w:i/>
                <w:iCs/>
                <w:color w:val="141412"/>
                <w:sz w:val="22"/>
                <w:szCs w:val="22"/>
              </w:rPr>
              <w:t>Trust erodes accordingly, not because officers are malicious, but because predictability disappears. — The Performance of Obedience, Ch. 13</w:t>
            </w:r>
          </w:p>
        </w:tc>
      </w:tr>
    </w:tbl>
    <w:p w14:paraId="73E6CAB6" w14:textId="77777777" w:rsidR="007F5F3B" w:rsidRDefault="007F5F3B">
      <w:pPr>
        <w:spacing w:before="200" w:after="200"/>
      </w:pPr>
    </w:p>
    <w:p w14:paraId="77FBA82B" w14:textId="77777777" w:rsidR="007F5F3B" w:rsidRDefault="00000000">
      <w:pPr>
        <w:spacing w:after="220"/>
      </w:pPr>
      <w:r>
        <w:rPr>
          <w:rFonts w:ascii="Georgia" w:eastAsia="Georgia" w:hAnsi="Georgia" w:cs="Georgia"/>
          <w:color w:val="242320"/>
          <w:sz w:val="23"/>
          <w:szCs w:val="23"/>
        </w:rPr>
        <w:t>A pardon, seventy-one years after the fact, restores nothing predictable about how such a case would be handled today. It only confirms, formally and belatedly, that the system already knew.</w:t>
      </w:r>
    </w:p>
    <w:p w14:paraId="0C6F63CC" w14:textId="77777777" w:rsidR="007F5F3B" w:rsidRDefault="00000000">
      <w:pPr>
        <w:spacing w:before="100" w:after="200"/>
      </w:pPr>
      <w:r>
        <w:rPr>
          <w:rFonts w:ascii="Georgia" w:eastAsia="Georgia" w:hAnsi="Georgia" w:cs="Georgia"/>
          <w:i/>
          <w:iCs/>
          <w:color w:val="242320"/>
        </w:rPr>
        <w:t>This entry shows a symbolic gesture, offered seventy-one years after the fact, standing in for the structural correction it does not actually make.</w:t>
      </w:r>
    </w:p>
    <w:p w14:paraId="28544B6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https://citizenknowledge.theperformanceofobedience.co.uk/posts/07-ruth-ellis-pardon/</w:t>
      </w:r>
    </w:p>
    <w:p w14:paraId="44DE3E8F" w14:textId="77777777" w:rsidR="007F5F3B" w:rsidRDefault="00000000">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000" w:firstRow="0" w:lastRow="0" w:firstColumn="0" w:lastColumn="0" w:noHBand="0" w:noVBand="0"/>
      </w:tblPr>
      <w:tblGrid>
        <w:gridCol w:w="9706"/>
      </w:tblGrid>
      <w:tr w:rsidR="007F5F3B" w14:paraId="7FA0B237" w14:textId="77777777">
        <w:tblPrEx>
          <w:tblCellMar>
            <w:top w:w="0" w:type="dxa"/>
            <w:bottom w:w="0" w:type="dxa"/>
          </w:tblCellMar>
        </w:tblPrEx>
        <w:tc>
          <w:tcPr>
            <w:tcW w:w="0" w:type="auto"/>
            <w:shd w:val="clear" w:color="auto" w:fill="141412"/>
            <w:tcMar>
              <w:top w:w="140" w:type="dxa"/>
              <w:left w:w="220" w:type="dxa"/>
              <w:bottom w:w="140" w:type="dxa"/>
              <w:right w:w="220" w:type="dxa"/>
            </w:tcMar>
          </w:tcPr>
          <w:p w14:paraId="1D12C300" w14:textId="77777777" w:rsidR="007F5F3B" w:rsidRDefault="00000000">
            <w:pPr>
              <w:spacing w:after="40"/>
            </w:pPr>
            <w:r>
              <w:rPr>
                <w:rFonts w:ascii="Courier New" w:eastAsia="Courier New" w:hAnsi="Courier New" w:cs="Courier New"/>
                <w:b/>
                <w:bCs/>
                <w:color w:val="F7F5F0"/>
                <w:spacing w:val="8"/>
                <w:sz w:val="16"/>
                <w:szCs w:val="16"/>
              </w:rPr>
              <w:lastRenderedPageBreak/>
              <w:t>MAPS TO THE PERFORMANCE OF OBEDIENCE — DEEP READ ENTRY</w:t>
            </w:r>
          </w:p>
          <w:p w14:paraId="73CFA2AD" w14:textId="77777777" w:rsidR="007F5F3B" w:rsidRDefault="00000000">
            <w:r>
              <w:rPr>
                <w:rFonts w:ascii="Courier New" w:eastAsia="Courier New" w:hAnsi="Courier New" w:cs="Courier New"/>
                <w:b/>
                <w:bCs/>
                <w:color w:val="F7F5F0"/>
                <w:sz w:val="19"/>
                <w:szCs w:val="19"/>
              </w:rPr>
              <w:t>Part V: Withdrawal  →  Chapter 14: Symbolic Politics and the Maintenance of Appearances  →  Selective Enforcement and Visible Equality</w:t>
            </w:r>
          </w:p>
        </w:tc>
      </w:tr>
    </w:tbl>
    <w:p w14:paraId="52E1F36C" w14:textId="77777777" w:rsidR="007F5F3B" w:rsidRDefault="00000000">
      <w:pPr>
        <w:spacing w:before="220" w:after="40"/>
      </w:pPr>
      <w:r>
        <w:rPr>
          <w:rFonts w:ascii="Georgia" w:eastAsia="Georgia" w:hAnsi="Georgia" w:cs="Georgia"/>
          <w:b/>
          <w:bCs/>
          <w:color w:val="141412"/>
          <w:sz w:val="34"/>
          <w:szCs w:val="34"/>
        </w:rPr>
        <w:t>Neutral on paper, selective in practice</w:t>
      </w:r>
    </w:p>
    <w:p w14:paraId="4144516C" w14:textId="77777777" w:rsidR="007F5F3B" w:rsidRDefault="00000000">
      <w:pPr>
        <w:spacing w:after="220"/>
      </w:pPr>
      <w:r>
        <w:rPr>
          <w:rFonts w:ascii="Georgia" w:eastAsia="Georgia" w:hAnsi="Georgia" w:cs="Georgia"/>
          <w:b/>
          <w:bCs/>
          <w:i/>
          <w:iCs/>
          <w:color w:val="141412"/>
        </w:rPr>
        <w:t>Metro, Thursday 9 July 2026</w:t>
      </w:r>
    </w:p>
    <w:p w14:paraId="74F4783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61B5E4D2" w14:textId="77777777" w:rsidR="007F5F3B" w:rsidRDefault="00000000">
      <w:pPr>
        <w:spacing w:after="240"/>
      </w:pPr>
      <w:r>
        <w:rPr>
          <w:rFonts w:ascii="Georgia" w:eastAsia="Georgia" w:hAnsi="Georgia" w:cs="Georgia"/>
          <w:color w:val="242320"/>
          <w:sz w:val="23"/>
          <w:szCs w:val="23"/>
        </w:rPr>
        <w:t>Metro reports that Ukraine's sporting and political leaders have condemned a provisional decision by the International Olympic Committee to allow Russian athletes to compete at the Los Angeles 2028 Summer Games. Ukraine's foreign ministry called the decision troubling and urged host nations to maintain bans on Russian state symbols, noting the war against Ukraine continues under that flag. The National Olympic Committee of Ukraine called the move unjustified, noting more than 600 Ukrainian athletes and coaches have been killed by Russian forces during the invasion. IOC president Kirsty Coventry said the body does not condone wars, but that athletes should not pay the price.</w:t>
      </w:r>
    </w:p>
    <w:p w14:paraId="1A1847B3"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308357B9" w14:textId="77777777" w:rsidR="007F5F3B" w:rsidRDefault="00000000">
      <w:pPr>
        <w:spacing w:after="220"/>
      </w:pPr>
      <w:r>
        <w:rPr>
          <w:rFonts w:ascii="Georgia" w:eastAsia="Georgia" w:hAnsi="Georgia" w:cs="Georgia"/>
          <w:color w:val="242320"/>
          <w:sz w:val="23"/>
          <w:szCs w:val="23"/>
        </w:rPr>
        <w:t>Chapter 14's central case study is built around exactly this structure: a rule applied identically on paper while producing entirely different outcomes depending on who it lands on. The book's framing of that mechanism could be describing this story directly: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B7B9BF3"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39C928CD"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52F1D15" w14:textId="77777777" w:rsidR="007F5F3B" w:rsidRDefault="00000000">
            <w:r>
              <w:rPr>
                <w:rFonts w:ascii="Georgia" w:eastAsia="Georgia" w:hAnsi="Georgia" w:cs="Georgia"/>
                <w:i/>
                <w:iCs/>
                <w:color w:val="141412"/>
                <w:sz w:val="22"/>
                <w:szCs w:val="22"/>
              </w:rPr>
              <w:t>The same notice is issued. The same legal process begins. The same enforcement language is used. Yet the practical outcome differs entirely depending upon who receives it. This matters because legitimacy depends not merely upon the existence of rules but upon public belief that those rules correspond meaningfully to the principles used to justify them. — The Performance of Obedience, Ch. 14</w:t>
            </w:r>
          </w:p>
        </w:tc>
      </w:tr>
    </w:tbl>
    <w:p w14:paraId="401A93B7" w14:textId="77777777" w:rsidR="007F5F3B" w:rsidRDefault="007F5F3B">
      <w:pPr>
        <w:spacing w:before="200" w:after="200"/>
      </w:pPr>
    </w:p>
    <w:p w14:paraId="56A1B689" w14:textId="77777777" w:rsidR="007F5F3B" w:rsidRDefault="00000000">
      <w:pPr>
        <w:spacing w:after="220"/>
      </w:pPr>
      <w:r>
        <w:rPr>
          <w:rFonts w:ascii="Georgia" w:eastAsia="Georgia" w:hAnsi="Georgia" w:cs="Georgia"/>
          <w:color w:val="242320"/>
          <w:sz w:val="23"/>
          <w:szCs w:val="23"/>
        </w:rPr>
        <w:t>The IOC's own justification, that athletes should not pay the price for a war they didn't start, is a coherent, humane-sounding principle in isolation. But the manuscript's account of how symbolic language expands to cover institutional strain is relevant to exactly this kind of statement: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1EFE3725"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14E4848F"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1DBE0CD0" w14:textId="77777777" w:rsidR="007F5F3B" w:rsidRDefault="00000000">
            <w:r>
              <w:rPr>
                <w:rFonts w:ascii="Georgia" w:eastAsia="Georgia" w:hAnsi="Georgia" w:cs="Georgia"/>
                <w:i/>
                <w:iCs/>
                <w:color w:val="141412"/>
                <w:sz w:val="22"/>
                <w:szCs w:val="22"/>
              </w:rPr>
              <w:t>When practical solutions are difficult, symbolic solutions become attractive… Statements become evidence of concern… Activity becomes evidence of progress. Whether the underlying problem is moving towards resolution becomes increasingly difficult to determine. — The Performance of Obedience, Ch. 14</w:t>
            </w:r>
          </w:p>
        </w:tc>
      </w:tr>
    </w:tbl>
    <w:p w14:paraId="19964708" w14:textId="77777777" w:rsidR="007F5F3B" w:rsidRDefault="007F5F3B">
      <w:pPr>
        <w:spacing w:before="200" w:after="200"/>
      </w:pPr>
    </w:p>
    <w:p w14:paraId="352FC769" w14:textId="77777777" w:rsidR="007F5F3B" w:rsidRDefault="00000000">
      <w:pPr>
        <w:spacing w:after="220"/>
      </w:pPr>
      <w:r>
        <w:rPr>
          <w:rFonts w:ascii="Georgia" w:eastAsia="Georgia" w:hAnsi="Georgia" w:cs="Georgia"/>
          <w:color w:val="242320"/>
          <w:sz w:val="23"/>
          <w:szCs w:val="23"/>
        </w:rPr>
        <w:t xml:space="preserve">Ukraine's objection isn't </w:t>
      </w:r>
      <w:proofErr w:type="gramStart"/>
      <w:r>
        <w:rPr>
          <w:rFonts w:ascii="Georgia" w:eastAsia="Georgia" w:hAnsi="Georgia" w:cs="Georgia"/>
          <w:color w:val="242320"/>
          <w:sz w:val="23"/>
          <w:szCs w:val="23"/>
        </w:rPr>
        <w:t>really about</w:t>
      </w:r>
      <w:proofErr w:type="gramEnd"/>
      <w:r>
        <w:rPr>
          <w:rFonts w:ascii="Georgia" w:eastAsia="Georgia" w:hAnsi="Georgia" w:cs="Georgia"/>
          <w:color w:val="242320"/>
          <w:sz w:val="23"/>
          <w:szCs w:val="23"/>
        </w:rPr>
        <w:t xml:space="preserve"> individual athletes' guilt, and the book's own account of why selective application corrodes legitimacy, even when each individual exemption sounds reasonable, explains why: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81A5E21"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0501E841"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3537C8AD" w14:textId="77777777" w:rsidR="007F5F3B" w:rsidRDefault="00000000">
            <w:r>
              <w:rPr>
                <w:rFonts w:ascii="Georgia" w:eastAsia="Georgia" w:hAnsi="Georgia" w:cs="Georgia"/>
                <w:i/>
                <w:iCs/>
                <w:color w:val="141412"/>
                <w:sz w:val="22"/>
                <w:szCs w:val="22"/>
              </w:rPr>
              <w:t xml:space="preserve">The issue is not whether exemptions can be justified; many can. The issue is whether the language used to describe a system remains consistent with how that system </w:t>
            </w:r>
            <w:proofErr w:type="gramStart"/>
            <w:r>
              <w:rPr>
                <w:rFonts w:ascii="Georgia" w:eastAsia="Georgia" w:hAnsi="Georgia" w:cs="Georgia"/>
                <w:i/>
                <w:iCs/>
                <w:color w:val="141412"/>
                <w:sz w:val="22"/>
                <w:szCs w:val="22"/>
              </w:rPr>
              <w:t>actually functions</w:t>
            </w:r>
            <w:proofErr w:type="gramEnd"/>
            <w:r>
              <w:rPr>
                <w:rFonts w:ascii="Georgia" w:eastAsia="Georgia" w:hAnsi="Georgia" w:cs="Georgia"/>
                <w:i/>
                <w:iCs/>
                <w:color w:val="141412"/>
                <w:sz w:val="22"/>
                <w:szCs w:val="22"/>
              </w:rPr>
              <w:t>. — The Performance of Obedience, Ch. 14</w:t>
            </w:r>
          </w:p>
        </w:tc>
      </w:tr>
    </w:tbl>
    <w:p w14:paraId="6699E430" w14:textId="77777777" w:rsidR="007F5F3B" w:rsidRDefault="007F5F3B">
      <w:pPr>
        <w:spacing w:before="200" w:after="200"/>
      </w:pPr>
    </w:p>
    <w:p w14:paraId="38D3FB3A" w14:textId="77777777" w:rsidR="007F5F3B" w:rsidRDefault="00000000">
      <w:pPr>
        <w:spacing w:after="220"/>
      </w:pPr>
      <w:r>
        <w:rPr>
          <w:rFonts w:ascii="Georgia" w:eastAsia="Georgia" w:hAnsi="Georgia" w:cs="Georgia"/>
          <w:color w:val="242320"/>
          <w:sz w:val="23"/>
          <w:szCs w:val="23"/>
        </w:rPr>
        <w:t>The IOC has consistently framed Olympic neutrality as a fixed, universal principle, sport standing apart from politics. Ukraine's foreign ministry response, that the war continues under that flag, is precisely the kind of public recognition the book describes as the endpoint of a credibility pattern, not a single decision: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275EB9F"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3759A83A"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5978FD7" w14:textId="77777777" w:rsidR="007F5F3B" w:rsidRDefault="00000000">
            <w:r>
              <w:rPr>
                <w:rFonts w:ascii="Georgia" w:eastAsia="Georgia" w:hAnsi="Georgia" w:cs="Georgia"/>
                <w:i/>
                <w:iCs/>
                <w:color w:val="141412"/>
                <w:sz w:val="22"/>
                <w:szCs w:val="22"/>
              </w:rPr>
              <w:t>Trust rarely disappears because a single promise is broken. It erodes because a pattern becomes visible. Citizens learn to distinguish between activity and progress. — The Performance of Obedience, Ch. 14</w:t>
            </w:r>
          </w:p>
        </w:tc>
      </w:tr>
    </w:tbl>
    <w:p w14:paraId="20DCF54D" w14:textId="77777777" w:rsidR="007F5F3B" w:rsidRDefault="007F5F3B">
      <w:pPr>
        <w:spacing w:before="200" w:after="200"/>
      </w:pPr>
    </w:p>
    <w:p w14:paraId="57BB49D6" w14:textId="77777777" w:rsidR="007F5F3B" w:rsidRDefault="00000000">
      <w:pPr>
        <w:spacing w:after="220"/>
      </w:pPr>
      <w:r>
        <w:rPr>
          <w:rFonts w:ascii="Georgia" w:eastAsia="Georgia" w:hAnsi="Georgia" w:cs="Georgia"/>
          <w:color w:val="242320"/>
          <w:sz w:val="23"/>
          <w:szCs w:val="23"/>
        </w:rPr>
        <w:t>Whether the IOC's position is defensible is a genuinely disputed question, and the book does not resolve contested moral questions for the reader. What it does track is the mechanism: an institution insisting its rules are neutral and universal, while the actual application of those rules depends on a judgement call about which violations disqualify and which don't, made by the same body that benefits from appearing consistent regardless of the answer.</w:t>
      </w:r>
    </w:p>
    <w:p w14:paraId="470C7FCB" w14:textId="77777777" w:rsidR="007F5F3B" w:rsidRDefault="00000000">
      <w:pPr>
        <w:spacing w:before="100" w:after="200"/>
      </w:pPr>
      <w:r>
        <w:rPr>
          <w:rFonts w:ascii="Georgia" w:eastAsia="Georgia" w:hAnsi="Georgia" w:cs="Georgia"/>
          <w:i/>
          <w:iCs/>
          <w:color w:val="242320"/>
        </w:rPr>
        <w:t>This entry shows a body insisting its rules are neutral and universal while their actual application depends on a judgement call made by the same body that benefits from appearing consistent.</w:t>
      </w:r>
    </w:p>
    <w:p w14:paraId="458F5B8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https://citizenknowledge.theperformanceofobedience.co.uk/posts/08-ukraine-ioc-russia-ban/</w:t>
      </w:r>
    </w:p>
    <w:p w14:paraId="27B7EAAB"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09EAA8F5"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55B26FAC"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972F340" w14:textId="77777777" w:rsidR="007F5F3B" w:rsidRDefault="00000000">
            <w:r>
              <w:rPr>
                <w:rFonts w:ascii="Courier New" w:eastAsia="Courier New" w:hAnsi="Courier New" w:cs="Courier New"/>
                <w:b/>
                <w:bCs/>
                <w:color w:val="242320"/>
                <w:sz w:val="19"/>
                <w:szCs w:val="19"/>
              </w:rPr>
              <w:t>Part V: Withdrawal  →  Chapter 14: Symbolic Politics and the Maintenance of Appearances  →  Selective Enforcement and Visible Equality</w:t>
            </w:r>
          </w:p>
        </w:tc>
      </w:tr>
    </w:tbl>
    <w:p w14:paraId="0A607628" w14:textId="77777777" w:rsidR="007F5F3B" w:rsidRDefault="00000000">
      <w:pPr>
        <w:spacing w:before="220" w:after="40"/>
      </w:pPr>
      <w:r>
        <w:rPr>
          <w:rFonts w:ascii="Georgia" w:eastAsia="Georgia" w:hAnsi="Georgia" w:cs="Georgia"/>
          <w:b/>
          <w:bCs/>
          <w:color w:val="141412"/>
          <w:sz w:val="34"/>
          <w:szCs w:val="34"/>
        </w:rPr>
        <w:t>The anti-establishment candidate, running against the establishment charge</w:t>
      </w:r>
    </w:p>
    <w:p w14:paraId="31A18405" w14:textId="77777777" w:rsidR="007F5F3B" w:rsidRDefault="00000000">
      <w:pPr>
        <w:spacing w:after="220"/>
      </w:pPr>
      <w:r>
        <w:rPr>
          <w:rFonts w:ascii="Georgia" w:eastAsia="Georgia" w:hAnsi="Georgia" w:cs="Georgia"/>
          <w:b/>
          <w:bCs/>
          <w:i/>
          <w:iCs/>
          <w:color w:val="141412"/>
        </w:rPr>
        <w:t>Metro, Friday 10 July 2026</w:t>
      </w:r>
    </w:p>
    <w:p w14:paraId="1C528318"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247BE9F1" w14:textId="77777777" w:rsidR="007F5F3B" w:rsidRDefault="00000000">
      <w:pPr>
        <w:spacing w:after="240"/>
      </w:pPr>
      <w:r>
        <w:rPr>
          <w:rFonts w:ascii="Georgia" w:eastAsia="Georgia" w:hAnsi="Georgia" w:cs="Georgia"/>
          <w:color w:val="242320"/>
          <w:sz w:val="23"/>
          <w:szCs w:val="23"/>
        </w:rPr>
        <w:t xml:space="preserve">Metro reports that chancellor Rachel Reeves approved Nigel Farage's request to resign as an MP to trigger a by-election in Clacton, joking, "If he wants to spend summer arguing with a bin, I won't stop him." Farage is being investigated by the parliamentary standards commissioner over </w:t>
      </w:r>
      <w:proofErr w:type="gramStart"/>
      <w:r>
        <w:rPr>
          <w:rFonts w:ascii="Georgia" w:eastAsia="Georgia" w:hAnsi="Georgia" w:cs="Georgia"/>
          <w:color w:val="242320"/>
          <w:sz w:val="23"/>
          <w:szCs w:val="23"/>
        </w:rPr>
        <w:t>an</w:t>
      </w:r>
      <w:proofErr w:type="gramEnd"/>
      <w:r>
        <w:rPr>
          <w:rFonts w:ascii="Georgia" w:eastAsia="Georgia" w:hAnsi="Georgia" w:cs="Georgia"/>
          <w:color w:val="242320"/>
          <w:sz w:val="23"/>
          <w:szCs w:val="23"/>
        </w:rPr>
        <w:t xml:space="preserve"> undeclared £5million gift from a tycoon received before he became an MP in 2024, and has also faced pressure over reported support from a previously jailed fraudster. Despite this, he has dubbed the contest a "people versus the establishment" fight, telling GB News that a strong endorsement from voters would "send a big message to the establishment." The main Westminster parties are boycotting the race, leaving comedy candidate Count </w:t>
      </w:r>
      <w:proofErr w:type="spellStart"/>
      <w:r>
        <w:rPr>
          <w:rFonts w:ascii="Georgia" w:eastAsia="Georgia" w:hAnsi="Georgia" w:cs="Georgia"/>
          <w:color w:val="242320"/>
          <w:sz w:val="23"/>
          <w:szCs w:val="23"/>
        </w:rPr>
        <w:t>Binface</w:t>
      </w:r>
      <w:proofErr w:type="spellEnd"/>
      <w:r>
        <w:rPr>
          <w:rFonts w:ascii="Georgia" w:eastAsia="Georgia" w:hAnsi="Georgia" w:cs="Georgia"/>
          <w:color w:val="242320"/>
          <w:sz w:val="23"/>
          <w:szCs w:val="23"/>
        </w:rPr>
        <w:t xml:space="preserve"> as his highest-profile opponent, alongside a wildlife campaigner standing in a fox costume.</w:t>
      </w:r>
    </w:p>
    <w:p w14:paraId="40CA7B3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32E5134B" w14:textId="77777777" w:rsidR="007F5F3B" w:rsidRDefault="00000000">
      <w:pPr>
        <w:spacing w:after="220"/>
      </w:pPr>
      <w:r>
        <w:rPr>
          <w:rFonts w:ascii="Georgia" w:eastAsia="Georgia" w:hAnsi="Georgia" w:cs="Georgia"/>
          <w:color w:val="242320"/>
          <w:sz w:val="23"/>
          <w:szCs w:val="23"/>
        </w:rPr>
        <w:t xml:space="preserve">Farage's campaign message depends on a specific self-positioning: he is the outsider, the establishment is everyone else, and the vote is a chance to reject it. That framing only survives if nobody looks too closely at who is </w:t>
      </w:r>
      <w:proofErr w:type="gramStart"/>
      <w:r>
        <w:rPr>
          <w:rFonts w:ascii="Georgia" w:eastAsia="Georgia" w:hAnsi="Georgia" w:cs="Georgia"/>
          <w:color w:val="242320"/>
          <w:sz w:val="23"/>
          <w:szCs w:val="23"/>
        </w:rPr>
        <w:t>actually standing</w:t>
      </w:r>
      <w:proofErr w:type="gramEnd"/>
      <w:r>
        <w:rPr>
          <w:rFonts w:ascii="Georgia" w:eastAsia="Georgia" w:hAnsi="Georgia" w:cs="Georgia"/>
          <w:color w:val="242320"/>
          <w:sz w:val="23"/>
          <w:szCs w:val="23"/>
        </w:rPr>
        <w:t xml:space="preserve"> where, and at what is happening to him procedurally while he says it. Here the candidate calling for a revolt against the establishment is simultaneously under a live parliamentary standards investigation into an undeclared multi-million-pound gift, and is being handed his by-election, and its timing, by the very institutional machinery, a chancellor's sign-off, a Crown steward appointment unused since 1842, that the "people versus the establishment" framing depends on erasing from view.</w:t>
      </w:r>
    </w:p>
    <w:p w14:paraId="1921EDD4" w14:textId="77777777" w:rsidR="007F5F3B" w:rsidRDefault="00000000">
      <w:pPr>
        <w:spacing w:after="220"/>
      </w:pPr>
      <w:r>
        <w:rPr>
          <w:rFonts w:ascii="Georgia" w:eastAsia="Georgia" w:hAnsi="Georgia" w:cs="Georgia"/>
          <w:color w:val="242320"/>
          <w:sz w:val="23"/>
          <w:szCs w:val="23"/>
        </w:rPr>
        <w:t>The phrase Farage uses to describe a strong result, that it would "send a big message to the establishment," is worth sitting with, because it is close to identical in structure to language used elsewhere in this record to describe an act of symbolic institutional correction: a gesture that reads as significant, that generates coverage and reaction, and that changes nothing about the process running quietly underneath it. The Standards Commissioner inquiry does not pause because a by-election is more exciting than it, and Ms Reeves's approval of the resignation is itself an exercise of exactly the kind of discretionary establishment power the campaign message insists doesn't apply to Farage. The most establishment story here is the one being told as its opposite.</w:t>
      </w:r>
    </w:p>
    <w:p w14:paraId="45AD9FBA" w14:textId="77777777" w:rsidR="007F5F3B" w:rsidRDefault="00000000">
      <w:pPr>
        <w:spacing w:before="100" w:after="200"/>
      </w:pPr>
      <w:r>
        <w:rPr>
          <w:rFonts w:ascii="Georgia" w:eastAsia="Georgia" w:hAnsi="Georgia" w:cs="Georgia"/>
          <w:i/>
          <w:iCs/>
          <w:color w:val="242320"/>
        </w:rPr>
        <w:t>This entry shows how a claim of outsider status depends on ignoring the discretionary institutional power actively shaping the same campaign.</w:t>
      </w:r>
    </w:p>
    <w:p w14:paraId="30D587E0"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https://citizenknowledge.theperformanceofobedience.co.uk/posts/post-09-clacton-two-fox-race/</w:t>
      </w:r>
    </w:p>
    <w:p w14:paraId="0ACA6608"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36DD6E0"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11B90997"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02B1A0AE" w14:textId="77777777" w:rsidR="007F5F3B" w:rsidRDefault="00000000">
            <w:r>
              <w:rPr>
                <w:rFonts w:ascii="Courier New" w:eastAsia="Courier New" w:hAnsi="Courier New" w:cs="Courier New"/>
                <w:b/>
                <w:bCs/>
                <w:color w:val="242320"/>
                <w:sz w:val="19"/>
                <w:szCs w:val="19"/>
              </w:rPr>
              <w:t>Part IV: Criminality and Control  →  Chapter 13: Discretion as Power  →  The Cost of Enforcement</w:t>
            </w:r>
          </w:p>
        </w:tc>
      </w:tr>
    </w:tbl>
    <w:p w14:paraId="57D93AE6" w14:textId="77777777" w:rsidR="007F5F3B" w:rsidRDefault="00000000">
      <w:pPr>
        <w:spacing w:before="220" w:after="40"/>
      </w:pPr>
      <w:r>
        <w:rPr>
          <w:rFonts w:ascii="Georgia" w:eastAsia="Georgia" w:hAnsi="Georgia" w:cs="Georgia"/>
          <w:b/>
          <w:bCs/>
          <w:color w:val="141412"/>
          <w:sz w:val="34"/>
          <w:szCs w:val="34"/>
        </w:rPr>
        <w:t>The dogs got a day off. The prisoners did not.</w:t>
      </w:r>
    </w:p>
    <w:p w14:paraId="43B56D22" w14:textId="77777777" w:rsidR="007F5F3B" w:rsidRDefault="00000000">
      <w:pPr>
        <w:spacing w:after="220"/>
      </w:pPr>
      <w:r>
        <w:rPr>
          <w:rFonts w:ascii="Georgia" w:eastAsia="Georgia" w:hAnsi="Georgia" w:cs="Georgia"/>
          <w:b/>
          <w:bCs/>
          <w:i/>
          <w:iCs/>
          <w:color w:val="141412"/>
        </w:rPr>
        <w:t>Metro, Friday 10 July 2026</w:t>
      </w:r>
    </w:p>
    <w:p w14:paraId="22289A8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0ABDEDF7" w14:textId="77777777" w:rsidR="007F5F3B" w:rsidRDefault="00000000">
      <w:pPr>
        <w:spacing w:after="240"/>
      </w:pPr>
      <w:r>
        <w:rPr>
          <w:rFonts w:ascii="Georgia" w:eastAsia="Georgia" w:hAnsi="Georgia" w:cs="Georgia"/>
          <w:color w:val="242320"/>
          <w:sz w:val="23"/>
          <w:szCs w:val="23"/>
        </w:rPr>
        <w:t>Metro reports that inmates at HMP Chelmsford say they were "tortured" rather than punished during June's heatwave, locked in cells reaching 35.6C for up to 22 hours a day with no ventilation and only an extra 330ml bottle of water, which they also had to use for washing since the showers ran only hot water. One mother said cooler clothes she dropped off for her son were not passed to him until after the heatwave had ended, because staff told her it was "too hot for the sniffer dogs to work." A 2021 inspection had already described the prison as being in a "state of near collapse," with staff frequently failing to respond to basic requests.</w:t>
      </w:r>
    </w:p>
    <w:p w14:paraId="335ECEE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7357520" w14:textId="77777777" w:rsidR="007F5F3B" w:rsidRDefault="00000000">
      <w:pPr>
        <w:spacing w:after="220"/>
      </w:pPr>
      <w:r>
        <w:rPr>
          <w:rFonts w:ascii="Georgia" w:eastAsia="Georgia" w:hAnsi="Georgia" w:cs="Georgia"/>
          <w:color w:val="242320"/>
          <w:sz w:val="23"/>
          <w:szCs w:val="23"/>
        </w:rPr>
        <w:t xml:space="preserve">A working dog's welfare rule, that it shouldn't be made to work in extreme heat, was applied without apparent difficulty. The same institution failed to apply the equivalent standard of care to the human beings in its custody, some held well beyond their expected stay in a higher-category prison than intended, for weeks longer than planned. Nobody had to decide, in a single dramatic moment, that prisoners mattered less than dogs; the two decisions were made separately, by different parts of the same system, and the gap between them </w:t>
      </w:r>
      <w:proofErr w:type="gramStart"/>
      <w:r>
        <w:rPr>
          <w:rFonts w:ascii="Georgia" w:eastAsia="Georgia" w:hAnsi="Georgia" w:cs="Georgia"/>
          <w:color w:val="242320"/>
          <w:sz w:val="23"/>
          <w:szCs w:val="23"/>
        </w:rPr>
        <w:t>opened up</w:t>
      </w:r>
      <w:proofErr w:type="gramEnd"/>
      <w:r>
        <w:rPr>
          <w:rFonts w:ascii="Georgia" w:eastAsia="Georgia" w:hAnsi="Georgia" w:cs="Georgia"/>
          <w:color w:val="242320"/>
          <w:sz w:val="23"/>
          <w:szCs w:val="23"/>
        </w:rPr>
        <w:t xml:space="preserve"> simply because nobody was required to notice it as a single pattern.</w:t>
      </w:r>
    </w:p>
    <w:p w14:paraId="38DB1F59" w14:textId="77777777" w:rsidR="007F5F3B" w:rsidRDefault="00000000">
      <w:pPr>
        <w:spacing w:after="220"/>
      </w:pPr>
      <w:r>
        <w:rPr>
          <w:rFonts w:ascii="Georgia" w:eastAsia="Georgia" w:hAnsi="Georgia" w:cs="Georgia"/>
          <w:color w:val="242320"/>
          <w:sz w:val="23"/>
          <w:szCs w:val="23"/>
        </w:rPr>
        <w:t xml:space="preserve">That is closer to how the book's account of discretion </w:t>
      </w:r>
      <w:proofErr w:type="gramStart"/>
      <w:r>
        <w:rPr>
          <w:rFonts w:ascii="Georgia" w:eastAsia="Georgia" w:hAnsi="Georgia" w:cs="Georgia"/>
          <w:color w:val="242320"/>
          <w:sz w:val="23"/>
          <w:szCs w:val="23"/>
        </w:rPr>
        <w:t>actually works</w:t>
      </w:r>
      <w:proofErr w:type="gramEnd"/>
      <w:r>
        <w:rPr>
          <w:rFonts w:ascii="Georgia" w:eastAsia="Georgia" w:hAnsi="Georgia" w:cs="Georgia"/>
          <w:color w:val="242320"/>
          <w:sz w:val="23"/>
          <w:szCs w:val="23"/>
        </w:rPr>
        <w:t xml:space="preserve"> than a story of deliberate cruelty would be. The rule protecting the dogs was followed because it was clear, specific, and easy to apply. The rule protecting prisoners from inhumane conditions is vaguer, harder to enforce, and depends on staff who, according to the mother quoted, showed "only limited empathy and care" for people they were nonetheless responsible for. An institution already flagged four years earlier as being in a state of near collapse does not need new intent to keep producing outcomes like this; it only needs the existing gap between clear rules and vague ones to keep being resolved the same way, in favour of whichever obligation is easiest to discharge.</w:t>
      </w:r>
    </w:p>
    <w:p w14:paraId="494E6130" w14:textId="77777777" w:rsidR="007F5F3B" w:rsidRDefault="00000000">
      <w:pPr>
        <w:spacing w:before="100" w:after="200"/>
      </w:pPr>
      <w:r>
        <w:rPr>
          <w:rFonts w:ascii="Georgia" w:eastAsia="Georgia" w:hAnsi="Georgia" w:cs="Georgia"/>
          <w:i/>
          <w:iCs/>
          <w:color w:val="242320"/>
        </w:rPr>
        <w:t>This entry shows discretion resolving itself the same way by default: a clear, specific welfare rule gets followed without difficulty, while a vaguer duty of care to people in custody quietly gives way, with no single decision or deliberate cruelty required.</w:t>
      </w:r>
    </w:p>
    <w:p w14:paraId="5EF34FB1"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https://citizenknowledge.theperformanceofobedience.co.uk/posts/post-10-chelmsford-heatwave/</w:t>
      </w:r>
    </w:p>
    <w:p w14:paraId="374530AA" w14:textId="77777777" w:rsidR="007F5F3B" w:rsidRDefault="00000000">
      <w:pPr>
        <w:pBdr>
          <w:top w:val="single" w:sz="16" w:space="8" w:color="141412"/>
        </w:pBdr>
        <w:spacing w:before="400" w:after="100"/>
      </w:pPr>
      <w:r>
        <w:rPr>
          <w:rFonts w:ascii="Georgia" w:eastAsia="Georgia" w:hAnsi="Georgia" w:cs="Georgia"/>
          <w:color w:val="242320"/>
        </w:rPr>
        <w:t>That's everything published between Monday, 6 July 2026 and Sunday, 12 July 2026.</w:t>
      </w:r>
    </w:p>
    <w:p w14:paraId="7468AACB" w14:textId="77777777" w:rsidR="007F5F3B" w:rsidRDefault="00000000">
      <w:r>
        <w:rPr>
          <w:rFonts w:ascii="Courier New" w:eastAsia="Courier New" w:hAnsi="Courier New" w:cs="Courier New"/>
          <w:color w:val="7A2222"/>
          <w:sz w:val="18"/>
          <w:szCs w:val="18"/>
        </w:rPr>
        <w:t>https://citizenknowledge.theperformanceofobedience.co.uk — new entries most days.</w:t>
      </w:r>
    </w:p>
    <w:sectPr w:rsidR="007F5F3B">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E498E" w14:textId="77777777" w:rsidR="00FC5B43" w:rsidRDefault="00FC5B43">
      <w:r>
        <w:separator/>
      </w:r>
    </w:p>
  </w:endnote>
  <w:endnote w:type="continuationSeparator" w:id="0">
    <w:p w14:paraId="0B5A619E" w14:textId="77777777" w:rsidR="00FC5B43" w:rsidRDefault="00FC5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B92F" w14:textId="77777777" w:rsidR="007F5F3B" w:rsidRDefault="00000000">
    <w:pPr>
      <w:jc w:val="center"/>
    </w:pPr>
    <w:r>
      <w:rPr>
        <w:rFonts w:ascii="Courier New" w:eastAsia="Courier New" w:hAnsi="Courier New" w:cs="Courier New"/>
        <w:color w:val="B8B2A2"/>
        <w:sz w:val="16"/>
        <w:szCs w:val="16"/>
      </w:rPr>
      <w:t xml:space="preserve">Page </w:t>
    </w:r>
    <w:r>
      <w:rPr>
        <w:rFonts w:ascii="Courier New" w:eastAsia="Courier New" w:hAnsi="Courier New" w:cs="Courier New"/>
        <w:color w:val="B8B2A2"/>
        <w:sz w:val="16"/>
        <w:szCs w:val="16"/>
      </w:rPr>
      <w:fldChar w:fldCharType="begin"/>
    </w:r>
    <w:r>
      <w:rPr>
        <w:rFonts w:ascii="Courier New" w:eastAsia="Courier New" w:hAnsi="Courier New" w:cs="Courier New"/>
        <w:color w:val="B8B2A2"/>
        <w:sz w:val="16"/>
        <w:szCs w:val="16"/>
      </w:rPr>
      <w:instrText>PAGE</w:instrText>
    </w:r>
    <w:r>
      <w:rPr>
        <w:rFonts w:ascii="Courier New" w:eastAsia="Courier New" w:hAnsi="Courier New" w:cs="Courier New"/>
        <w:color w:val="B8B2A2"/>
        <w:sz w:val="16"/>
        <w:szCs w:val="16"/>
      </w:rPr>
      <w:fldChar w:fldCharType="separate"/>
    </w:r>
    <w:r w:rsidR="00CB2983">
      <w:rPr>
        <w:rFonts w:ascii="Courier New" w:eastAsia="Courier New" w:hAnsi="Courier New" w:cs="Courier New"/>
        <w:noProof/>
        <w:color w:val="B8B2A2"/>
        <w:sz w:val="16"/>
        <w:szCs w:val="16"/>
      </w:rPr>
      <w:t>1</w:t>
    </w:r>
    <w:r>
      <w:rPr>
        <w:rFonts w:ascii="Courier New" w:eastAsia="Courier New" w:hAnsi="Courier New" w:cs="Courier New"/>
        <w:color w:val="B8B2A2"/>
        <w:sz w:val="16"/>
        <w:szCs w:val="16"/>
      </w:rPr>
      <w:fldChar w:fldCharType="end"/>
    </w:r>
    <w:r>
      <w:rPr>
        <w:rFonts w:ascii="Courier New" w:eastAsia="Courier New" w:hAnsi="Courier New" w:cs="Courier New"/>
        <w:color w:val="B8B2A2"/>
        <w:sz w:val="16"/>
        <w:szCs w:val="16"/>
      </w:rPr>
      <w:t xml:space="preserve"> of </w:t>
    </w:r>
    <w:r>
      <w:rPr>
        <w:rFonts w:ascii="Courier New" w:eastAsia="Courier New" w:hAnsi="Courier New" w:cs="Courier New"/>
        <w:color w:val="B8B2A2"/>
        <w:sz w:val="16"/>
        <w:szCs w:val="16"/>
      </w:rPr>
      <w:fldChar w:fldCharType="begin"/>
    </w:r>
    <w:r>
      <w:rPr>
        <w:rFonts w:ascii="Courier New" w:eastAsia="Courier New" w:hAnsi="Courier New" w:cs="Courier New"/>
        <w:color w:val="B8B2A2"/>
        <w:sz w:val="16"/>
        <w:szCs w:val="16"/>
      </w:rPr>
      <w:instrText>NUMPAGES</w:instrText>
    </w:r>
    <w:r>
      <w:rPr>
        <w:rFonts w:ascii="Courier New" w:eastAsia="Courier New" w:hAnsi="Courier New" w:cs="Courier New"/>
        <w:color w:val="B8B2A2"/>
        <w:sz w:val="16"/>
        <w:szCs w:val="16"/>
      </w:rPr>
      <w:fldChar w:fldCharType="separate"/>
    </w:r>
    <w:r w:rsidR="00CB2983">
      <w:rPr>
        <w:rFonts w:ascii="Courier New" w:eastAsia="Courier New" w:hAnsi="Courier New" w:cs="Courier New"/>
        <w:noProof/>
        <w:color w:val="B8B2A2"/>
        <w:sz w:val="16"/>
        <w:szCs w:val="16"/>
      </w:rPr>
      <w:t>2</w:t>
    </w:r>
    <w:r>
      <w:rPr>
        <w:rFonts w:ascii="Courier New" w:eastAsia="Courier New" w:hAnsi="Courier New" w:cs="Courier New"/>
        <w:color w:val="B8B2A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3FDDB" w14:textId="77777777" w:rsidR="00FC5B43" w:rsidRDefault="00FC5B43">
      <w:r>
        <w:separator/>
      </w:r>
    </w:p>
  </w:footnote>
  <w:footnote w:type="continuationSeparator" w:id="0">
    <w:p w14:paraId="34693B09" w14:textId="77777777" w:rsidR="00FC5B43" w:rsidRDefault="00FC5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FD6F" w14:textId="77777777" w:rsidR="007F5F3B" w:rsidRDefault="00000000">
    <w:pPr>
      <w:jc w:val="right"/>
    </w:pPr>
    <w:r>
      <w:rPr>
        <w:rFonts w:ascii="Courier New" w:eastAsia="Courier New" w:hAnsi="Courier New" w:cs="Courier New"/>
        <w:color w:val="B8B2A2"/>
        <w:spacing w:val="6"/>
        <w:sz w:val="14"/>
        <w:szCs w:val="14"/>
      </w:rPr>
      <w:t>CITIZEN KNOWLEDGE — WEEKLY PRINT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2388"/>
    <w:multiLevelType w:val="hybridMultilevel"/>
    <w:tmpl w:val="55C4ACA0"/>
    <w:lvl w:ilvl="0" w:tplc="20EC3EC0">
      <w:start w:val="1"/>
      <w:numFmt w:val="bullet"/>
      <w:lvlText w:val="●"/>
      <w:lvlJc w:val="left"/>
      <w:pPr>
        <w:ind w:left="720" w:hanging="360"/>
      </w:pPr>
    </w:lvl>
    <w:lvl w:ilvl="1" w:tplc="BF3E1E6A">
      <w:start w:val="1"/>
      <w:numFmt w:val="bullet"/>
      <w:lvlText w:val="○"/>
      <w:lvlJc w:val="left"/>
      <w:pPr>
        <w:ind w:left="1440" w:hanging="360"/>
      </w:pPr>
    </w:lvl>
    <w:lvl w:ilvl="2" w:tplc="3B8836A8">
      <w:start w:val="1"/>
      <w:numFmt w:val="bullet"/>
      <w:lvlText w:val="■"/>
      <w:lvlJc w:val="left"/>
      <w:pPr>
        <w:ind w:left="2160" w:hanging="360"/>
      </w:pPr>
    </w:lvl>
    <w:lvl w:ilvl="3" w:tplc="1B76FDB8">
      <w:start w:val="1"/>
      <w:numFmt w:val="bullet"/>
      <w:lvlText w:val="●"/>
      <w:lvlJc w:val="left"/>
      <w:pPr>
        <w:ind w:left="2880" w:hanging="360"/>
      </w:pPr>
    </w:lvl>
    <w:lvl w:ilvl="4" w:tplc="0FE4DBE2">
      <w:start w:val="1"/>
      <w:numFmt w:val="bullet"/>
      <w:lvlText w:val="○"/>
      <w:lvlJc w:val="left"/>
      <w:pPr>
        <w:ind w:left="3600" w:hanging="360"/>
      </w:pPr>
    </w:lvl>
    <w:lvl w:ilvl="5" w:tplc="ED4AD012">
      <w:start w:val="1"/>
      <w:numFmt w:val="bullet"/>
      <w:lvlText w:val="■"/>
      <w:lvlJc w:val="left"/>
      <w:pPr>
        <w:ind w:left="4320" w:hanging="360"/>
      </w:pPr>
    </w:lvl>
    <w:lvl w:ilvl="6" w:tplc="FDFE94DC">
      <w:start w:val="1"/>
      <w:numFmt w:val="bullet"/>
      <w:lvlText w:val="●"/>
      <w:lvlJc w:val="left"/>
      <w:pPr>
        <w:ind w:left="5040" w:hanging="360"/>
      </w:pPr>
    </w:lvl>
    <w:lvl w:ilvl="7" w:tplc="309C38BE">
      <w:start w:val="1"/>
      <w:numFmt w:val="bullet"/>
      <w:lvlText w:val="●"/>
      <w:lvlJc w:val="left"/>
      <w:pPr>
        <w:ind w:left="5760" w:hanging="360"/>
      </w:pPr>
    </w:lvl>
    <w:lvl w:ilvl="8" w:tplc="3092C788">
      <w:start w:val="1"/>
      <w:numFmt w:val="bullet"/>
      <w:lvlText w:val="●"/>
      <w:lvlJc w:val="left"/>
      <w:pPr>
        <w:ind w:left="6480" w:hanging="360"/>
      </w:pPr>
    </w:lvl>
  </w:abstractNum>
  <w:num w:numId="1" w16cid:durableId="788470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3B"/>
    <w:rsid w:val="006445D5"/>
    <w:rsid w:val="007F5F3B"/>
    <w:rsid w:val="00CB2983"/>
    <w:rsid w:val="00FC5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EF67"/>
  <w15:docId w15:val="{AD472C4E-6EF0-4717-9D5A-D90E4212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4580</Words>
  <Characters>26106</Characters>
  <Application>Microsoft Office Word</Application>
  <DocSecurity>0</DocSecurity>
  <Lines>217</Lines>
  <Paragraphs>61</Paragraphs>
  <ScaleCrop>false</ScaleCrop>
  <Company/>
  <LinksUpToDate>false</LinksUpToDate>
  <CharactersWithSpaces>30625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Zwirn</cp:lastModifiedBy>
  <cp:revision>2</cp:revision>
  <dcterms:created xsi:type="dcterms:W3CDTF">2026-07-18T01:30:00Z</dcterms:created>
  <dcterms:modified xsi:type="dcterms:W3CDTF">2026-07-18T01:30:00Z</dcterms:modified>
</cp:coreProperties>
</file>