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BBD1E" w14:textId="02F63CFE" w:rsidR="00671591" w:rsidRPr="00671591" w:rsidRDefault="00671591" w:rsidP="00671591">
      <w:pPr>
        <w:rPr>
          <w:lang w:val="en-US"/>
        </w:rPr>
      </w:pPr>
      <w:r w:rsidRPr="00671591">
        <w:rPr>
          <w:lang w:val="en-US"/>
        </w:rPr>
        <w:t xml:space="preserve">Customer Segment </w:t>
      </w:r>
      <w:r>
        <w:rPr>
          <w:lang w:val="en-US"/>
        </w:rPr>
        <w:t>Clarification</w:t>
      </w:r>
      <w:r w:rsidRPr="00671591">
        <w:rPr>
          <w:lang w:val="en-US"/>
        </w:rPr>
        <w:t xml:space="preserve"> </w:t>
      </w:r>
    </w:p>
    <w:p w14:paraId="32C2E770" w14:textId="77777777" w:rsidR="00671591" w:rsidRPr="00671591" w:rsidRDefault="00671591" w:rsidP="00671591">
      <w:pPr>
        <w:rPr>
          <w:lang w:val="en-US"/>
        </w:rPr>
      </w:pPr>
      <w:r w:rsidRPr="00671591">
        <w:rPr>
          <w:lang w:val="en-US"/>
        </w:rPr>
        <w:t>The cust_segment field classifies clients into high-level commercial segments used across Aurelia Capital Partners for reporting, product eligibility, and risk aggregation. The segmentation reflects differences in client size, regulatory treatment, and service model rather than legal form alone.</w:t>
      </w:r>
    </w:p>
    <w:p w14:paraId="7A358EB9" w14:textId="77777777" w:rsidR="00671591" w:rsidRPr="00671591" w:rsidRDefault="00671591" w:rsidP="00671591">
      <w:pPr>
        <w:rPr>
          <w:lang w:val="en-US"/>
        </w:rPr>
      </w:pPr>
      <w:r w:rsidRPr="00671591">
        <w:rPr>
          <w:lang w:val="en-US"/>
        </w:rPr>
        <w:t>Retail</w:t>
      </w:r>
    </w:p>
    <w:p w14:paraId="73B143A5" w14:textId="77777777" w:rsidR="00671591" w:rsidRPr="00671591" w:rsidRDefault="00671591" w:rsidP="00671591">
      <w:pPr>
        <w:rPr>
          <w:lang w:val="en-US"/>
        </w:rPr>
      </w:pPr>
      <w:r w:rsidRPr="00671591">
        <w:rPr>
          <w:lang w:val="en-US"/>
        </w:rPr>
        <w:t xml:space="preserve">Retail clients are individual customers with relatively straightforward financial needs and limited </w:t>
      </w:r>
      <w:proofErr w:type="gramStart"/>
      <w:r w:rsidRPr="00671591">
        <w:rPr>
          <w:lang w:val="en-US"/>
        </w:rPr>
        <w:t>balance-sheet</w:t>
      </w:r>
      <w:proofErr w:type="gramEnd"/>
      <w:r w:rsidRPr="00671591">
        <w:rPr>
          <w:lang w:val="en-US"/>
        </w:rPr>
        <w:t xml:space="preserve"> complexity. This segment includes mass-affluent individuals but excludes clients requiring bespoke structuring or dedicated relationship coverage.</w:t>
      </w:r>
    </w:p>
    <w:p w14:paraId="727CF545" w14:textId="77777777" w:rsidR="00671591" w:rsidRPr="00671591" w:rsidRDefault="00671591" w:rsidP="00671591">
      <w:r w:rsidRPr="00671591">
        <w:t>Retail clients typically:</w:t>
      </w:r>
    </w:p>
    <w:p w14:paraId="3EDA3A4C" w14:textId="77777777" w:rsidR="00671591" w:rsidRPr="00671591" w:rsidRDefault="00671591" w:rsidP="00671591">
      <w:pPr>
        <w:numPr>
          <w:ilvl w:val="0"/>
          <w:numId w:val="1"/>
        </w:numPr>
        <w:rPr>
          <w:lang w:val="en-US"/>
        </w:rPr>
      </w:pPr>
      <w:r w:rsidRPr="00671591">
        <w:rPr>
          <w:lang w:val="en-US"/>
        </w:rPr>
        <w:t>Hold standard investment or savings products</w:t>
      </w:r>
    </w:p>
    <w:p w14:paraId="54FB548B" w14:textId="77777777" w:rsidR="00671591" w:rsidRPr="00671591" w:rsidRDefault="00671591" w:rsidP="00671591">
      <w:pPr>
        <w:numPr>
          <w:ilvl w:val="0"/>
          <w:numId w:val="1"/>
        </w:numPr>
      </w:pPr>
      <w:r w:rsidRPr="00671591">
        <w:t>Have lower average exposure sizes</w:t>
      </w:r>
    </w:p>
    <w:p w14:paraId="48E737A8" w14:textId="77777777" w:rsidR="00671591" w:rsidRPr="00671591" w:rsidRDefault="00671591" w:rsidP="00671591">
      <w:pPr>
        <w:numPr>
          <w:ilvl w:val="0"/>
          <w:numId w:val="1"/>
        </w:numPr>
        <w:rPr>
          <w:lang w:val="en-US"/>
        </w:rPr>
      </w:pPr>
      <w:r w:rsidRPr="00671591">
        <w:rPr>
          <w:lang w:val="en-US"/>
        </w:rPr>
        <w:t>Are serviced through standardized onboarding and support processes</w:t>
      </w:r>
    </w:p>
    <w:p w14:paraId="694EF5BB" w14:textId="77777777" w:rsidR="00671591" w:rsidRPr="00671591" w:rsidRDefault="00671591" w:rsidP="00671591">
      <w:pPr>
        <w:numPr>
          <w:ilvl w:val="0"/>
          <w:numId w:val="1"/>
        </w:numPr>
        <w:rPr>
          <w:lang w:val="en-US"/>
        </w:rPr>
      </w:pPr>
      <w:r w:rsidRPr="00671591">
        <w:rPr>
          <w:lang w:val="en-US"/>
        </w:rPr>
        <w:t>Are subject to simplified suitability and reporting frameworks</w:t>
      </w:r>
    </w:p>
    <w:p w14:paraId="1535EEA3" w14:textId="77777777" w:rsidR="00671591" w:rsidRPr="00671591" w:rsidRDefault="00671591" w:rsidP="00671591">
      <w:pPr>
        <w:rPr>
          <w:lang w:val="en-US"/>
        </w:rPr>
      </w:pPr>
      <w:r w:rsidRPr="00671591">
        <w:rPr>
          <w:lang w:val="en-US"/>
        </w:rPr>
        <w:t>In internal analytics, Retail accounts are often aggregated to assess volume-driven profitability and baseline risk exposure.</w:t>
      </w:r>
    </w:p>
    <w:p w14:paraId="5110A5AD" w14:textId="77777777" w:rsidR="00671591" w:rsidRPr="00671591" w:rsidRDefault="00671591" w:rsidP="00671591">
      <w:r w:rsidRPr="00671591">
        <w:pict w14:anchorId="15D8EA29">
          <v:rect id="_x0000_i1061" style="width:0;height:1.5pt" o:hralign="center" o:hrstd="t" o:hr="t" fillcolor="#a0a0a0" stroked="f"/>
        </w:pict>
      </w:r>
    </w:p>
    <w:p w14:paraId="06B0BC1C" w14:textId="77777777" w:rsidR="00671591" w:rsidRPr="00671591" w:rsidRDefault="00671591" w:rsidP="00671591">
      <w:pPr>
        <w:rPr>
          <w:lang w:val="en-US"/>
        </w:rPr>
      </w:pPr>
      <w:r w:rsidRPr="00671591">
        <w:rPr>
          <w:lang w:val="en-US"/>
        </w:rPr>
        <w:t>HNI (High-Net-Worth Individual)</w:t>
      </w:r>
    </w:p>
    <w:p w14:paraId="452D44FB" w14:textId="77777777" w:rsidR="00671591" w:rsidRPr="00671591" w:rsidRDefault="00671591" w:rsidP="00671591">
      <w:pPr>
        <w:rPr>
          <w:lang w:val="en-US"/>
        </w:rPr>
      </w:pPr>
      <w:r w:rsidRPr="00671591">
        <w:rPr>
          <w:lang w:val="en-US"/>
        </w:rPr>
        <w:t xml:space="preserve">HNI clients are individual customers whose asset levels or complexity warrant enhanced service and customized investment solutions. While legally </w:t>
      </w:r>
      <w:proofErr w:type="gramStart"/>
      <w:r w:rsidRPr="00671591">
        <w:rPr>
          <w:lang w:val="en-US"/>
        </w:rPr>
        <w:t>similar to</w:t>
      </w:r>
      <w:proofErr w:type="gramEnd"/>
      <w:r w:rsidRPr="00671591">
        <w:rPr>
          <w:lang w:val="en-US"/>
        </w:rPr>
        <w:t xml:space="preserve"> Retail clients, they differ materially in portfolio size, risk appetite, and product access.</w:t>
      </w:r>
    </w:p>
    <w:p w14:paraId="74BC1D9C" w14:textId="77777777" w:rsidR="00671591" w:rsidRPr="00671591" w:rsidRDefault="00671591" w:rsidP="00671591">
      <w:r w:rsidRPr="00671591">
        <w:t>HNI clients typically:</w:t>
      </w:r>
    </w:p>
    <w:p w14:paraId="6FC8CE00" w14:textId="77777777" w:rsidR="00671591" w:rsidRPr="00671591" w:rsidRDefault="00671591" w:rsidP="00671591">
      <w:pPr>
        <w:numPr>
          <w:ilvl w:val="0"/>
          <w:numId w:val="2"/>
        </w:numPr>
        <w:rPr>
          <w:lang w:val="en-US"/>
        </w:rPr>
      </w:pPr>
      <w:r w:rsidRPr="00671591">
        <w:rPr>
          <w:lang w:val="en-US"/>
        </w:rPr>
        <w:t xml:space="preserve">Maintain higher balances and more </w:t>
      </w:r>
      <w:proofErr w:type="gramStart"/>
      <w:r w:rsidRPr="00671591">
        <w:rPr>
          <w:lang w:val="en-US"/>
        </w:rPr>
        <w:t>diversified</w:t>
      </w:r>
      <w:proofErr w:type="gramEnd"/>
      <w:r w:rsidRPr="00671591">
        <w:rPr>
          <w:lang w:val="en-US"/>
        </w:rPr>
        <w:t xml:space="preserve"> portfolios</w:t>
      </w:r>
    </w:p>
    <w:p w14:paraId="0593B83C" w14:textId="77777777" w:rsidR="00671591" w:rsidRPr="00671591" w:rsidRDefault="00671591" w:rsidP="00671591">
      <w:pPr>
        <w:numPr>
          <w:ilvl w:val="0"/>
          <w:numId w:val="2"/>
        </w:numPr>
        <w:rPr>
          <w:lang w:val="en-US"/>
        </w:rPr>
      </w:pPr>
      <w:r w:rsidRPr="00671591">
        <w:rPr>
          <w:lang w:val="en-US"/>
        </w:rPr>
        <w:t>Access discretionary portfolio management or structured products</w:t>
      </w:r>
    </w:p>
    <w:p w14:paraId="0F0F8E5F" w14:textId="77777777" w:rsidR="00671591" w:rsidRPr="00671591" w:rsidRDefault="00671591" w:rsidP="00671591">
      <w:pPr>
        <w:numPr>
          <w:ilvl w:val="0"/>
          <w:numId w:val="2"/>
        </w:numPr>
        <w:rPr>
          <w:lang w:val="en-US"/>
        </w:rPr>
      </w:pPr>
      <w:r w:rsidRPr="00671591">
        <w:rPr>
          <w:lang w:val="en-US"/>
        </w:rPr>
        <w:t>Are assigned a dedicated relationship manager</w:t>
      </w:r>
    </w:p>
    <w:p w14:paraId="62D58B4E" w14:textId="77777777" w:rsidR="00671591" w:rsidRPr="00671591" w:rsidRDefault="00671591" w:rsidP="00671591">
      <w:pPr>
        <w:numPr>
          <w:ilvl w:val="0"/>
          <w:numId w:val="2"/>
        </w:numPr>
        <w:rPr>
          <w:lang w:val="en-US"/>
        </w:rPr>
      </w:pPr>
      <w:r w:rsidRPr="00671591">
        <w:rPr>
          <w:lang w:val="en-US"/>
        </w:rPr>
        <w:t>Require enhanced suitability, tax, and reporting considerations</w:t>
      </w:r>
    </w:p>
    <w:p w14:paraId="354E2367" w14:textId="77777777" w:rsidR="00671591" w:rsidRPr="00671591" w:rsidRDefault="00671591" w:rsidP="00671591">
      <w:pPr>
        <w:rPr>
          <w:lang w:val="en-US"/>
        </w:rPr>
      </w:pPr>
      <w:r w:rsidRPr="00671591">
        <w:rPr>
          <w:lang w:val="en-US"/>
        </w:rPr>
        <w:t>In portfolio data, HNI accounts often exhibit higher normalized exposure indices and are analyzed separately for concentration and stress testing.</w:t>
      </w:r>
    </w:p>
    <w:p w14:paraId="11B0E7C2" w14:textId="77777777" w:rsidR="00671591" w:rsidRPr="00671591" w:rsidRDefault="00671591" w:rsidP="00671591">
      <w:r w:rsidRPr="00671591">
        <w:pict w14:anchorId="3D9BD68D">
          <v:rect id="_x0000_i1062" style="width:0;height:1.5pt" o:hralign="center" o:hrstd="t" o:hr="t" fillcolor="#a0a0a0" stroked="f"/>
        </w:pict>
      </w:r>
    </w:p>
    <w:p w14:paraId="4AB7BFF0" w14:textId="77777777" w:rsidR="00671591" w:rsidRPr="00671591" w:rsidRDefault="00671591" w:rsidP="00671591">
      <w:pPr>
        <w:rPr>
          <w:lang w:val="en-US"/>
        </w:rPr>
      </w:pPr>
      <w:r w:rsidRPr="00671591">
        <w:rPr>
          <w:lang w:val="en-US"/>
        </w:rPr>
        <w:t>SME (Small and Medium-Sized Enterprise)</w:t>
      </w:r>
    </w:p>
    <w:p w14:paraId="064B3873" w14:textId="77777777" w:rsidR="00671591" w:rsidRPr="00671591" w:rsidRDefault="00671591" w:rsidP="00671591">
      <w:pPr>
        <w:rPr>
          <w:lang w:val="en-US"/>
        </w:rPr>
      </w:pPr>
      <w:r w:rsidRPr="00671591">
        <w:rPr>
          <w:lang w:val="en-US"/>
        </w:rPr>
        <w:t>SME clients are non-financial corporate entities whose scale falls below Aurelia’s institutional threshold. This segment is central to the Corporate Lending business and includes operating companies, holding companies, and special-purpose vehicles tied to commercial activity.</w:t>
      </w:r>
    </w:p>
    <w:p w14:paraId="0EC15A97" w14:textId="77777777" w:rsidR="00671591" w:rsidRPr="00671591" w:rsidRDefault="00671591" w:rsidP="00671591">
      <w:r w:rsidRPr="00671591">
        <w:t>SME clients typically:</w:t>
      </w:r>
    </w:p>
    <w:p w14:paraId="2ABCF8EC" w14:textId="77777777" w:rsidR="00671591" w:rsidRPr="00671591" w:rsidRDefault="00671591" w:rsidP="00671591">
      <w:pPr>
        <w:numPr>
          <w:ilvl w:val="0"/>
          <w:numId w:val="3"/>
        </w:numPr>
        <w:rPr>
          <w:lang w:val="en-US"/>
        </w:rPr>
      </w:pPr>
      <w:r w:rsidRPr="00671591">
        <w:rPr>
          <w:lang w:val="en-US"/>
        </w:rPr>
        <w:t>Use lending, credit facilities, and treasury products</w:t>
      </w:r>
    </w:p>
    <w:p w14:paraId="2EA633B4" w14:textId="77777777" w:rsidR="00671591" w:rsidRPr="00671591" w:rsidRDefault="00671591" w:rsidP="00671591">
      <w:pPr>
        <w:numPr>
          <w:ilvl w:val="0"/>
          <w:numId w:val="3"/>
        </w:numPr>
        <w:rPr>
          <w:lang w:val="en-US"/>
        </w:rPr>
      </w:pPr>
      <w:r w:rsidRPr="00671591">
        <w:rPr>
          <w:lang w:val="en-US"/>
        </w:rPr>
        <w:lastRenderedPageBreak/>
        <w:t>Exhibit exposure driven by operational cash flows rather than investments</w:t>
      </w:r>
    </w:p>
    <w:p w14:paraId="391A3C2F" w14:textId="77777777" w:rsidR="00671591" w:rsidRPr="00671591" w:rsidRDefault="00671591" w:rsidP="00671591">
      <w:pPr>
        <w:numPr>
          <w:ilvl w:val="0"/>
          <w:numId w:val="3"/>
        </w:numPr>
        <w:rPr>
          <w:lang w:val="en-US"/>
        </w:rPr>
      </w:pPr>
      <w:r w:rsidRPr="00671591">
        <w:rPr>
          <w:lang w:val="en-US"/>
        </w:rPr>
        <w:t>Are assessed using credit risk and counterparty models</w:t>
      </w:r>
    </w:p>
    <w:p w14:paraId="3E83AEF7" w14:textId="77777777" w:rsidR="00671591" w:rsidRPr="00671591" w:rsidRDefault="00671591" w:rsidP="00671591">
      <w:pPr>
        <w:numPr>
          <w:ilvl w:val="0"/>
          <w:numId w:val="3"/>
        </w:numPr>
        <w:rPr>
          <w:lang w:val="en-US"/>
        </w:rPr>
      </w:pPr>
      <w:r w:rsidRPr="00671591">
        <w:rPr>
          <w:lang w:val="en-US"/>
        </w:rPr>
        <w:t>Require ongoing financial monitoring and covenant tracking</w:t>
      </w:r>
    </w:p>
    <w:p w14:paraId="5CDC160A" w14:textId="77777777" w:rsidR="00671591" w:rsidRPr="00671591" w:rsidRDefault="00671591" w:rsidP="00671591">
      <w:pPr>
        <w:rPr>
          <w:lang w:val="en-US"/>
        </w:rPr>
      </w:pPr>
      <w:r w:rsidRPr="00671591">
        <w:rPr>
          <w:lang w:val="en-US"/>
        </w:rPr>
        <w:t>From a data perspective, SME accounts often interact with lending products and show exposure patterns distinct from individual clients.</w:t>
      </w:r>
    </w:p>
    <w:p w14:paraId="02467572" w14:textId="77777777" w:rsidR="00671591" w:rsidRPr="00671591" w:rsidRDefault="00671591" w:rsidP="00671591">
      <w:r w:rsidRPr="00671591">
        <w:pict w14:anchorId="1E82A6C8">
          <v:rect id="_x0000_i1063" style="width:0;height:1.5pt" o:hralign="center" o:hrstd="t" o:hr="t" fillcolor="#a0a0a0" stroked="f"/>
        </w:pict>
      </w:r>
    </w:p>
    <w:p w14:paraId="64145AE6" w14:textId="77777777" w:rsidR="00671591" w:rsidRPr="00671591" w:rsidRDefault="00671591" w:rsidP="00671591">
      <w:pPr>
        <w:rPr>
          <w:lang w:val="en-US"/>
        </w:rPr>
      </w:pPr>
      <w:r w:rsidRPr="00671591">
        <w:rPr>
          <w:lang w:val="en-US"/>
        </w:rPr>
        <w:t>Institutional</w:t>
      </w:r>
    </w:p>
    <w:p w14:paraId="7BF00424" w14:textId="77777777" w:rsidR="00671591" w:rsidRPr="00671591" w:rsidRDefault="00671591" w:rsidP="00671591">
      <w:pPr>
        <w:rPr>
          <w:lang w:val="en-US"/>
        </w:rPr>
      </w:pPr>
      <w:r w:rsidRPr="00671591">
        <w:rPr>
          <w:lang w:val="en-US"/>
        </w:rPr>
        <w:t>Institutional clients are large, professionally managed entities such as pension funds, insurance companies, asset managers, and public sector bodies. These clients interact with Aurelia under negotiated mandates or structured arrangements.</w:t>
      </w:r>
    </w:p>
    <w:p w14:paraId="41DBE113" w14:textId="77777777" w:rsidR="00671591" w:rsidRPr="00671591" w:rsidRDefault="00671591" w:rsidP="00671591">
      <w:r w:rsidRPr="00671591">
        <w:t>Institutional clients typically:</w:t>
      </w:r>
    </w:p>
    <w:p w14:paraId="2B566374" w14:textId="77777777" w:rsidR="00671591" w:rsidRPr="00671591" w:rsidRDefault="00671591" w:rsidP="00671591">
      <w:pPr>
        <w:numPr>
          <w:ilvl w:val="0"/>
          <w:numId w:val="4"/>
        </w:numPr>
        <w:rPr>
          <w:lang w:val="en-US"/>
        </w:rPr>
      </w:pPr>
      <w:r w:rsidRPr="00671591">
        <w:rPr>
          <w:lang w:val="en-US"/>
        </w:rPr>
        <w:t>Transact in large volumes with fewer accounts</w:t>
      </w:r>
    </w:p>
    <w:p w14:paraId="2C3232E8" w14:textId="77777777" w:rsidR="00671591" w:rsidRPr="00671591" w:rsidRDefault="00671591" w:rsidP="00671591">
      <w:pPr>
        <w:numPr>
          <w:ilvl w:val="0"/>
          <w:numId w:val="4"/>
        </w:numPr>
        <w:rPr>
          <w:lang w:val="en-US"/>
        </w:rPr>
      </w:pPr>
      <w:r w:rsidRPr="00671591">
        <w:rPr>
          <w:lang w:val="en-US"/>
        </w:rPr>
        <w:t>Use customized mandates or structured finance solutions</w:t>
      </w:r>
    </w:p>
    <w:p w14:paraId="1CD7B8FD" w14:textId="77777777" w:rsidR="00671591" w:rsidRPr="00671591" w:rsidRDefault="00671591" w:rsidP="00671591">
      <w:pPr>
        <w:numPr>
          <w:ilvl w:val="0"/>
          <w:numId w:val="4"/>
        </w:numPr>
        <w:rPr>
          <w:lang w:val="en-US"/>
        </w:rPr>
      </w:pPr>
      <w:r w:rsidRPr="00671591">
        <w:rPr>
          <w:lang w:val="en-US"/>
        </w:rPr>
        <w:t>Are subject to distinct regulatory and reporting frameworks</w:t>
      </w:r>
    </w:p>
    <w:p w14:paraId="1AE0790F" w14:textId="77777777" w:rsidR="00671591" w:rsidRPr="00671591" w:rsidRDefault="00671591" w:rsidP="00671591">
      <w:pPr>
        <w:numPr>
          <w:ilvl w:val="0"/>
          <w:numId w:val="4"/>
        </w:numPr>
        <w:rPr>
          <w:lang w:val="en-US"/>
        </w:rPr>
      </w:pPr>
      <w:r w:rsidRPr="00671591">
        <w:rPr>
          <w:lang w:val="en-US"/>
        </w:rPr>
        <w:t>Exhibit exposure profiles driven by portfolio mandates rather than individual positions</w:t>
      </w:r>
    </w:p>
    <w:p w14:paraId="3091024D" w14:textId="77777777" w:rsidR="00671591" w:rsidRPr="00671591" w:rsidRDefault="00671591" w:rsidP="00671591">
      <w:pPr>
        <w:rPr>
          <w:lang w:val="en-US"/>
        </w:rPr>
      </w:pPr>
      <w:r w:rsidRPr="00671591">
        <w:rPr>
          <w:lang w:val="en-US"/>
        </w:rPr>
        <w:t>In consolidated reporting, Institutional exposures are frequently isolated to assess systemic and concentration risk.</w:t>
      </w:r>
    </w:p>
    <w:p w14:paraId="4612133F" w14:textId="77777777" w:rsidR="00671591" w:rsidRPr="00671591" w:rsidRDefault="00671591" w:rsidP="00671591">
      <w:r w:rsidRPr="00671591">
        <w:pict w14:anchorId="15450C0B">
          <v:rect id="_x0000_i1064" style="width:0;height:1.5pt" o:hralign="center" o:hrstd="t" o:hr="t" fillcolor="#a0a0a0" stroked="f"/>
        </w:pict>
      </w:r>
    </w:p>
    <w:p w14:paraId="3E793878" w14:textId="77777777" w:rsidR="00671591" w:rsidRPr="00671591" w:rsidRDefault="00671591" w:rsidP="00671591">
      <w:r w:rsidRPr="00671591">
        <w:t>Interpretation Notes</w:t>
      </w:r>
    </w:p>
    <w:p w14:paraId="4B78329A" w14:textId="77777777" w:rsidR="00671591" w:rsidRPr="00671591" w:rsidRDefault="00671591" w:rsidP="00671591">
      <w:pPr>
        <w:numPr>
          <w:ilvl w:val="0"/>
          <w:numId w:val="5"/>
        </w:numPr>
        <w:rPr>
          <w:lang w:val="en-US"/>
        </w:rPr>
      </w:pPr>
      <w:r w:rsidRPr="00671591">
        <w:rPr>
          <w:lang w:val="en-US"/>
        </w:rPr>
        <w:t>The cust_segment value represents commercial classification, not legal status.</w:t>
      </w:r>
    </w:p>
    <w:p w14:paraId="5D3A2412" w14:textId="77777777" w:rsidR="00671591" w:rsidRPr="00671591" w:rsidRDefault="00671591" w:rsidP="00671591">
      <w:pPr>
        <w:numPr>
          <w:ilvl w:val="0"/>
          <w:numId w:val="5"/>
        </w:numPr>
      </w:pPr>
      <w:r w:rsidRPr="00671591">
        <w:t>Segment assignment influences:</w:t>
      </w:r>
    </w:p>
    <w:p w14:paraId="1A86B67C" w14:textId="77777777" w:rsidR="00671591" w:rsidRPr="00671591" w:rsidRDefault="00671591" w:rsidP="00671591">
      <w:pPr>
        <w:numPr>
          <w:ilvl w:val="1"/>
          <w:numId w:val="5"/>
        </w:numPr>
      </w:pPr>
      <w:r w:rsidRPr="00671591">
        <w:t>product eligibility</w:t>
      </w:r>
    </w:p>
    <w:p w14:paraId="3D1374C2" w14:textId="77777777" w:rsidR="00671591" w:rsidRPr="00671591" w:rsidRDefault="00671591" w:rsidP="00671591">
      <w:pPr>
        <w:numPr>
          <w:ilvl w:val="1"/>
          <w:numId w:val="5"/>
        </w:numPr>
      </w:pPr>
      <w:r w:rsidRPr="00671591">
        <w:t>reporting treatment</w:t>
      </w:r>
    </w:p>
    <w:p w14:paraId="2E731BC8" w14:textId="77777777" w:rsidR="00671591" w:rsidRPr="00671591" w:rsidRDefault="00671591" w:rsidP="00671591">
      <w:pPr>
        <w:numPr>
          <w:ilvl w:val="1"/>
          <w:numId w:val="5"/>
        </w:numPr>
      </w:pPr>
      <w:r w:rsidRPr="00671591">
        <w:t>risk aggregation logic</w:t>
      </w:r>
    </w:p>
    <w:p w14:paraId="10FD9150" w14:textId="77777777" w:rsidR="00671591" w:rsidRPr="00671591" w:rsidRDefault="00671591" w:rsidP="00671591">
      <w:pPr>
        <w:numPr>
          <w:ilvl w:val="0"/>
          <w:numId w:val="5"/>
        </w:numPr>
        <w:rPr>
          <w:lang w:val="en-US"/>
        </w:rPr>
      </w:pPr>
      <w:r w:rsidRPr="00671591">
        <w:rPr>
          <w:lang w:val="en-US"/>
        </w:rPr>
        <w:t>Segment definitions are intentionally broad and may be refined downstream using product, exposure, or behavioral attributes.</w:t>
      </w:r>
    </w:p>
    <w:p w14:paraId="6ABC72BE" w14:textId="77777777" w:rsidR="00671591" w:rsidRPr="00671591" w:rsidRDefault="00671591" w:rsidP="00671591">
      <w:pPr>
        <w:rPr>
          <w:lang w:val="en-US"/>
        </w:rPr>
      </w:pPr>
      <w:r w:rsidRPr="00671591">
        <w:rPr>
          <w:lang w:val="en-US"/>
        </w:rPr>
        <w:t>For analytical purposes, cust_segment should be treated as a primary grouping dimension, not a definitive indicator of risk or profitability on its own.</w:t>
      </w:r>
    </w:p>
    <w:p w14:paraId="2F715689" w14:textId="77777777" w:rsidR="00AD7238" w:rsidRPr="00671591" w:rsidRDefault="00AD7238" w:rsidP="00671591">
      <w:pPr>
        <w:rPr>
          <w:lang w:val="en-US"/>
        </w:rPr>
      </w:pPr>
    </w:p>
    <w:sectPr w:rsidR="00AD7238" w:rsidRPr="006715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83362"/>
    <w:multiLevelType w:val="multilevel"/>
    <w:tmpl w:val="EA4C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BC1763"/>
    <w:multiLevelType w:val="multilevel"/>
    <w:tmpl w:val="CBF62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2050DB"/>
    <w:multiLevelType w:val="multilevel"/>
    <w:tmpl w:val="6BAA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A457A6"/>
    <w:multiLevelType w:val="multilevel"/>
    <w:tmpl w:val="6950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6305BC"/>
    <w:multiLevelType w:val="multilevel"/>
    <w:tmpl w:val="6C04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7859">
    <w:abstractNumId w:val="4"/>
  </w:num>
  <w:num w:numId="2" w16cid:durableId="1359038594">
    <w:abstractNumId w:val="2"/>
  </w:num>
  <w:num w:numId="3" w16cid:durableId="1233001861">
    <w:abstractNumId w:val="3"/>
  </w:num>
  <w:num w:numId="4" w16cid:durableId="1226643101">
    <w:abstractNumId w:val="0"/>
  </w:num>
  <w:num w:numId="5" w16cid:durableId="993335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E58"/>
    <w:rsid w:val="00117E58"/>
    <w:rsid w:val="00671591"/>
    <w:rsid w:val="0085590D"/>
    <w:rsid w:val="00AD7238"/>
    <w:rsid w:val="00C400C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C3EB0"/>
  <w15:chartTrackingRefBased/>
  <w15:docId w15:val="{3A1A1724-04CC-43AE-9F44-CAAF41A87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E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E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E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E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E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E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E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E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E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E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E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E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E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E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E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E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E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E58"/>
    <w:rPr>
      <w:rFonts w:eastAsiaTheme="majorEastAsia" w:cstheme="majorBidi"/>
      <w:color w:val="272727" w:themeColor="text1" w:themeTint="D8"/>
    </w:rPr>
  </w:style>
  <w:style w:type="paragraph" w:styleId="Title">
    <w:name w:val="Title"/>
    <w:basedOn w:val="Normal"/>
    <w:next w:val="Normal"/>
    <w:link w:val="TitleChar"/>
    <w:uiPriority w:val="10"/>
    <w:qFormat/>
    <w:rsid w:val="00117E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E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E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E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E58"/>
    <w:pPr>
      <w:spacing w:before="160"/>
      <w:jc w:val="center"/>
    </w:pPr>
    <w:rPr>
      <w:i/>
      <w:iCs/>
      <w:color w:val="404040" w:themeColor="text1" w:themeTint="BF"/>
    </w:rPr>
  </w:style>
  <w:style w:type="character" w:customStyle="1" w:styleId="QuoteChar">
    <w:name w:val="Quote Char"/>
    <w:basedOn w:val="DefaultParagraphFont"/>
    <w:link w:val="Quote"/>
    <w:uiPriority w:val="29"/>
    <w:rsid w:val="00117E58"/>
    <w:rPr>
      <w:i/>
      <w:iCs/>
      <w:color w:val="404040" w:themeColor="text1" w:themeTint="BF"/>
    </w:rPr>
  </w:style>
  <w:style w:type="paragraph" w:styleId="ListParagraph">
    <w:name w:val="List Paragraph"/>
    <w:basedOn w:val="Normal"/>
    <w:uiPriority w:val="34"/>
    <w:qFormat/>
    <w:rsid w:val="00117E58"/>
    <w:pPr>
      <w:ind w:left="720"/>
      <w:contextualSpacing/>
    </w:pPr>
  </w:style>
  <w:style w:type="character" w:styleId="IntenseEmphasis">
    <w:name w:val="Intense Emphasis"/>
    <w:basedOn w:val="DefaultParagraphFont"/>
    <w:uiPriority w:val="21"/>
    <w:qFormat/>
    <w:rsid w:val="00117E58"/>
    <w:rPr>
      <w:i/>
      <w:iCs/>
      <w:color w:val="0F4761" w:themeColor="accent1" w:themeShade="BF"/>
    </w:rPr>
  </w:style>
  <w:style w:type="paragraph" w:styleId="IntenseQuote">
    <w:name w:val="Intense Quote"/>
    <w:basedOn w:val="Normal"/>
    <w:next w:val="Normal"/>
    <w:link w:val="IntenseQuoteChar"/>
    <w:uiPriority w:val="30"/>
    <w:qFormat/>
    <w:rsid w:val="00117E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E58"/>
    <w:rPr>
      <w:i/>
      <w:iCs/>
      <w:color w:val="0F4761" w:themeColor="accent1" w:themeShade="BF"/>
    </w:rPr>
  </w:style>
  <w:style w:type="character" w:styleId="IntenseReference">
    <w:name w:val="Intense Reference"/>
    <w:basedOn w:val="DefaultParagraphFont"/>
    <w:uiPriority w:val="32"/>
    <w:qFormat/>
    <w:rsid w:val="00117E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443</Words>
  <Characters>3054</Characters>
  <Application>Microsoft Office Word</Application>
  <DocSecurity>0</DocSecurity>
  <Lines>44</Lines>
  <Paragraphs>12</Paragraphs>
  <ScaleCrop>false</ScaleCrop>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Grzechowiak, Marcin</dc:creator>
  <cp:keywords/>
  <dc:description/>
  <cp:lastModifiedBy>Grzechowiak, Marcin</cp:lastModifiedBy>
  <cp:revision>2</cp:revision>
  <dcterms:created xsi:type="dcterms:W3CDTF">2026-01-30T11:57:00Z</dcterms:created>
  <dcterms:modified xsi:type="dcterms:W3CDTF">2026-01-30T11:59:00Z</dcterms:modified>
</cp:coreProperties>
</file>