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95143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795143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570F4FC8" w14:textId="0ECB6230" w:rsidR="00795143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09889" w:history="1">
            <w:r w:rsidR="00795143" w:rsidRPr="00E52BD8">
              <w:rPr>
                <w:rStyle w:val="Hipercze"/>
                <w:noProof/>
              </w:rPr>
              <w:t>Karta projektu</w:t>
            </w:r>
            <w:r w:rsidR="00795143">
              <w:rPr>
                <w:noProof/>
                <w:webHidden/>
              </w:rPr>
              <w:tab/>
            </w:r>
            <w:r w:rsidR="00795143">
              <w:rPr>
                <w:noProof/>
                <w:webHidden/>
              </w:rPr>
              <w:fldChar w:fldCharType="begin"/>
            </w:r>
            <w:r w:rsidR="00795143">
              <w:rPr>
                <w:noProof/>
                <w:webHidden/>
              </w:rPr>
              <w:instrText xml:space="preserve"> PAGEREF _Toc63509889 \h </w:instrText>
            </w:r>
            <w:r w:rsidR="00795143">
              <w:rPr>
                <w:noProof/>
                <w:webHidden/>
              </w:rPr>
            </w:r>
            <w:r w:rsidR="00795143">
              <w:rPr>
                <w:noProof/>
                <w:webHidden/>
              </w:rPr>
              <w:fldChar w:fldCharType="separate"/>
            </w:r>
            <w:r w:rsidR="00795143">
              <w:rPr>
                <w:noProof/>
                <w:webHidden/>
              </w:rPr>
              <w:t>2</w:t>
            </w:r>
            <w:r w:rsidR="00795143">
              <w:rPr>
                <w:noProof/>
                <w:webHidden/>
              </w:rPr>
              <w:fldChar w:fldCharType="end"/>
            </w:r>
          </w:hyperlink>
        </w:p>
        <w:p w14:paraId="01749FCD" w14:textId="0A057034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0" w:history="1">
            <w:r w:rsidRPr="00E52BD8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1D6A" w14:textId="33709809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1" w:history="1">
            <w:r w:rsidRPr="00E52BD8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5036" w14:textId="3938572F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2" w:history="1">
            <w:r w:rsidRPr="00E52BD8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11CA" w14:textId="2477240B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3" w:history="1">
            <w:r w:rsidRPr="00E52BD8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5AFC" w14:textId="4E87D51D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4" w:history="1">
            <w:r w:rsidRPr="00E52BD8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3EE6" w14:textId="3C9CA605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5" w:history="1">
            <w:r w:rsidRPr="00E52BD8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F717" w14:textId="6D6FC65C" w:rsidR="00795143" w:rsidRDefault="00795143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09896" w:history="1">
            <w:r w:rsidRPr="00E52BD8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6B70F8A8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509889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509890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09891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09892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09893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23F13530" w:rsidR="00BC4A4D" w:rsidRDefault="00BC4A4D" w:rsidP="00BC4A4D">
      <w:pPr>
        <w:pStyle w:val="Nagwek1"/>
      </w:pPr>
      <w:bookmarkStart w:id="5" w:name="_Toc63509894"/>
      <w:r>
        <w:t>Przypadki użycia (Use Cases)</w:t>
      </w:r>
      <w:bookmarkEnd w:id="5"/>
    </w:p>
    <w:p w14:paraId="77924A1A" w14:textId="72707503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lastRenderedPageBreak/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</w:tbl>
    <w:p w14:paraId="40F32946" w14:textId="461B1653" w:rsidR="00BC4A4D" w:rsidRDefault="00BC4A4D" w:rsidP="00BC4A4D"/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t>System informuje użytkownika o błędnych danych.</w:t>
            </w:r>
          </w:p>
        </w:tc>
      </w:tr>
    </w:tbl>
    <w:p w14:paraId="18343569" w14:textId="61AE739C" w:rsidR="00055002" w:rsidRDefault="00055002" w:rsidP="00BC4A4D"/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lastRenderedPageBreak/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2A2E8E3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310EC5">
        <w:tc>
          <w:tcPr>
            <w:tcW w:w="2263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310EC5">
        <w:tc>
          <w:tcPr>
            <w:tcW w:w="2263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77777777" w:rsidR="00E434A6" w:rsidRDefault="00E434A6" w:rsidP="00E434A6">
      <w:pPr>
        <w:pStyle w:val="UseCase"/>
        <w:rPr>
          <w:rStyle w:val="Pogrubienie"/>
          <w:sz w:val="24"/>
          <w:szCs w:val="24"/>
        </w:rPr>
      </w:pP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lastRenderedPageBreak/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61BE9AA9" w14:textId="0F7FE238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lastRenderedPageBreak/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77777777" w:rsidR="008060F3" w:rsidRDefault="008060F3" w:rsidP="00BC4A4D"/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</w:t>
      </w:r>
      <w:r>
        <w:rPr>
          <w:rStyle w:val="Pogrubienie"/>
          <w:sz w:val="24"/>
          <w:szCs w:val="24"/>
        </w:rPr>
        <w:t xml:space="preserve"> – </w:t>
      </w:r>
      <w:r>
        <w:rPr>
          <w:rStyle w:val="Pogrubienie"/>
          <w:sz w:val="24"/>
          <w:szCs w:val="24"/>
        </w:rPr>
        <w:t>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</w:t>
            </w:r>
            <w:r>
              <w:t>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</w:t>
            </w:r>
            <w:r>
              <w:t xml:space="preserve"> klika napis „</w:t>
            </w:r>
            <w:r>
              <w:t>Odbierz</w:t>
            </w:r>
            <w:r>
              <w:t>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00A6EBF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>
        <w:rPr>
          <w:rStyle w:val="Pogrubienie"/>
          <w:sz w:val="24"/>
          <w:szCs w:val="24"/>
        </w:rPr>
        <w:t>oddan</w:t>
      </w:r>
      <w:r w:rsidR="004747E8">
        <w:rPr>
          <w:rStyle w:val="Pogrubienie"/>
          <w:sz w:val="24"/>
          <w:szCs w:val="24"/>
        </w:rPr>
        <w:t>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6" w:name="_Toc63509895"/>
      <w:r>
        <w:lastRenderedPageBreak/>
        <w:t>Diagramy tabel baz danych</w:t>
      </w:r>
      <w:bookmarkEnd w:id="6"/>
      <w:r>
        <w:t xml:space="preserve"> </w:t>
      </w:r>
    </w:p>
    <w:p w14:paraId="2E85864A" w14:textId="15CD6E3C" w:rsidR="00984E6A" w:rsidRDefault="00987F6B" w:rsidP="00984E6A">
      <w:pPr>
        <w:keepNext/>
      </w:pPr>
      <w:r w:rsidRPr="00987F6B">
        <w:rPr>
          <w:noProof/>
        </w:rPr>
        <w:drawing>
          <wp:inline distT="0" distB="0" distL="0" distR="0" wp14:anchorId="050AB211" wp14:editId="5D8D2DFB">
            <wp:extent cx="5731510" cy="415798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8A" w14:textId="505F8B24" w:rsidR="00984E6A" w:rsidRPr="00984E6A" w:rsidRDefault="00984E6A" w:rsidP="00984E6A">
      <w:pPr>
        <w:pStyle w:val="Legenda"/>
      </w:pPr>
      <w:r>
        <w:t xml:space="preserve">Rysunek </w:t>
      </w:r>
      <w:r w:rsidR="00795143">
        <w:fldChar w:fldCharType="begin"/>
      </w:r>
      <w:r w:rsidR="00795143">
        <w:instrText xml:space="preserve"> SEQ Rysunek \* ARABIC </w:instrText>
      </w:r>
      <w:r w:rsidR="00795143">
        <w:fldChar w:fldCharType="separate"/>
      </w:r>
      <w:r w:rsidR="00FE4303">
        <w:rPr>
          <w:noProof/>
        </w:rPr>
        <w:t>1</w:t>
      </w:r>
      <w:r w:rsidR="00795143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C4BE88" w:rsidR="00FE4303" w:rsidRDefault="00775DC7" w:rsidP="00FE4303">
      <w:pPr>
        <w:keepNext/>
      </w:pPr>
      <w:r w:rsidRPr="00775DC7">
        <w:rPr>
          <w:noProof/>
        </w:rPr>
        <w:drawing>
          <wp:inline distT="0" distB="0" distL="0" distR="0" wp14:anchorId="6FCE23DF" wp14:editId="499AF76B">
            <wp:extent cx="5731510" cy="29362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ECA" w14:textId="67C65939" w:rsidR="00A430B6" w:rsidRDefault="00FE4303" w:rsidP="00FE4303">
      <w:pPr>
        <w:pStyle w:val="Legenda"/>
      </w:pPr>
      <w:r>
        <w:t xml:space="preserve">Rysunek </w:t>
      </w:r>
      <w:r w:rsidR="00795143">
        <w:fldChar w:fldCharType="begin"/>
      </w:r>
      <w:r w:rsidR="00795143">
        <w:instrText xml:space="preserve"> SEQ Rysunek \* ARABIC </w:instrText>
      </w:r>
      <w:r w:rsidR="00795143">
        <w:fldChar w:fldCharType="separate"/>
      </w:r>
      <w:r>
        <w:rPr>
          <w:noProof/>
        </w:rPr>
        <w:t>2</w:t>
      </w:r>
      <w:r w:rsidR="00795143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67041669" w14:textId="7DC33BE6" w:rsidR="00BC4A4D" w:rsidRPr="00BC4A4D" w:rsidRDefault="00BC4A4D" w:rsidP="00BC4A4D">
      <w:pPr>
        <w:pStyle w:val="Nagwek1"/>
      </w:pPr>
      <w:bookmarkStart w:id="7" w:name="_Toc63509896"/>
      <w:r>
        <w:lastRenderedPageBreak/>
        <w:t>Diagramy klas</w:t>
      </w:r>
      <w:bookmarkEnd w:id="7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3E09B7"/>
    <w:rsid w:val="003E694B"/>
    <w:rsid w:val="004747E8"/>
    <w:rsid w:val="00775DC7"/>
    <w:rsid w:val="00795143"/>
    <w:rsid w:val="008060F3"/>
    <w:rsid w:val="009571D3"/>
    <w:rsid w:val="00984E6A"/>
    <w:rsid w:val="00987F6B"/>
    <w:rsid w:val="00A430B6"/>
    <w:rsid w:val="00BC4A4D"/>
    <w:rsid w:val="00E03EE0"/>
    <w:rsid w:val="00E434A6"/>
    <w:rsid w:val="00E53A20"/>
    <w:rsid w:val="00E724DE"/>
    <w:rsid w:val="00ED39D1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1203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16</cp:revision>
  <dcterms:created xsi:type="dcterms:W3CDTF">2021-02-02T18:47:00Z</dcterms:created>
  <dcterms:modified xsi:type="dcterms:W3CDTF">2021-02-06T12:17:00Z</dcterms:modified>
  <cp:category>Projektowanie profesjonalnej aplikacji mobilnej lub webowej</cp:category>
</cp:coreProperties>
</file>