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before="2600"/>
        <w:jc w:val="center"/>
      </w:pPr>
      <w:r>
        <w:rPr>
          <w:rFonts w:ascii="Calibri" w:cs="Calibri" w:eastAsia="Calibri" w:hAnsi="Calibri"/>
          <w:b/>
          <w:bCs/>
          <w:color w:val="A8851C"/>
          <w:spacing w:val="40"/>
          <w:sz w:val="19"/>
          <w:szCs w:val="19"/>
        </w:rPr>
        <w:t xml:space="preserve">ST. LAWRENCE INTERNATIONAL SCHOOL · YADAVAGIRI, MYSURU</w:t>
      </w:r>
    </w:p>
    <w:p>
      <w:pPr>
        <w:spacing w:after="120"/>
        <w:jc w:val="center"/>
      </w:pPr>
      <w:r>
        <w:rPr>
          <w:rFonts w:ascii="Georgia" w:cs="Georgia" w:eastAsia="Georgia" w:hAnsi="Georgia"/>
          <w:color w:val="1B4936"/>
          <w:sz w:val="72"/>
          <w:szCs w:val="72"/>
        </w:rPr>
        <w:t xml:space="preserve">Campus Café</w:t>
      </w:r>
    </w:p>
    <w:p>
      <w:pPr>
        <w:spacing w:after="80"/>
        <w:jc w:val="center"/>
      </w:pPr>
      <w:r>
        <w:rPr>
          <w:rFonts w:ascii="Georgia" w:cs="Georgia" w:eastAsia="Georgia" w:hAnsi="Georgia"/>
          <w:color w:val="245C46"/>
          <w:sz w:val="30"/>
          <w:szCs w:val="30"/>
        </w:rPr>
        <w:t xml:space="preserve">A Cashless Cafeteria &amp; Student Wallet Platform</w:t>
      </w:r>
    </w:p>
    <w:p>
      <w:pPr>
        <w:spacing w:after="2200"/>
        <w:jc w:val="center"/>
      </w:pPr>
      <w:r>
        <w:rPr>
          <w:color w:val="5A6B60"/>
          <w:sz w:val="21"/>
          <w:szCs w:val="21"/>
        </w:rPr>
        <w:t xml:space="preserve">Client proposal &amp; solution overview  ·  July 2026</w:t>
      </w:r>
    </w:p>
    <w:p>
      <w:pPr>
        <w:pBdr>
          <w:top w:val="single" w:color="A8851C" w:sz="6"/>
        </w:pBdr>
        <w:spacing w:before="200"/>
        <w:jc w:val="center"/>
      </w:pPr>
      <w:r>
        <w:rPr>
          <w:color w:val="5A6B60"/>
          <w:sz w:val="20"/>
          <w:szCs w:val="20"/>
        </w:rPr>
        <w:t xml:space="preserve">Prepared for the Principal, Administration, Finance and Cafeteria teams</w:t>
      </w:r>
    </w:p>
    <w:p>
      <w:r>
        <w:br w:type="page"/>
      </w:r>
    </w:p>
    <w:p>
      <w:pPr>
        <w:pStyle w:val="Heading1"/>
        <w:spacing w:after="140" w:before="320"/>
      </w:pPr>
      <w:r>
        <w:t xml:space="preserve">Executive summary</w:t>
      </w:r>
    </w:p>
    <w:p>
      <w:pPr>
        <w:pBdr>
          <w:bottom w:val="single" w:color="A8851C" w:sz="6"/>
        </w:pBdr>
        <w:spacing w:after="240" w:before="60"/>
      </w:pPr>
    </w:p>
    <w:p>
      <w:pPr>
        <w:spacing w:after="160" w:line="300"/>
      </w:pPr>
      <w:r>
        <w:t xml:space="preserve">Campus Café replaces cash at the school cafeteria with a single integrated platform: every student carries a prepaid wallet linked to their ID, the counter bills by scanning that ID, and parents recharge, monitor and receive alerts from a mobile app in real time. The system has been designed and branded specifically for St. Lawrence International School, so it presents to staff and parents as an official school service rather than a third-party tool.</w:t>
      </w:r>
    </w:p>
    <w:p>
      <w:pPr>
        <w:spacing w:after="160" w:line="300"/>
      </w:pPr>
      <w:r>
        <w:t xml:space="preserve">The platform serves four groups at once. Administrators see live revenue, wallet balances and low-balance alerts on one dashboard. The finance team gains a complete, exportable ledger of every transaction with no cash reconciliation. Cafeteria staff serve faster because billing is one scan and one tap, with allergy warnings surfaced automatically. Parents get one-tap recharges and a push notification the moment their child makes a purchase, including the item, amount and remaining balance.</w:t>
      </w:r>
    </w:p>
    <w:p>
      <w:pPr>
        <w:pStyle w:val="Heading2"/>
        <w:spacing w:after="140" w:before="320"/>
      </w:pPr>
      <w:r>
        <w:t xml:space="preserve">Why cashless, and why now</w:t>
      </w:r>
    </w:p>
    <w:p>
      <w:pPr>
        <w:spacing w:after="160" w:line="300"/>
      </w:pPr>
      <w:r>
        <w:t xml:space="preserve">Cash in school canteens creates three persistent problems: children lose or misuse pocket money, counters queue while change is counted, and the school carries the burden of counting, storing and reconciling cash daily. A prepaid wallet removes all three. Because every purchase is recorded against a named student, the school also gains visibility it has never had — what sells, when the rush hours are, and which families need a gentle reminder to top up.</w:t>
      </w:r>
    </w:p>
    <w:p>
      <w:pPr>
        <w:pStyle w:val="Heading1"/>
        <w:spacing w:after="140" w:before="320"/>
      </w:pPr>
      <w:r>
        <w:t xml:space="preserve">What each stakeholder gets</w:t>
      </w:r>
    </w:p>
    <w:p>
      <w:pPr>
        <w:pBdr>
          <w:bottom w:val="single" w:color="A8851C" w:sz="6"/>
        </w:pBdr>
        <w:spacing w:after="240" w:before="60"/>
      </w:pPr>
    </w:p>
    <w:tbl>
      <w:tblPr>
        <w:tblW w:type="dxa" w:w="9540"/>
        <w:tblBorders>
          <w:top w:val="single" w:color="D3D9CD" w:sz="4"/>
          <w:left w:val="single" w:color="D3D9CD" w:sz="4"/>
          <w:bottom w:val="single" w:color="D3D9CD" w:sz="4"/>
          <w:right w:val="single" w:color="D3D9CD" w:sz="4"/>
          <w:insideH w:val="single" w:color="D3D9CD" w:sz="4"/>
          <w:insideV w:val="single" w:color="D3D9CD" w:sz="4"/>
        </w:tblBorders>
      </w:tblPr>
      <w:tblGrid>
        <w:gridCol w:w="2400"/>
        <w:gridCol w:w="7140"/>
      </w:tblGrid>
      <w:tr>
        <w:tc>
          <w:tcPr>
            <w:tcW w:type="dxa" w:w="2400"/>
            <w:shd w:fill="1B4936" w:val="clear"/>
            <w:tcMar>
              <w:top w:type="dxa" w:w="90"/>
              <w:left w:type="dxa" w:w="140"/>
              <w:bottom w:type="dxa" w:w="90"/>
              <w:right w:type="dxa" w:w="140"/>
            </w:tcMar>
          </w:tcPr>
          <w:p>
            <w:pPr>
              <w:spacing w:after="0" w:line="260"/>
            </w:pPr>
            <w:r>
              <w:rPr>
                <w:b/>
                <w:bCs/>
                <w:color w:val="FFFFFF"/>
                <w:sz w:val="20"/>
                <w:szCs w:val="20"/>
              </w:rPr>
              <w:t xml:space="preserve">Stakeholder</w:t>
            </w:r>
          </w:p>
        </w:tc>
        <w:tc>
          <w:tcPr>
            <w:tcW w:type="dxa" w:w="7140"/>
            <w:shd w:fill="1B4936" w:val="clear"/>
            <w:tcMar>
              <w:top w:type="dxa" w:w="90"/>
              <w:left w:type="dxa" w:w="140"/>
              <w:bottom w:type="dxa" w:w="90"/>
              <w:right w:type="dxa" w:w="140"/>
            </w:tcMar>
          </w:tcPr>
          <w:p>
            <w:pPr>
              <w:spacing w:after="0" w:line="260"/>
            </w:pPr>
            <w:r>
              <w:rPr>
                <w:b/>
                <w:bCs/>
                <w:color w:val="FFFFFF"/>
                <w:sz w:val="20"/>
                <w:szCs w:val="20"/>
              </w:rPr>
              <w:t xml:space="preserve">Day-to-day value</w:t>
            </w:r>
          </w:p>
        </w:tc>
      </w:tr>
      <w:tr>
        <w:tc>
          <w:tcPr>
            <w:tcW w:type="dxa" w:w="2400"/>
            <w:tcMar>
              <w:top w:type="dxa" w:w="90"/>
              <w:left w:type="dxa" w:w="140"/>
              <w:bottom w:type="dxa" w:w="90"/>
              <w:right w:type="dxa" w:w="140"/>
            </w:tcMar>
          </w:tcPr>
          <w:p>
            <w:pPr>
              <w:spacing w:after="0" w:line="260"/>
            </w:pPr>
            <w:r>
              <w:rPr>
                <w:b w:val="false"/>
                <w:bCs w:val="false"/>
                <w:color w:val="223028"/>
                <w:sz w:val="20"/>
                <w:szCs w:val="20"/>
              </w:rPr>
              <w:t xml:space="preserve">Principal &amp; Administration</w:t>
            </w:r>
          </w:p>
        </w:tc>
        <w:tc>
          <w:tcPr>
            <w:tcW w:type="dxa" w:w="7140"/>
            <w:tcMar>
              <w:top w:type="dxa" w:w="90"/>
              <w:left w:type="dxa" w:w="140"/>
              <w:bottom w:type="dxa" w:w="90"/>
              <w:right w:type="dxa" w:w="140"/>
            </w:tcMar>
          </w:tcPr>
          <w:p>
            <w:pPr>
              <w:spacing w:after="0" w:line="260"/>
            </w:pPr>
            <w:r>
              <w:rPr>
                <w:b w:val="false"/>
                <w:bCs w:val="false"/>
                <w:color w:val="223028"/>
                <w:sz w:val="20"/>
                <w:szCs w:val="20"/>
              </w:rPr>
              <w:t xml:space="preserve">One dashboard with today’s sales, total wallet float, active students and low-balance alerts. Menu, pricing, stock and availability are managed centrally and reflect at the counter instantly.</w:t>
            </w:r>
          </w:p>
        </w:tc>
      </w:tr>
      <w:tr>
        <w:tc>
          <w:tcPr>
            <w:tcW w:type="dxa" w:w="2400"/>
            <w:shd w:fill="F5F3E9" w:val="clear"/>
            <w:tcMar>
              <w:top w:type="dxa" w:w="90"/>
              <w:left w:type="dxa" w:w="140"/>
              <w:bottom w:type="dxa" w:w="90"/>
              <w:right w:type="dxa" w:w="140"/>
            </w:tcMar>
          </w:tcPr>
          <w:p>
            <w:pPr>
              <w:spacing w:after="0" w:line="260"/>
            </w:pPr>
            <w:r>
              <w:rPr>
                <w:b w:val="false"/>
                <w:bCs w:val="false"/>
                <w:color w:val="223028"/>
                <w:sz w:val="20"/>
                <w:szCs w:val="20"/>
              </w:rPr>
              <w:t xml:space="preserve">Finance team</w:t>
            </w:r>
          </w:p>
        </w:tc>
        <w:tc>
          <w:tcPr>
            <w:tcW w:type="dxa" w:w="7140"/>
            <w:shd w:fill="F5F3E9" w:val="clear"/>
            <w:tcMar>
              <w:top w:type="dxa" w:w="90"/>
              <w:left w:type="dxa" w:w="140"/>
              <w:bottom w:type="dxa" w:w="90"/>
              <w:right w:type="dxa" w:w="140"/>
            </w:tcMar>
          </w:tcPr>
          <w:p>
            <w:pPr>
              <w:spacing w:after="0" w:line="260"/>
            </w:pPr>
            <w:r>
              <w:rPr>
                <w:b w:val="false"/>
                <w:bCs w:val="false"/>
                <w:color w:val="223028"/>
                <w:sz w:val="20"/>
                <w:szCs w:val="20"/>
              </w:rPr>
              <w:t xml:space="preserve">Every rupee is digital and attributable. Weekly revenue, average order value and wallet float are tracked continuously, with one-click export of sales reports for audit and accounting.</w:t>
            </w:r>
          </w:p>
        </w:tc>
      </w:tr>
      <w:tr>
        <w:tc>
          <w:tcPr>
            <w:tcW w:type="dxa" w:w="2400"/>
            <w:tcMar>
              <w:top w:type="dxa" w:w="90"/>
              <w:left w:type="dxa" w:w="140"/>
              <w:bottom w:type="dxa" w:w="90"/>
              <w:right w:type="dxa" w:w="140"/>
            </w:tcMar>
          </w:tcPr>
          <w:p>
            <w:pPr>
              <w:spacing w:after="0" w:line="260"/>
            </w:pPr>
            <w:r>
              <w:rPr>
                <w:b w:val="false"/>
                <w:bCs w:val="false"/>
                <w:color w:val="223028"/>
                <w:sz w:val="20"/>
                <w:szCs w:val="20"/>
              </w:rPr>
              <w:t xml:space="preserve">Cafeteria staff</w:t>
            </w:r>
          </w:p>
        </w:tc>
        <w:tc>
          <w:tcPr>
            <w:tcW w:type="dxa" w:w="7140"/>
            <w:tcMar>
              <w:top w:type="dxa" w:w="90"/>
              <w:left w:type="dxa" w:w="140"/>
              <w:bottom w:type="dxa" w:w="90"/>
              <w:right w:type="dxa" w:w="140"/>
            </w:tcMar>
          </w:tcPr>
          <w:p>
            <w:pPr>
              <w:spacing w:after="0" w:line="260"/>
            </w:pPr>
            <w:r>
              <w:rPr>
                <w:b w:val="false"/>
                <w:bCs w:val="false"/>
                <w:color w:val="223028"/>
                <w:sz w:val="20"/>
                <w:szCs w:val="20"/>
              </w:rPr>
              <w:t xml:space="preserve">Scan a student QR/ID, tap items, confirm. Balances are checked before charging, allergy flags appear on the student card, and stock counts down automatically as items sell.</w:t>
            </w:r>
          </w:p>
        </w:tc>
      </w:tr>
      <w:tr>
        <w:tc>
          <w:tcPr>
            <w:tcW w:type="dxa" w:w="2400"/>
            <w:shd w:fill="F5F3E9" w:val="clear"/>
            <w:tcMar>
              <w:top w:type="dxa" w:w="90"/>
              <w:left w:type="dxa" w:w="140"/>
              <w:bottom w:type="dxa" w:w="90"/>
              <w:right w:type="dxa" w:w="140"/>
            </w:tcMar>
          </w:tcPr>
          <w:p>
            <w:pPr>
              <w:spacing w:after="0" w:line="260"/>
            </w:pPr>
            <w:r>
              <w:rPr>
                <w:b w:val="false"/>
                <w:bCs w:val="false"/>
                <w:color w:val="223028"/>
                <w:sz w:val="20"/>
                <w:szCs w:val="20"/>
              </w:rPr>
              <w:t xml:space="preserve">Parents</w:t>
            </w:r>
          </w:p>
        </w:tc>
        <w:tc>
          <w:tcPr>
            <w:tcW w:type="dxa" w:w="7140"/>
            <w:shd w:fill="F5F3E9" w:val="clear"/>
            <w:tcMar>
              <w:top w:type="dxa" w:w="90"/>
              <w:left w:type="dxa" w:w="140"/>
              <w:bottom w:type="dxa" w:w="90"/>
              <w:right w:type="dxa" w:w="140"/>
            </w:tcMar>
          </w:tcPr>
          <w:p>
            <w:pPr>
              <w:spacing w:after="0" w:line="260"/>
            </w:pPr>
            <w:r>
              <w:rPr>
                <w:b w:val="false"/>
                <w:bCs w:val="false"/>
                <w:color w:val="223028"/>
                <w:sz w:val="20"/>
                <w:szCs w:val="20"/>
              </w:rPr>
              <w:t xml:space="preserve">A mobile app with the child’s wallet balance, one-tap UPI/card/net-banking recharge, full transaction history, instant purchase and low-balance notifications, and a direct message channel to the cafeteria.</w:t>
            </w:r>
          </w:p>
        </w:tc>
      </w:tr>
      <w:tr>
        <w:tc>
          <w:tcPr>
            <w:tcW w:type="dxa" w:w="2400"/>
            <w:tcMar>
              <w:top w:type="dxa" w:w="90"/>
              <w:left w:type="dxa" w:w="140"/>
              <w:bottom w:type="dxa" w:w="90"/>
              <w:right w:type="dxa" w:w="140"/>
            </w:tcMar>
          </w:tcPr>
          <w:p>
            <w:pPr>
              <w:spacing w:after="0" w:line="260"/>
            </w:pPr>
            <w:r>
              <w:rPr>
                <w:b w:val="false"/>
                <w:bCs w:val="false"/>
                <w:color w:val="223028"/>
                <w:sz w:val="20"/>
                <w:szCs w:val="20"/>
              </w:rPr>
              <w:t xml:space="preserve">Students</w:t>
            </w:r>
          </w:p>
        </w:tc>
        <w:tc>
          <w:tcPr>
            <w:tcW w:type="dxa" w:w="7140"/>
            <w:tcMar>
              <w:top w:type="dxa" w:w="90"/>
              <w:left w:type="dxa" w:w="140"/>
              <w:bottom w:type="dxa" w:w="90"/>
              <w:right w:type="dxa" w:w="140"/>
            </w:tcMar>
          </w:tcPr>
          <w:p>
            <w:pPr>
              <w:spacing w:after="0" w:line="260"/>
            </w:pPr>
            <w:r>
              <w:rPr>
                <w:b w:val="false"/>
                <w:bCs w:val="false"/>
                <w:color w:val="223028"/>
                <w:sz w:val="20"/>
                <w:szCs w:val="20"/>
              </w:rPr>
              <w:t xml:space="preserve">No cash to carry or lose. Lunch is a scan away, and dietary restrictions travel with their profile to every counter.</w:t>
            </w:r>
          </w:p>
        </w:tc>
      </w:tr>
    </w:tbl>
    <w:p>
      <w:pPr>
        <w:pStyle w:val="Heading1"/>
        <w:spacing w:after="140" w:before="320"/>
      </w:pPr>
      <w:r>
        <w:t xml:space="preserve">The platform at a glance</w:t>
      </w:r>
    </w:p>
    <w:p>
      <w:pPr>
        <w:pBdr>
          <w:bottom w:val="single" w:color="A8851C" w:sz="6"/>
        </w:pBdr>
        <w:spacing w:after="240" w:before="60"/>
      </w:pPr>
    </w:p>
    <w:p>
      <w:pPr>
        <w:pStyle w:val="Heading2"/>
        <w:spacing w:after="140" w:before="320"/>
      </w:pPr>
      <w:r>
        <w:t xml:space="preserve">Admin console</w:t>
      </w:r>
    </w:p>
    <w:p>
      <w:pPr>
        <w:spacing w:after="160" w:line="300"/>
      </w:pPr>
      <w:r>
        <w:t xml:space="preserve">A management dashboard in the school’s own visual identity. Key performance cards show total wallet balance, today’s sales, active students and low-balance alerts. A weekly revenue chart and a live category mix show what the cafeteria is actually selling. Administrators manage students grade-wise, top up wallets, run the menu (pricing, stock, availability) and review a complete log of every notification sent to parents.</w:t>
      </w:r>
    </w:p>
    <w:p>
      <w:pPr>
        <w:pStyle w:val="Heading2"/>
        <w:spacing w:after="140" w:before="320"/>
      </w:pPr>
      <w:r>
        <w:t xml:space="preserve">Cafeteria point of sale</w:t>
      </w:r>
    </w:p>
    <w:p>
      <w:pPr>
        <w:spacing w:after="160" w:line="300"/>
      </w:pPr>
      <w:r>
        <w:t xml:space="preserve">The counter screen is built for speed at the lunch rush. Staff scan the student’s QR or type an ID, the student’s profile appears with wallet balance and any allergy warning, and items are added by tapping menu cards organised by category. The system totals the order, verifies the balance, charges the wallet and prints a school-branded receipt — and if the balance is short, the order is declined safely and the parent is notified to recharge, so no child is ever charged into the negative.</w:t>
      </w:r>
    </w:p>
    <w:p>
      <w:pPr>
        <w:pStyle w:val="Heading2"/>
        <w:spacing w:after="140" w:before="320"/>
      </w:pPr>
      <w:r>
        <w:t xml:space="preserve">Parent mobile app</w:t>
      </w:r>
    </w:p>
    <w:p>
      <w:pPr>
        <w:spacing w:after="160" w:line="300"/>
      </w:pPr>
      <w:r>
        <w:t xml:space="preserve">Designed to the standard parents expect from their banking apps. The home screen carries the student wallet card with live balance, quick actions for recharge and history, and today’s spend at a glance. Families with more than one child at the school switch between children in one tap. Recharges complete in seconds via UPI, card or net banking, and every purchase generates an instant push notification with the items, the amount and the balance remaining.</w:t>
      </w:r>
    </w:p>
    <w:p>
      <w:pPr>
        <w:pStyle w:val="Heading1"/>
        <w:spacing w:after="140" w:before="320"/>
      </w:pPr>
      <w:r>
        <w:t xml:space="preserve">How a purchase works</w:t>
      </w:r>
    </w:p>
    <w:p>
      <w:pPr>
        <w:pBdr>
          <w:bottom w:val="single" w:color="A8851C" w:sz="6"/>
        </w:pBdr>
        <w:spacing w:after="240" w:before="60"/>
      </w:pPr>
    </w:p>
    <w:p>
      <w:pPr>
        <w:pStyle w:val="ListParagraph"/>
        <w:numPr>
          <w:ilvl w:val="0"/>
          <w:numId w:val="2"/>
        </w:numPr>
        <w:spacing w:after="80" w:line="280"/>
      </w:pPr>
      <w:r>
        <w:t xml:space="preserve">The student presents their ID at the counter; staff scan it and the profile, balance and allergy flags appear.</w:t>
      </w:r>
    </w:p>
    <w:p>
      <w:pPr>
        <w:pStyle w:val="ListParagraph"/>
        <w:numPr>
          <w:ilvl w:val="0"/>
          <w:numId w:val="2"/>
        </w:numPr>
        <w:spacing w:after="80" w:line="280"/>
      </w:pPr>
      <w:r>
        <w:t xml:space="preserve">Staff tap the ordered items; the running total and the balance-after-purchase are shown before confirming.</w:t>
      </w:r>
    </w:p>
    <w:p>
      <w:pPr>
        <w:pStyle w:val="ListParagraph"/>
        <w:numPr>
          <w:ilvl w:val="0"/>
          <w:numId w:val="2"/>
        </w:numPr>
        <w:spacing w:after="80" w:line="280"/>
      </w:pPr>
      <w:r>
        <w:t xml:space="preserve">On confirmation the wallet is debited, stock is decremented, and a receipt is issued under the school’s crest.</w:t>
      </w:r>
    </w:p>
    <w:p>
      <w:pPr>
        <w:pStyle w:val="ListParagraph"/>
        <w:numPr>
          <w:ilvl w:val="0"/>
          <w:numId w:val="2"/>
        </w:numPr>
        <w:spacing w:after="80" w:line="280"/>
      </w:pPr>
      <w:r>
        <w:t xml:space="preserve">The parent receives a push and SMS within seconds: items, amount, and remaining balance.</w:t>
      </w:r>
    </w:p>
    <w:p>
      <w:pPr>
        <w:pStyle w:val="ListParagraph"/>
        <w:numPr>
          <w:ilvl w:val="0"/>
          <w:numId w:val="2"/>
        </w:numPr>
        <w:spacing w:after="200" w:line="280"/>
      </w:pPr>
      <w:r>
        <w:t xml:space="preserve">If the balance falls below ₹100, a low-balance alert goes to the parent automatically; if it is insufficient for an order, the order is declined and the parent is prompted to recharge.</w:t>
      </w:r>
    </w:p>
    <w:p>
      <w:pPr>
        <w:pStyle w:val="Heading1"/>
        <w:spacing w:after="140" w:before="320"/>
      </w:pPr>
      <w:r>
        <w:t xml:space="preserve">Safeguards built in</w:t>
      </w:r>
    </w:p>
    <w:p>
      <w:pPr>
        <w:pBdr>
          <w:bottom w:val="single" w:color="A8851C" w:sz="6"/>
        </w:pBdr>
        <w:spacing w:after="240" w:before="60"/>
      </w:pPr>
    </w:p>
    <w:p>
      <w:pPr>
        <w:pStyle w:val="ListParagraph"/>
        <w:numPr>
          <w:ilvl w:val="0"/>
          <w:numId w:val="3"/>
        </w:numPr>
        <w:spacing w:after="90" w:line="280"/>
      </w:pPr>
      <w:r>
        <w:rPr>
          <w:b/>
          <w:bCs/>
          <w:color w:val="1B4936"/>
        </w:rPr>
        <w:t xml:space="preserve">No overdrafts — </w:t>
      </w:r>
      <w:r>
        <w:t xml:space="preserve">Balances are verified before every charge; wallets can never go negative.</w:t>
      </w:r>
    </w:p>
    <w:p>
      <w:pPr>
        <w:pStyle w:val="ListParagraph"/>
        <w:numPr>
          <w:ilvl w:val="0"/>
          <w:numId w:val="3"/>
        </w:numPr>
        <w:spacing w:after="90" w:line="280"/>
      </w:pPr>
      <w:r>
        <w:rPr>
          <w:b/>
          <w:bCs/>
          <w:color w:val="1B4936"/>
        </w:rPr>
        <w:t xml:space="preserve">Allergy visibility — </w:t>
      </w:r>
      <w:r>
        <w:t xml:space="preserve">Food allergies are pinned to the student profile and shown to counter staff on every scan.</w:t>
      </w:r>
    </w:p>
    <w:p>
      <w:pPr>
        <w:pStyle w:val="ListParagraph"/>
        <w:numPr>
          <w:ilvl w:val="0"/>
          <w:numId w:val="3"/>
        </w:numPr>
        <w:spacing w:after="90" w:line="280"/>
      </w:pPr>
      <w:r>
        <w:rPr>
          <w:b/>
          <w:bCs/>
          <w:color w:val="1B4936"/>
        </w:rPr>
        <w:t xml:space="preserve">Full transparency — </w:t>
      </w:r>
      <w:r>
        <w:t xml:space="preserve">Parents see every transaction with timestamp and amount; the school sees the same ledger.</w:t>
      </w:r>
    </w:p>
    <w:p>
      <w:pPr>
        <w:pStyle w:val="ListParagraph"/>
        <w:numPr>
          <w:ilvl w:val="0"/>
          <w:numId w:val="3"/>
        </w:numPr>
        <w:spacing w:after="90" w:line="280"/>
      </w:pPr>
      <w:r>
        <w:rPr>
          <w:b/>
          <w:bCs/>
          <w:color w:val="1B4936"/>
        </w:rPr>
        <w:t xml:space="preserve">Payment security — </w:t>
      </w:r>
      <w:r>
        <w:t xml:space="preserve">Payments are processed over encrypted, PCI-DSS-compliant channels; the school never handles card data.</w:t>
      </w:r>
    </w:p>
    <w:p>
      <w:pPr>
        <w:pStyle w:val="ListParagraph"/>
        <w:numPr>
          <w:ilvl w:val="0"/>
          <w:numId w:val="3"/>
        </w:numPr>
        <w:spacing w:after="90" w:line="280"/>
      </w:pPr>
      <w:r>
        <w:rPr>
          <w:b/>
          <w:bCs/>
          <w:color w:val="1B4936"/>
        </w:rPr>
        <w:t xml:space="preserve">Clean accounting — </w:t>
      </w:r>
      <w:r>
        <w:t xml:space="preserve">Wallet float and daily sales are reconciled automatically — no cash counting, no shortfalls.</w:t>
      </w:r>
    </w:p>
    <w:p>
      <w:pPr>
        <w:pStyle w:val="Heading1"/>
        <w:spacing w:after="140" w:before="320"/>
      </w:pPr>
      <w:r>
        <w:t xml:space="preserve">Suggested implementation path</w:t>
      </w:r>
    </w:p>
    <w:p>
      <w:pPr>
        <w:pBdr>
          <w:bottom w:val="single" w:color="A8851C" w:sz="6"/>
        </w:pBdr>
        <w:spacing w:after="240" w:before="60"/>
      </w:pPr>
    </w:p>
    <w:tbl>
      <w:tblPr>
        <w:tblW w:type="dxa" w:w="9540"/>
        <w:tblBorders>
          <w:top w:val="single" w:color="D3D9CD" w:sz="4"/>
          <w:left w:val="single" w:color="D3D9CD" w:sz="4"/>
          <w:bottom w:val="single" w:color="D3D9CD" w:sz="4"/>
          <w:right w:val="single" w:color="D3D9CD" w:sz="4"/>
          <w:insideH w:val="single" w:color="D3D9CD" w:sz="4"/>
          <w:insideV w:val="single" w:color="D3D9CD" w:sz="4"/>
        </w:tblBorders>
      </w:tblPr>
      <w:tblGrid>
        <w:gridCol w:w="1900"/>
        <w:gridCol w:w="3400"/>
        <w:gridCol w:w="4240"/>
      </w:tblGrid>
      <w:tr>
        <w:tc>
          <w:tcPr>
            <w:tcW w:type="dxa" w:w="1900"/>
            <w:shd w:fill="1B4936" w:val="clear"/>
            <w:tcMar>
              <w:top w:type="dxa" w:w="90"/>
              <w:left w:type="dxa" w:w="140"/>
              <w:bottom w:type="dxa" w:w="90"/>
              <w:right w:type="dxa" w:w="140"/>
            </w:tcMar>
          </w:tcPr>
          <w:p>
            <w:pPr>
              <w:spacing w:after="0" w:line="260"/>
            </w:pPr>
            <w:r>
              <w:rPr>
                <w:b/>
                <w:bCs/>
                <w:color w:val="FFFFFF"/>
                <w:sz w:val="20"/>
                <w:szCs w:val="20"/>
              </w:rPr>
              <w:t xml:space="preserve">Phase</w:t>
            </w:r>
          </w:p>
        </w:tc>
        <w:tc>
          <w:tcPr>
            <w:tcW w:type="dxa" w:w="3400"/>
            <w:shd w:fill="1B4936" w:val="clear"/>
            <w:tcMar>
              <w:top w:type="dxa" w:w="90"/>
              <w:left w:type="dxa" w:w="140"/>
              <w:bottom w:type="dxa" w:w="90"/>
              <w:right w:type="dxa" w:w="140"/>
            </w:tcMar>
          </w:tcPr>
          <w:p>
            <w:pPr>
              <w:spacing w:after="0" w:line="260"/>
            </w:pPr>
            <w:r>
              <w:rPr>
                <w:b/>
                <w:bCs/>
                <w:color w:val="FFFFFF"/>
                <w:sz w:val="20"/>
                <w:szCs w:val="20"/>
              </w:rPr>
              <w:t xml:space="preserve">Scope</w:t>
            </w:r>
          </w:p>
        </w:tc>
        <w:tc>
          <w:tcPr>
            <w:tcW w:type="dxa" w:w="4240"/>
            <w:shd w:fill="1B4936" w:val="clear"/>
            <w:tcMar>
              <w:top w:type="dxa" w:w="90"/>
              <w:left w:type="dxa" w:w="140"/>
              <w:bottom w:type="dxa" w:w="90"/>
              <w:right w:type="dxa" w:w="140"/>
            </w:tcMar>
          </w:tcPr>
          <w:p>
            <w:pPr>
              <w:spacing w:after="0" w:line="260"/>
            </w:pPr>
            <w:r>
              <w:rPr>
                <w:b/>
                <w:bCs/>
                <w:color w:val="FFFFFF"/>
                <w:sz w:val="20"/>
                <w:szCs w:val="20"/>
              </w:rPr>
              <w:t xml:space="preserve">Outcome</w:t>
            </w:r>
          </w:p>
        </w:tc>
      </w:tr>
      <w:tr>
        <w:tc>
          <w:tcPr>
            <w:tcW w:type="dxa" w:w="1900"/>
            <w:tcMar>
              <w:top w:type="dxa" w:w="90"/>
              <w:left w:type="dxa" w:w="140"/>
              <w:bottom w:type="dxa" w:w="90"/>
              <w:right w:type="dxa" w:w="140"/>
            </w:tcMar>
          </w:tcPr>
          <w:p>
            <w:pPr>
              <w:spacing w:after="0" w:line="260"/>
            </w:pPr>
            <w:r>
              <w:rPr>
                <w:b w:val="false"/>
                <w:bCs w:val="false"/>
                <w:color w:val="223028"/>
                <w:sz w:val="20"/>
                <w:szCs w:val="20"/>
              </w:rPr>
              <w:t xml:space="preserve">Pilot (2–3 weeks)</w:t>
            </w:r>
          </w:p>
        </w:tc>
        <w:tc>
          <w:tcPr>
            <w:tcW w:type="dxa" w:w="3400"/>
            <w:tcMar>
              <w:top w:type="dxa" w:w="90"/>
              <w:left w:type="dxa" w:w="140"/>
              <w:bottom w:type="dxa" w:w="90"/>
              <w:right w:type="dxa" w:w="140"/>
            </w:tcMar>
          </w:tcPr>
          <w:p>
            <w:pPr>
              <w:spacing w:after="0" w:line="260"/>
            </w:pPr>
            <w:r>
              <w:rPr>
                <w:b w:val="false"/>
                <w:bCs w:val="false"/>
                <w:color w:val="223028"/>
                <w:sz w:val="20"/>
                <w:szCs w:val="20"/>
              </w:rPr>
              <w:t xml:space="preserve">One counter, two grades, staff training, parent onboarding for pilot families.</w:t>
            </w:r>
          </w:p>
        </w:tc>
        <w:tc>
          <w:tcPr>
            <w:tcW w:type="dxa" w:w="4240"/>
            <w:tcMar>
              <w:top w:type="dxa" w:w="90"/>
              <w:left w:type="dxa" w:w="140"/>
              <w:bottom w:type="dxa" w:w="90"/>
              <w:right w:type="dxa" w:w="140"/>
            </w:tcMar>
          </w:tcPr>
          <w:p>
            <w:pPr>
              <w:spacing w:after="0" w:line="260"/>
            </w:pPr>
            <w:r>
              <w:rPr>
                <w:b w:val="false"/>
                <w:bCs w:val="false"/>
                <w:color w:val="223028"/>
                <w:sz w:val="20"/>
                <w:szCs w:val="20"/>
              </w:rPr>
              <w:t xml:space="preserve">Live validation of the scan-to-receipt flow and parent notifications on real lunch service.</w:t>
            </w:r>
          </w:p>
        </w:tc>
      </w:tr>
      <w:tr>
        <w:tc>
          <w:tcPr>
            <w:tcW w:type="dxa" w:w="1900"/>
            <w:shd w:fill="F5F3E9" w:val="clear"/>
            <w:tcMar>
              <w:top w:type="dxa" w:w="90"/>
              <w:left w:type="dxa" w:w="140"/>
              <w:bottom w:type="dxa" w:w="90"/>
              <w:right w:type="dxa" w:w="140"/>
            </w:tcMar>
          </w:tcPr>
          <w:p>
            <w:pPr>
              <w:spacing w:after="0" w:line="260"/>
            </w:pPr>
            <w:r>
              <w:rPr>
                <w:b w:val="false"/>
                <w:bCs w:val="false"/>
                <w:color w:val="223028"/>
                <w:sz w:val="20"/>
                <w:szCs w:val="20"/>
              </w:rPr>
              <w:t xml:space="preserve">School-wide rollout</w:t>
            </w:r>
          </w:p>
        </w:tc>
        <w:tc>
          <w:tcPr>
            <w:tcW w:type="dxa" w:w="3400"/>
            <w:shd w:fill="F5F3E9" w:val="clear"/>
            <w:tcMar>
              <w:top w:type="dxa" w:w="90"/>
              <w:left w:type="dxa" w:w="140"/>
              <w:bottom w:type="dxa" w:w="90"/>
              <w:right w:type="dxa" w:w="140"/>
            </w:tcMar>
          </w:tcPr>
          <w:p>
            <w:pPr>
              <w:spacing w:after="0" w:line="260"/>
            </w:pPr>
            <w:r>
              <w:rPr>
                <w:b w:val="false"/>
                <w:bCs w:val="false"/>
                <w:color w:val="223028"/>
                <w:sz w:val="20"/>
                <w:szCs w:val="20"/>
              </w:rPr>
              <w:t xml:space="preserve">All grades and counters; ID cards QR-enabled; menu and pricing loaded by the cafeteria team.</w:t>
            </w:r>
          </w:p>
        </w:tc>
        <w:tc>
          <w:tcPr>
            <w:tcW w:type="dxa" w:w="4240"/>
            <w:shd w:fill="F5F3E9" w:val="clear"/>
            <w:tcMar>
              <w:top w:type="dxa" w:w="90"/>
              <w:left w:type="dxa" w:w="140"/>
              <w:bottom w:type="dxa" w:w="90"/>
              <w:right w:type="dxa" w:w="140"/>
            </w:tcMar>
          </w:tcPr>
          <w:p>
            <w:pPr>
              <w:spacing w:after="0" w:line="260"/>
            </w:pPr>
            <w:r>
              <w:rPr>
                <w:b w:val="false"/>
                <w:bCs w:val="false"/>
                <w:color w:val="223028"/>
                <w:sz w:val="20"/>
                <w:szCs w:val="20"/>
              </w:rPr>
              <w:t xml:space="preserve">Cash fully retired from the cafeteria; dashboard live for administration and finance.</w:t>
            </w:r>
          </w:p>
        </w:tc>
      </w:tr>
      <w:tr>
        <w:tc>
          <w:tcPr>
            <w:tcW w:type="dxa" w:w="1900"/>
            <w:tcMar>
              <w:top w:type="dxa" w:w="90"/>
              <w:left w:type="dxa" w:w="140"/>
              <w:bottom w:type="dxa" w:w="90"/>
              <w:right w:type="dxa" w:w="140"/>
            </w:tcMar>
          </w:tcPr>
          <w:p>
            <w:pPr>
              <w:spacing w:after="0" w:line="260"/>
            </w:pPr>
            <w:r>
              <w:rPr>
                <w:b w:val="false"/>
                <w:bCs w:val="false"/>
                <w:color w:val="223028"/>
                <w:sz w:val="20"/>
                <w:szCs w:val="20"/>
              </w:rPr>
              <w:t xml:space="preserve">Extensions</w:t>
            </w:r>
          </w:p>
        </w:tc>
        <w:tc>
          <w:tcPr>
            <w:tcW w:type="dxa" w:w="3400"/>
            <w:tcMar>
              <w:top w:type="dxa" w:w="90"/>
              <w:left w:type="dxa" w:w="140"/>
              <w:bottom w:type="dxa" w:w="90"/>
              <w:right w:type="dxa" w:w="140"/>
            </w:tcMar>
          </w:tcPr>
          <w:p>
            <w:pPr>
              <w:spacing w:after="0" w:line="260"/>
            </w:pPr>
            <w:r>
              <w:rPr>
                <w:b w:val="false"/>
                <w:bCs w:val="false"/>
                <w:color w:val="223028"/>
                <w:sz w:val="20"/>
                <w:szCs w:val="20"/>
              </w:rPr>
              <w:t xml:space="preserve">Auto-recharge rules, spending limits per child, meal-plan subscriptions, uniform/stationery counters.</w:t>
            </w:r>
          </w:p>
        </w:tc>
        <w:tc>
          <w:tcPr>
            <w:tcW w:type="dxa" w:w="4240"/>
            <w:tcMar>
              <w:top w:type="dxa" w:w="90"/>
              <w:left w:type="dxa" w:w="140"/>
              <w:bottom w:type="dxa" w:w="90"/>
              <w:right w:type="dxa" w:w="140"/>
            </w:tcMar>
          </w:tcPr>
          <w:p>
            <w:pPr>
              <w:spacing w:after="0" w:line="260"/>
            </w:pPr>
            <w:r>
              <w:rPr>
                <w:b w:val="false"/>
                <w:bCs w:val="false"/>
                <w:color w:val="223028"/>
                <w:sz w:val="20"/>
                <w:szCs w:val="20"/>
              </w:rPr>
              <w:t xml:space="preserve">One wallet for every payment a family makes to the school.</w:t>
            </w:r>
          </w:p>
        </w:tc>
      </w:tr>
    </w:tbl>
    <w:p>
      <w:pPr>
        <w:pStyle w:val="Heading2"/>
        <w:spacing w:after="140" w:before="320"/>
      </w:pPr>
      <w:r>
        <w:t xml:space="preserve">Next steps</w:t>
      </w:r>
    </w:p>
    <w:p>
      <w:pPr>
        <w:spacing w:after="160" w:line="300"/>
      </w:pPr>
      <w:r>
        <w:t xml:space="preserve">We propose a working session with the administration and cafeteria teams to walk through the live prototype, agree the pilot scope, and confirm the menu and pricing data to be loaded. The prototype shown alongside this document is fully interactive — every screen, wallet and notification behaves as it would in production.</w:t>
      </w:r>
    </w:p>
    <w:p>
      <w:pPr>
        <w:pBdr>
          <w:top w:val="single" w:color="A8851C" w:sz="6"/>
        </w:pBdr>
        <w:spacing w:before="300"/>
      </w:pPr>
    </w:p>
    <w:p>
      <w:pPr>
        <w:spacing w:after="0" w:before="120"/>
      </w:pPr>
      <w:r>
        <w:rPr>
          <w:b/>
          <w:bCs/>
          <w:color w:val="1B4936"/>
          <w:sz w:val="20"/>
          <w:szCs w:val="20"/>
        </w:rPr>
        <w:t xml:space="preserve">Campus Café for St. Lawrence International School</w:t>
      </w:r>
      <w:r>
        <w:rPr>
          <w:color w:val="5A6B60"/>
          <w:sz w:val="19"/>
          <w:szCs w:val="19"/>
        </w:rPr>
        <w:t xml:space="preserve">   ·   Prepared July 2026   ·   Accompanies the interactive prototype (single-file HTML demo)</w:t>
      </w:r>
    </w:p>
    <w:sectPr>
      <w:pgSz w:w="12240" w:h="15840" w:orient="portrait"/>
      <w:pgMar w:top="1200" w:right="1350" w:bottom="1200" w:left="13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20" w:hanging="220"/>
      </w:pPr>
    </w:lvl>
  </w:abstractNum>
  <w:abstractNum w:abstractNumId="3" w15:restartNumberingAfterBreak="0">
    <w:multiLevelType w:val="hybridMultilevel"/>
    <w:lvl w:ilvl="0" w15:tentative="1">
      <w:start w:val="1"/>
      <w:numFmt w:val="decimal"/>
      <w:lvlText w:val="%1."/>
      <w:lvlJc w:val="left"/>
      <w:pPr>
        <w:ind w:left="460" w:hanging="30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223028"/>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40" w:before="360"/>
    </w:pPr>
    <w:rPr>
      <w:rFonts w:ascii="Georgia" w:cs="Georgia" w:eastAsia="Georgia" w:hAnsi="Georgia"/>
      <w:b w:val="false"/>
      <w:bCs w:val="false"/>
      <w:color w:val="1B4936"/>
      <w:sz w:val="32"/>
      <w:szCs w:val="32"/>
    </w:rPr>
  </w:style>
  <w:style w:type="paragraph" w:styleId="Heading2">
    <w:name w:val="Heading 2"/>
    <w:basedOn w:val="Normal"/>
    <w:next w:val="Normal"/>
    <w:qFormat/>
    <w:pPr>
      <w:spacing w:after="120" w:before="280"/>
    </w:pPr>
    <w:rPr>
      <w:rFonts w:ascii="Georgia" w:cs="Georgia" w:eastAsia="Georgia" w:hAnsi="Georgia"/>
      <w:b w:val="false"/>
      <w:bCs w:val="false"/>
      <w:color w:val="245C46"/>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2026-07-11T04:29:54.280Z</dcterms:created>
  <dcterms:modified xsi:type="dcterms:W3CDTF">2026-07-11T04:29:54.295Z</dcterms:modified>
</cp:coreProperties>
</file>

<file path=docProps/custom.xml><?xml version="1.0" encoding="utf-8"?>
<Properties xmlns="http://schemas.openxmlformats.org/officeDocument/2006/custom-properties" xmlns:vt="http://schemas.openxmlformats.org/officeDocument/2006/docPropsVTypes"/>
</file>