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600" w:firstLineChars="400"/>
        <w:rPr>
          <w:rFonts w:ascii="微软雅黑" w:hAnsi="微软雅黑" w:eastAsia="微软雅黑"/>
          <w:color w:val="1F4E79" w:themeColor="accent5" w:themeShade="80"/>
          <w:sz w:val="40"/>
        </w:rPr>
      </w:pPr>
      <w:r>
        <w:rPr>
          <w:rFonts w:ascii="微软雅黑" w:hAnsi="微软雅黑" w:eastAsia="微软雅黑"/>
          <w:color w:val="5B9BD5" w:themeColor="accent5"/>
          <w:sz w:val="40"/>
          <w14:textFill>
            <w14:solidFill>
              <w14:schemeClr w14:val="accent5"/>
            </w14:solidFill>
          </w14:textFill>
        </w:rPr>
        <w:drawing>
          <wp:anchor distT="0" distB="0" distL="114300" distR="114300" simplePos="0" relativeHeight="251666432" behindDoc="0" locked="0" layoutInCell="1" allowOverlap="1">
            <wp:simplePos x="0" y="0"/>
            <wp:positionH relativeFrom="margin">
              <wp:align>left</wp:align>
            </wp:positionH>
            <wp:positionV relativeFrom="paragraph">
              <wp:posOffset>504825</wp:posOffset>
            </wp:positionV>
            <wp:extent cx="957580" cy="821055"/>
            <wp:effectExtent l="0" t="0" r="0" b="0"/>
            <wp:wrapNone/>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形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7600" cy="820800"/>
                    </a:xfrm>
                    <a:prstGeom prst="rect">
                      <a:avLst/>
                    </a:prstGeom>
                  </pic:spPr>
                </pic:pic>
              </a:graphicData>
            </a:graphic>
          </wp:anchor>
        </w:drawing>
      </w:r>
      <w:r>
        <w:rPr>
          <w:rFonts w:ascii="微软雅黑" w:hAnsi="微软雅黑" w:eastAsia="微软雅黑"/>
          <w:color w:val="5B9BD5" w:themeColor="accent5"/>
          <w:sz w:val="40"/>
          <w14:textFill>
            <w14:solidFill>
              <w14:schemeClr w14:val="accent5"/>
            </w14:solidFill>
          </w14:textFill>
        </w:rPr>
        <w:softHyphen/>
      </w:r>
      <w:r>
        <w:rPr>
          <w:rFonts w:ascii="微软雅黑" w:hAnsi="微软雅黑" w:eastAsia="微软雅黑"/>
          <w:color w:val="5B9BD5" w:themeColor="accent5"/>
          <w:sz w:val="40"/>
          <w14:textFill>
            <w14:solidFill>
              <w14:schemeClr w14:val="accent5"/>
            </w14:solidFill>
          </w14:textFill>
        </w:rPr>
        <w:softHyphen/>
      </w:r>
      <w:r>
        <w:rPr>
          <w:rFonts w:ascii="微软雅黑" w:hAnsi="微软雅黑" w:eastAsia="微软雅黑"/>
          <w:color w:val="5B9BD5" w:themeColor="accent5"/>
          <w:sz w:val="40"/>
          <w14:textFill>
            <w14:solidFill>
              <w14:schemeClr w14:val="accent5"/>
            </w14:solidFill>
          </w14:textFill>
        </w:rPr>
        <w:softHyphen/>
      </w:r>
      <w:r>
        <w:rPr>
          <w:rFonts w:ascii="微软雅黑" w:hAnsi="微软雅黑" w:eastAsia="微软雅黑"/>
          <w:color w:val="5B9BD5" w:themeColor="accent5"/>
          <w:sz w:val="40"/>
          <w14:textFill>
            <w14:solidFill>
              <w14:schemeClr w14:val="accent5"/>
            </w14:solidFill>
          </w14:textFill>
        </w:rPr>
        <w:softHyphen/>
      </w:r>
      <w:r>
        <w:rPr>
          <w:rFonts w:ascii="微软雅黑" w:hAnsi="微软雅黑" w:eastAsia="微软雅黑"/>
          <w:color w:val="5B9BD5" w:themeColor="accent5"/>
          <w:sz w:val="40"/>
          <w14:textFill>
            <w14:solidFill>
              <w14:schemeClr w14:val="accent5"/>
            </w14:solidFill>
          </w14:textFill>
        </w:rPr>
        <w:softHyphen/>
      </w:r>
      <w:r>
        <w:rPr>
          <w:rFonts w:ascii="微软雅黑" w:hAnsi="微软雅黑" w:eastAsia="微软雅黑"/>
          <w:color w:val="5B9BD5" w:themeColor="accent5"/>
          <w:sz w:val="40"/>
          <w14:textFill>
            <w14:solidFill>
              <w14:schemeClr w14:val="accent5"/>
            </w14:solidFill>
          </w14:textFill>
        </w:rPr>
        <w:softHyphen/>
      </w:r>
      <w:r>
        <w:rPr>
          <w:rFonts w:ascii="微软雅黑" w:hAnsi="微软雅黑" w:eastAsia="微软雅黑"/>
          <w:color w:val="5B9BD5" w:themeColor="accent5"/>
          <w:sz w:val="40"/>
          <w14:textFill>
            <w14:solidFill>
              <w14:schemeClr w14:val="accent5"/>
            </w14:solidFill>
          </w14:textFill>
        </w:rPr>
        <w:softHyphen/>
      </w:r>
      <w:r>
        <w:rPr>
          <w:rFonts w:ascii="微软雅黑" w:hAnsi="微软雅黑" w:eastAsia="微软雅黑"/>
          <w:color w:val="5B9BD5" w:themeColor="accent5"/>
          <w:sz w:val="40"/>
          <w14:textFill>
            <w14:solidFill>
              <w14:schemeClr w14:val="accent5"/>
            </w14:solidFill>
          </w14:textFill>
        </w:rPr>
        <w:softHyphen/>
      </w:r>
      <w:r>
        <w:rPr>
          <w:rFonts w:ascii="微软雅黑" w:hAnsi="微软雅黑" w:eastAsia="微软雅黑"/>
          <w:color w:val="5B9BD5" w:themeColor="accent5"/>
          <w:sz w:val="40"/>
          <w14:textFill>
            <w14:solidFill>
              <w14:schemeClr w14:val="accent5"/>
            </w14:solidFill>
          </w14:textFill>
        </w:rPr>
        <w:softHyphen/>
      </w:r>
      <w:r>
        <w:rPr>
          <w:rFonts w:ascii="微软雅黑" w:hAnsi="微软雅黑" w:eastAsia="微软雅黑"/>
          <w:color w:val="5B9BD5" w:themeColor="accent5"/>
          <w:sz w:val="40"/>
          <w14:textFill>
            <w14:solidFill>
              <w14:schemeClr w14:val="accent5"/>
            </w14:solidFill>
          </w14:textFill>
        </w:rPr>
        <w:softHyphen/>
      </w:r>
    </w:p>
    <w:p>
      <w:pPr>
        <w:ind w:firstLine="1600" w:firstLineChars="400"/>
        <w:rPr>
          <w:rFonts w:ascii="微软雅黑" w:hAnsi="微软雅黑" w:eastAsia="微软雅黑"/>
          <w:color w:val="1F4E79" w:themeColor="accent5" w:themeShade="80"/>
          <w:sz w:val="40"/>
        </w:rPr>
      </w:pPr>
      <w:r>
        <w:rPr>
          <w:rFonts w:hint="eastAsia" w:ascii="微软雅黑" w:hAnsi="微软雅黑" w:eastAsia="微软雅黑"/>
          <w:color w:val="1F4E79" w:themeColor="accent5" w:themeShade="80"/>
          <w:sz w:val="40"/>
        </w:rPr>
        <w:t>凯杰（苏州）</w:t>
      </w:r>
    </w:p>
    <w:p>
      <w:pPr>
        <w:rPr>
          <w:rFonts w:ascii="微软雅黑" w:hAnsi="微软雅黑" w:eastAsia="微软雅黑"/>
          <w:color w:val="1F4E79" w:themeColor="accent5" w:themeShade="80"/>
          <w:sz w:val="40"/>
        </w:rPr>
      </w:pPr>
    </w:p>
    <w:p>
      <w:pPr>
        <w:rPr>
          <w:rFonts w:ascii="微软雅黑" w:hAnsi="微软雅黑" w:eastAsia="微软雅黑"/>
          <w:color w:val="1F4E79" w:themeColor="accent5" w:themeShade="80"/>
          <w:sz w:val="40"/>
        </w:rPr>
      </w:pPr>
      <w:r>
        <w:rPr>
          <w:rFonts w:ascii="微软雅黑" w:hAnsi="微软雅黑" w:eastAsia="微软雅黑"/>
          <w:color w:val="5B9BD5" w:themeColor="accent5"/>
          <w:sz w:val="40"/>
          <w14:textFill>
            <w14:solidFill>
              <w14:schemeClr w14:val="accent5"/>
            </w14:solidFill>
          </w14:textFill>
        </w:rPr>
        <w:drawing>
          <wp:anchor distT="0" distB="0" distL="114300" distR="114300" simplePos="0" relativeHeight="251658240" behindDoc="1" locked="0" layoutInCell="1" allowOverlap="1">
            <wp:simplePos x="0" y="0"/>
            <wp:positionH relativeFrom="page">
              <wp:align>left</wp:align>
            </wp:positionH>
            <wp:positionV relativeFrom="paragraph">
              <wp:posOffset>238125</wp:posOffset>
            </wp:positionV>
            <wp:extent cx="7562850" cy="4219575"/>
            <wp:effectExtent l="0" t="0" r="0" b="952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62850" cy="4219575"/>
                    </a:xfrm>
                    <a:prstGeom prst="rect">
                      <a:avLst/>
                    </a:prstGeom>
                  </pic:spPr>
                </pic:pic>
              </a:graphicData>
            </a:graphic>
          </wp:anchor>
        </w:drawing>
      </w:r>
    </w:p>
    <w:p>
      <w:pPr>
        <w:ind w:firstLine="2400" w:firstLineChars="600"/>
        <w:rPr>
          <w:rFonts w:ascii="微软雅黑" w:hAnsi="微软雅黑" w:eastAsia="微软雅黑"/>
          <w:color w:val="1F4E79" w:themeColor="accent5" w:themeShade="80"/>
          <w:sz w:val="40"/>
        </w:rPr>
      </w:pPr>
    </w:p>
    <w:p>
      <w:pPr>
        <w:ind w:firstLine="3400" w:firstLineChars="850"/>
        <w:rPr>
          <w:rFonts w:ascii="微软雅黑" w:hAnsi="微软雅黑" w:eastAsia="微软雅黑"/>
          <w:color w:val="FFFFFF" w:themeColor="background1"/>
          <w:sz w:val="40"/>
          <w14:textFill>
            <w14:solidFill>
              <w14:schemeClr w14:val="bg1"/>
            </w14:solidFill>
          </w14:textFill>
        </w:rPr>
      </w:pPr>
      <w:r>
        <w:rPr>
          <w:rFonts w:hint="eastAsia" w:ascii="微软雅黑" w:hAnsi="微软雅黑" w:eastAsia="微软雅黑"/>
          <w:color w:val="FFFFFF" w:themeColor="background1"/>
          <w:sz w:val="40"/>
          <w14:textFill>
            <w14:solidFill>
              <w14:schemeClr w14:val="bg1"/>
            </w14:solidFill>
          </w14:textFill>
        </w:rPr>
        <w:t>迈杰1号</w:t>
      </w:r>
      <w:r>
        <w:rPr>
          <w:rFonts w:ascii="微软雅黑" w:hAnsi="微软雅黑" w:eastAsia="微软雅黑"/>
          <w:color w:val="FFFFFF" w:themeColor="background1"/>
          <w:sz w:val="40"/>
          <w:vertAlign w:val="superscript"/>
          <w14:textFill>
            <w14:solidFill>
              <w14:schemeClr w14:val="bg1"/>
            </w14:solidFill>
          </w14:textFill>
        </w:rPr>
        <w:t>TM</w:t>
      </w:r>
      <w:r>
        <w:rPr>
          <w:rFonts w:hint="eastAsia" w:ascii="微软雅黑" w:hAnsi="微软雅黑" w:eastAsia="微软雅黑"/>
          <w:color w:val="FFFFFF" w:themeColor="background1"/>
          <w:sz w:val="40"/>
          <w14:textFill>
            <w14:solidFill>
              <w14:schemeClr w14:val="bg1"/>
            </w14:solidFill>
          </w14:textFill>
        </w:rPr>
        <w:t xml:space="preserve"> </w:t>
      </w:r>
      <w:r>
        <w:rPr>
          <w:rFonts w:ascii="微软雅黑" w:hAnsi="微软雅黑" w:eastAsia="微软雅黑"/>
          <w:color w:val="FFFFFF" w:themeColor="background1"/>
          <w:sz w:val="40"/>
          <w14:textFill>
            <w14:solidFill>
              <w14:schemeClr w14:val="bg1"/>
            </w14:solidFill>
          </w14:textFill>
        </w:rPr>
        <w:t xml:space="preserve">  </w:t>
      </w:r>
      <w:r>
        <w:rPr>
          <w:rFonts w:hint="eastAsia" w:ascii="微软雅黑" w:hAnsi="微软雅黑" w:eastAsia="微软雅黑"/>
          <w:color w:val="FFFFFF" w:themeColor="background1"/>
          <w:sz w:val="40"/>
          <w14:textFill>
            <w14:solidFill>
              <w14:schemeClr w14:val="bg1"/>
            </w14:solidFill>
          </w14:textFill>
        </w:rPr>
        <w:t>Med</w:t>
      </w:r>
      <w:r>
        <w:rPr>
          <w:rFonts w:ascii="微软雅黑" w:hAnsi="微软雅黑" w:eastAsia="微软雅黑"/>
          <w:color w:val="FFFFFF" w:themeColor="background1"/>
          <w:sz w:val="40"/>
          <w14:textFill>
            <w14:solidFill>
              <w14:schemeClr w14:val="bg1"/>
            </w14:solidFill>
          </w14:textFill>
        </w:rPr>
        <w:t>1CDx</w:t>
      </w:r>
      <w:r>
        <w:rPr>
          <w:rFonts w:ascii="微软雅黑" w:hAnsi="微软雅黑" w:eastAsia="微软雅黑"/>
          <w:color w:val="FFFFFF" w:themeColor="background1"/>
          <w:sz w:val="40"/>
          <w:vertAlign w:val="superscript"/>
          <w14:textFill>
            <w14:solidFill>
              <w14:schemeClr w14:val="bg1"/>
            </w14:solidFill>
          </w14:textFill>
        </w:rPr>
        <w:t>TM</w:t>
      </w:r>
    </w:p>
    <w:p>
      <w:pPr>
        <w:ind w:firstLine="3400" w:firstLineChars="850"/>
        <w:rPr>
          <w:rFonts w:ascii="微软雅黑" w:hAnsi="微软雅黑" w:eastAsia="微软雅黑"/>
          <w:color w:val="FFFFFF" w:themeColor="background1"/>
          <w:sz w:val="40"/>
          <w14:textFill>
            <w14:solidFill>
              <w14:schemeClr w14:val="bg1"/>
            </w14:solidFill>
          </w14:textFill>
        </w:rPr>
      </w:pPr>
      <w:r>
        <w:rPr>
          <w:rFonts w:hint="eastAsia" w:ascii="微软雅黑" w:hAnsi="微软雅黑" w:eastAsia="微软雅黑"/>
          <w:color w:val="FFFFFF" w:themeColor="background1"/>
          <w:sz w:val="40"/>
          <w14:textFill>
            <w14:solidFill>
              <w14:schemeClr w14:val="bg1"/>
            </w14:solidFill>
          </w14:textFill>
        </w:rPr>
        <w:t>肿</w:t>
      </w:r>
      <w:r>
        <w:rPr>
          <w:rFonts w:hint="eastAsia" w:ascii="微软雅黑" w:hAnsi="微软雅黑" w:eastAsia="微软雅黑"/>
          <w:color w:val="FFFFFF" w:themeColor="background1"/>
          <w:sz w:val="13"/>
          <w:szCs w:val="13"/>
          <w14:textFill>
            <w14:solidFill>
              <w14:schemeClr w14:val="bg1"/>
            </w14:solidFill>
          </w14:textFill>
        </w:rPr>
        <w:t xml:space="preserve"> </w:t>
      </w:r>
      <w:r>
        <w:rPr>
          <w:rFonts w:hint="eastAsia" w:ascii="微软雅黑" w:hAnsi="微软雅黑" w:eastAsia="微软雅黑"/>
          <w:color w:val="FFFFFF" w:themeColor="background1"/>
          <w:sz w:val="40"/>
          <w14:textFill>
            <w14:solidFill>
              <w14:schemeClr w14:val="bg1"/>
            </w14:solidFill>
          </w14:textFill>
        </w:rPr>
        <w:t>瘤</w:t>
      </w:r>
      <w:r>
        <w:rPr>
          <w:rFonts w:hint="eastAsia" w:ascii="微软雅黑" w:hAnsi="微软雅黑" w:eastAsia="微软雅黑"/>
          <w:color w:val="FFFFFF" w:themeColor="background1"/>
          <w:sz w:val="13"/>
          <w:szCs w:val="13"/>
          <w14:textFill>
            <w14:solidFill>
              <w14:schemeClr w14:val="bg1"/>
            </w14:solidFill>
          </w14:textFill>
        </w:rPr>
        <w:t xml:space="preserve"> </w:t>
      </w:r>
      <w:r>
        <w:rPr>
          <w:rFonts w:hint="eastAsia" w:ascii="微软雅黑" w:hAnsi="微软雅黑" w:eastAsia="微软雅黑"/>
          <w:color w:val="FFFFFF" w:themeColor="background1"/>
          <w:sz w:val="40"/>
          <w14:textFill>
            <w14:solidFill>
              <w14:schemeClr w14:val="bg1"/>
            </w14:solidFill>
          </w14:textFill>
        </w:rPr>
        <w:t>精</w:t>
      </w:r>
      <w:r>
        <w:rPr>
          <w:rFonts w:hint="eastAsia" w:ascii="微软雅黑" w:hAnsi="微软雅黑" w:eastAsia="微软雅黑"/>
          <w:color w:val="FFFFFF" w:themeColor="background1"/>
          <w:sz w:val="13"/>
          <w:szCs w:val="13"/>
          <w14:textFill>
            <w14:solidFill>
              <w14:schemeClr w14:val="bg1"/>
            </w14:solidFill>
          </w14:textFill>
        </w:rPr>
        <w:t xml:space="preserve"> </w:t>
      </w:r>
      <w:r>
        <w:rPr>
          <w:rFonts w:hint="eastAsia" w:ascii="微软雅黑" w:hAnsi="微软雅黑" w:eastAsia="微软雅黑"/>
          <w:color w:val="FFFFFF" w:themeColor="background1"/>
          <w:sz w:val="40"/>
          <w14:textFill>
            <w14:solidFill>
              <w14:schemeClr w14:val="bg1"/>
            </w14:solidFill>
          </w14:textFill>
        </w:rPr>
        <w:t>准</w:t>
      </w:r>
      <w:r>
        <w:rPr>
          <w:rFonts w:hint="eastAsia" w:ascii="微软雅黑" w:hAnsi="微软雅黑" w:eastAsia="微软雅黑"/>
          <w:color w:val="FFFFFF" w:themeColor="background1"/>
          <w:sz w:val="13"/>
          <w:szCs w:val="13"/>
          <w14:textFill>
            <w14:solidFill>
              <w14:schemeClr w14:val="bg1"/>
            </w14:solidFill>
          </w14:textFill>
        </w:rPr>
        <w:t xml:space="preserve"> </w:t>
      </w:r>
      <w:r>
        <w:rPr>
          <w:rFonts w:hint="eastAsia" w:ascii="微软雅黑" w:hAnsi="微软雅黑" w:eastAsia="微软雅黑"/>
          <w:color w:val="FFFFFF" w:themeColor="background1"/>
          <w:sz w:val="40"/>
          <w14:textFill>
            <w14:solidFill>
              <w14:schemeClr w14:val="bg1"/>
            </w14:solidFill>
          </w14:textFill>
        </w:rPr>
        <w:t>治</w:t>
      </w:r>
      <w:r>
        <w:rPr>
          <w:rFonts w:hint="eastAsia" w:ascii="微软雅黑" w:hAnsi="微软雅黑" w:eastAsia="微软雅黑"/>
          <w:color w:val="FFFFFF" w:themeColor="background1"/>
          <w:sz w:val="13"/>
          <w:szCs w:val="13"/>
          <w14:textFill>
            <w14:solidFill>
              <w14:schemeClr w14:val="bg1"/>
            </w14:solidFill>
          </w14:textFill>
        </w:rPr>
        <w:t xml:space="preserve"> </w:t>
      </w:r>
      <w:r>
        <w:rPr>
          <w:rFonts w:hint="eastAsia" w:ascii="微软雅黑" w:hAnsi="微软雅黑" w:eastAsia="微软雅黑"/>
          <w:color w:val="FFFFFF" w:themeColor="background1"/>
          <w:sz w:val="40"/>
          <w14:textFill>
            <w14:solidFill>
              <w14:schemeClr w14:val="bg1"/>
            </w14:solidFill>
          </w14:textFill>
        </w:rPr>
        <w:t>疗</w:t>
      </w:r>
      <w:r>
        <w:rPr>
          <w:rFonts w:hint="eastAsia" w:ascii="微软雅黑" w:hAnsi="微软雅黑" w:eastAsia="微软雅黑"/>
          <w:color w:val="FFFFFF" w:themeColor="background1"/>
          <w:sz w:val="13"/>
          <w:szCs w:val="13"/>
          <w14:textFill>
            <w14:solidFill>
              <w14:schemeClr w14:val="bg1"/>
            </w14:solidFill>
          </w14:textFill>
        </w:rPr>
        <w:t xml:space="preserve"> </w:t>
      </w:r>
      <w:r>
        <w:rPr>
          <w:rFonts w:hint="eastAsia" w:ascii="微软雅黑" w:hAnsi="微软雅黑" w:eastAsia="微软雅黑"/>
          <w:color w:val="FFFFFF" w:themeColor="background1"/>
          <w:sz w:val="40"/>
          <w14:textFill>
            <w14:solidFill>
              <w14:schemeClr w14:val="bg1"/>
            </w14:solidFill>
          </w14:textFill>
        </w:rPr>
        <w:t>评</w:t>
      </w:r>
      <w:r>
        <w:rPr>
          <w:rFonts w:hint="eastAsia" w:ascii="微软雅黑" w:hAnsi="微软雅黑" w:eastAsia="微软雅黑"/>
          <w:color w:val="FFFFFF" w:themeColor="background1"/>
          <w:sz w:val="13"/>
          <w:szCs w:val="13"/>
          <w14:textFill>
            <w14:solidFill>
              <w14:schemeClr w14:val="bg1"/>
            </w14:solidFill>
          </w14:textFill>
        </w:rPr>
        <w:t xml:space="preserve"> </w:t>
      </w:r>
      <w:r>
        <w:rPr>
          <w:rFonts w:hint="eastAsia" w:ascii="微软雅黑" w:hAnsi="微软雅黑" w:eastAsia="微软雅黑"/>
          <w:color w:val="FFFFFF" w:themeColor="background1"/>
          <w:sz w:val="40"/>
          <w14:textFill>
            <w14:solidFill>
              <w14:schemeClr w14:val="bg1"/>
            </w14:solidFill>
          </w14:textFill>
        </w:rPr>
        <w:t>估</w:t>
      </w:r>
      <w:r>
        <w:rPr>
          <w:rFonts w:hint="eastAsia" w:ascii="微软雅黑" w:hAnsi="微软雅黑" w:eastAsia="微软雅黑"/>
          <w:color w:val="FFFFFF" w:themeColor="background1"/>
          <w:sz w:val="13"/>
          <w:szCs w:val="13"/>
          <w14:textFill>
            <w14:solidFill>
              <w14:schemeClr w14:val="bg1"/>
            </w14:solidFill>
          </w14:textFill>
        </w:rPr>
        <w:t xml:space="preserve"> </w:t>
      </w:r>
      <w:r>
        <w:rPr>
          <w:rFonts w:hint="eastAsia" w:ascii="微软雅黑" w:hAnsi="微软雅黑" w:eastAsia="微软雅黑"/>
          <w:color w:val="FFFFFF" w:themeColor="background1"/>
          <w:sz w:val="40"/>
          <w14:textFill>
            <w14:solidFill>
              <w14:schemeClr w14:val="bg1"/>
            </w14:solidFill>
          </w14:textFill>
        </w:rPr>
        <w:t>报</w:t>
      </w:r>
      <w:r>
        <w:rPr>
          <w:rFonts w:hint="eastAsia" w:ascii="微软雅黑" w:hAnsi="微软雅黑" w:eastAsia="微软雅黑"/>
          <w:color w:val="FFFFFF" w:themeColor="background1"/>
          <w:sz w:val="13"/>
          <w:szCs w:val="13"/>
          <w14:textFill>
            <w14:solidFill>
              <w14:schemeClr w14:val="bg1"/>
            </w14:solidFill>
          </w14:textFill>
        </w:rPr>
        <w:t xml:space="preserve"> </w:t>
      </w:r>
      <w:r>
        <w:rPr>
          <w:rFonts w:hint="eastAsia" w:ascii="微软雅黑" w:hAnsi="微软雅黑" w:eastAsia="微软雅黑"/>
          <w:color w:val="FFFFFF" w:themeColor="background1"/>
          <w:sz w:val="40"/>
          <w14:textFill>
            <w14:solidFill>
              <w14:schemeClr w14:val="bg1"/>
            </w14:solidFill>
          </w14:textFill>
        </w:rPr>
        <w:t>告</w:t>
      </w:r>
    </w:p>
    <w:p>
      <w:pPr>
        <w:ind w:left="420" w:leftChars="200" w:firstLine="2000" w:firstLineChars="500"/>
        <w:rPr>
          <w:rFonts w:ascii="微软雅黑" w:hAnsi="微软雅黑" w:eastAsia="微软雅黑"/>
          <w:color w:val="1F4E79" w:themeColor="accent5" w:themeShade="80"/>
          <w:sz w:val="40"/>
        </w:rPr>
      </w:pPr>
    </w:p>
    <w:p>
      <w:pPr>
        <w:ind w:left="420" w:leftChars="200" w:firstLine="2000" w:firstLineChars="500"/>
        <w:rPr>
          <w:rFonts w:ascii="微软雅黑" w:hAnsi="微软雅黑" w:eastAsia="微软雅黑"/>
          <w:color w:val="1F4E79" w:themeColor="accent5" w:themeShade="80"/>
          <w:sz w:val="40"/>
        </w:rPr>
      </w:pPr>
    </w:p>
    <w:p>
      <w:pPr>
        <w:ind w:left="420" w:leftChars="200" w:firstLine="2000" w:firstLineChars="500"/>
        <w:rPr>
          <w:rFonts w:ascii="微软雅黑" w:hAnsi="微软雅黑" w:eastAsia="微软雅黑"/>
          <w:color w:val="1F4E79" w:themeColor="accent5" w:themeShade="80"/>
          <w:sz w:val="40"/>
        </w:rPr>
      </w:pPr>
    </w:p>
    <w:p>
      <w:pPr>
        <w:jc w:val="left"/>
        <w:rPr>
          <w:rFonts w:ascii="微软雅黑" w:hAnsi="微软雅黑" w:eastAsia="微软雅黑"/>
          <w:color w:val="1F4E79" w:themeColor="accent5" w:themeShade="80"/>
          <w:sz w:val="40"/>
        </w:rPr>
      </w:pPr>
    </w:p>
    <w:p>
      <w:pPr>
        <w:jc w:val="left"/>
        <w:rPr>
          <w:rFonts w:ascii="微软雅黑" w:hAnsi="微软雅黑" w:eastAsia="微软雅黑"/>
          <w:color w:val="1F4E79" w:themeColor="accent5" w:themeShade="80"/>
          <w:sz w:val="40"/>
        </w:rPr>
      </w:pPr>
    </w:p>
    <w:p>
      <w:pPr>
        <w:jc w:val="left"/>
        <w:rPr>
          <w:rFonts w:ascii="微软雅黑" w:hAnsi="微软雅黑" w:eastAsia="微软雅黑"/>
          <w:color w:val="1F4E79" w:themeColor="accent5" w:themeShade="80"/>
          <w:sz w:val="40"/>
        </w:rPr>
      </w:pPr>
    </w:p>
    <w:p>
      <w:pPr>
        <w:jc w:val="center"/>
        <w:rPr>
          <w:rFonts w:ascii="微软雅黑" w:hAnsi="微软雅黑" w:eastAsia="微软雅黑"/>
          <w:color w:val="1F4E79" w:themeColor="accent5" w:themeShade="80"/>
          <w:sz w:val="28"/>
        </w:rPr>
      </w:pPr>
      <w:r>
        <w:rPr>
          <w:rFonts w:hint="eastAsia" w:ascii="微软雅黑" w:hAnsi="微软雅黑" w:eastAsia="微软雅黑"/>
          <w:color w:val="1F4E79" w:themeColor="accent5" w:themeShade="80"/>
          <w:sz w:val="28"/>
        </w:rPr>
        <w:t>凯杰</w:t>
      </w:r>
      <w:r>
        <w:rPr>
          <w:rFonts w:ascii="微软雅黑" w:hAnsi="微软雅黑" w:eastAsia="微软雅黑"/>
          <w:color w:val="1F4E79" w:themeColor="accent5" w:themeShade="80"/>
          <w:sz w:val="28"/>
        </w:rPr>
        <w:t>(苏州)转化医学研究有限公司</w:t>
      </w:r>
    </w:p>
    <w:p>
      <w:pPr>
        <w:jc w:val="center"/>
        <w:rPr>
          <w:rFonts w:ascii="Times New Roman" w:hAnsi="Times New Roman" w:eastAsia="微软雅黑" w:cs="Times New Roman"/>
          <w:color w:val="1F4E79" w:themeColor="accent5" w:themeShade="80"/>
          <w:sz w:val="20"/>
        </w:rPr>
      </w:pPr>
      <w:r>
        <w:rPr>
          <w:rFonts w:ascii="Times New Roman" w:hAnsi="Times New Roman" w:eastAsia="微软雅黑" w:cs="Times New Roman"/>
          <w:color w:val="1F4E79" w:themeColor="accent5" w:themeShade="80"/>
          <w:sz w:val="20"/>
        </w:rPr>
        <w:t>QIAGEN(Suzhou) Translational Medicine Co., Ltd.</w:t>
      </w:r>
    </w:p>
    <w:p>
      <w:pPr>
        <w:widowControl/>
        <w:jc w:val="left"/>
        <w:rPr>
          <w:rFonts w:ascii="微软雅黑" w:hAnsi="微软雅黑" w:eastAsia="微软雅黑"/>
          <w:color w:val="1F4E79" w:themeColor="accent5" w:themeShade="80"/>
          <w:sz w:val="32"/>
        </w:rPr>
      </w:pPr>
      <w:r>
        <w:rPr>
          <w:rFonts w:ascii="微软雅黑" w:hAnsi="微软雅黑" w:eastAsia="微软雅黑"/>
          <w:color w:val="1F4E79" w:themeColor="accent5" w:themeShade="80"/>
          <w:sz w:val="32"/>
        </w:rPr>
        <w:br w:type="page"/>
      </w:r>
    </w:p>
    <w:p>
      <w:pPr>
        <w:widowControl/>
        <w:jc w:val="left"/>
        <w:rPr>
          <w:rFonts w:ascii="微软雅黑" w:hAnsi="微软雅黑" w:eastAsia="微软雅黑"/>
          <w:color w:val="1F4E79" w:themeColor="accent5" w:themeShade="80"/>
          <w:sz w:val="32"/>
        </w:rPr>
      </w:pPr>
      <w:r>
        <w:rPr>
          <w:rFonts w:ascii="微软雅黑" w:hAnsi="微软雅黑" w:eastAsia="微软雅黑"/>
          <w:color w:val="5B9BD5" w:themeColor="accent5"/>
          <w:sz w:val="40"/>
          <w14:textFill>
            <w14:solidFill>
              <w14:schemeClr w14:val="accent5"/>
            </w14:solidFill>
          </w14:textFill>
        </w:rPr>
        <w:drawing>
          <wp:anchor distT="0" distB="0" distL="114300" distR="114300" simplePos="0" relativeHeight="251660288" behindDoc="1" locked="0" layoutInCell="1" allowOverlap="1">
            <wp:simplePos x="0" y="0"/>
            <wp:positionH relativeFrom="page">
              <wp:align>left</wp:align>
            </wp:positionH>
            <wp:positionV relativeFrom="paragraph">
              <wp:posOffset>-908685</wp:posOffset>
            </wp:positionV>
            <wp:extent cx="7562850" cy="106680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62850" cy="10668000"/>
                    </a:xfrm>
                    <a:prstGeom prst="rect">
                      <a:avLst/>
                    </a:prstGeom>
                  </pic:spPr>
                </pic:pic>
              </a:graphicData>
            </a:graphic>
          </wp:anchor>
        </w:drawing>
      </w:r>
    </w:p>
    <w:p>
      <w:pPr>
        <w:widowControl/>
        <w:jc w:val="left"/>
        <w:rPr>
          <w:rFonts w:ascii="微软雅黑" w:hAnsi="微软雅黑" w:eastAsia="微软雅黑"/>
          <w:color w:val="1F4E79" w:themeColor="accent5" w:themeShade="80"/>
          <w:sz w:val="32"/>
        </w:rPr>
      </w:pPr>
    </w:p>
    <w:p>
      <w:pPr>
        <w:widowControl/>
        <w:jc w:val="left"/>
        <w:rPr>
          <w:rFonts w:ascii="微软雅黑" w:hAnsi="微软雅黑" w:eastAsia="微软雅黑"/>
          <w:color w:val="FFFFFF" w:themeColor="background1"/>
          <w:sz w:val="32"/>
          <w14:textFill>
            <w14:solidFill>
              <w14:schemeClr w14:val="bg1"/>
            </w14:solidFill>
          </w14:textFill>
        </w:rPr>
      </w:pPr>
    </w:p>
    <w:p>
      <w:pPr>
        <w:widowControl/>
        <w:jc w:val="left"/>
        <w:rPr>
          <w:rFonts w:ascii="微软雅黑" w:hAnsi="微软雅黑" w:eastAsia="微软雅黑"/>
          <w:color w:val="FFFFFF" w:themeColor="background1"/>
          <w:sz w:val="32"/>
          <w14:textFill>
            <w14:solidFill>
              <w14:schemeClr w14:val="bg1"/>
            </w14:solidFill>
          </w14:textFill>
        </w:rPr>
      </w:pPr>
      <w:r>
        <w:rPr>
          <w:rFonts w:hint="eastAsia" w:ascii="微软雅黑" w:hAnsi="微软雅黑" w:eastAsia="微软雅黑"/>
          <w:color w:val="FFFFFF" w:themeColor="background1"/>
          <w:sz w:val="32"/>
          <w14:textFill>
            <w14:solidFill>
              <w14:schemeClr w14:val="bg1"/>
            </w14:solidFill>
          </w14:textFill>
        </w:rPr>
        <w:t>【凯杰（苏州）】Q</w:t>
      </w:r>
      <w:r>
        <w:rPr>
          <w:rFonts w:ascii="微软雅黑" w:hAnsi="微软雅黑" w:eastAsia="微软雅黑"/>
          <w:color w:val="FFFFFF" w:themeColor="background1"/>
          <w:sz w:val="32"/>
          <w14:textFill>
            <w14:solidFill>
              <w14:schemeClr w14:val="bg1"/>
            </w14:solidFill>
          </w14:textFill>
        </w:rPr>
        <w:t>IAGEN</w:t>
      </w:r>
    </w:p>
    <w:p>
      <w:pPr>
        <w:autoSpaceDE w:val="0"/>
        <w:autoSpaceDN w:val="0"/>
        <w:adjustRightInd w:val="0"/>
        <w:jc w:val="left"/>
        <w:rPr>
          <w:rFonts w:ascii="微软雅黑" w:hAnsi="微软雅黑" w:eastAsia="微软雅黑"/>
          <w:color w:val="FFFFFF" w:themeColor="background1"/>
          <w:szCs w:val="24"/>
          <w14:textFill>
            <w14:solidFill>
              <w14:schemeClr w14:val="bg1"/>
            </w14:solidFill>
          </w14:textFill>
        </w:rPr>
      </w:pPr>
      <w:r>
        <w:rPr>
          <w:rFonts w:hint="eastAsia" w:ascii="微软雅黑" w:hAnsi="微软雅黑" w:eastAsia="微软雅黑"/>
          <w:color w:val="FFFFFF" w:themeColor="background1"/>
          <w:szCs w:val="24"/>
          <w14:textFill>
            <w14:solidFill>
              <w14:schemeClr w14:val="bg1"/>
            </w14:solidFill>
          </w14:textFill>
        </w:rPr>
        <w:t>凯杰（苏</w:t>
      </w:r>
      <w:r>
        <w:rPr>
          <w:rFonts w:hint="eastAsia" w:ascii="微软雅黑" w:hAnsi="微软雅黑" w:eastAsia="微软雅黑" w:cs="MicrosoftYaHei"/>
          <w:color w:val="FFFFFF" w:themeColor="background1"/>
          <w:kern w:val="0"/>
          <w:szCs w:val="24"/>
          <w14:textFill>
            <w14:solidFill>
              <w14:schemeClr w14:val="bg1"/>
            </w14:solidFill>
          </w14:textFill>
        </w:rPr>
        <w:t>州）转化医学研究有限公司是一个为精准医疗提供完整解决方案的创新型公司，致力于为中国待解决的医疗需求提供个体化诊疗解决方案，为肿瘤临床医生提供最全面、最精准的多组学分析和解读，助力肿瘤临床医生为患者制定个性化的治疗方案，使患者获益最大化。</w:t>
      </w:r>
    </w:p>
    <w:p>
      <w:pPr>
        <w:jc w:val="center"/>
        <w:rPr>
          <w:rFonts w:ascii="微软雅黑" w:hAnsi="微软雅黑" w:eastAsia="微软雅黑"/>
          <w:color w:val="FFFFFF" w:themeColor="background1"/>
          <w:sz w:val="32"/>
          <w14:textFill>
            <w14:solidFill>
              <w14:schemeClr w14:val="bg1"/>
            </w14:solidFill>
          </w14:textFill>
        </w:rPr>
      </w:pPr>
    </w:p>
    <w:p>
      <w:pPr>
        <w:widowControl/>
        <w:jc w:val="left"/>
        <w:rPr>
          <w:rFonts w:ascii="微软雅黑" w:hAnsi="微软雅黑" w:eastAsia="微软雅黑"/>
          <w:color w:val="FFFFFF" w:themeColor="background1"/>
          <w:sz w:val="32"/>
          <w14:textFill>
            <w14:solidFill>
              <w14:schemeClr w14:val="bg1"/>
            </w14:solidFill>
          </w14:textFill>
        </w:rPr>
      </w:pPr>
      <w:r>
        <w:rPr>
          <w:rFonts w:hint="eastAsia" w:ascii="微软雅黑" w:hAnsi="微软雅黑" w:eastAsia="微软雅黑"/>
          <w:color w:val="FFFFFF" w:themeColor="background1"/>
          <w:sz w:val="32"/>
          <w14:textFill>
            <w14:solidFill>
              <w14:schemeClr w14:val="bg1"/>
            </w14:solidFill>
          </w14:textFill>
        </w:rPr>
        <w:t>【迈杰1号</w:t>
      </w:r>
      <w:r>
        <w:rPr>
          <w:rFonts w:ascii="微软雅黑" w:hAnsi="微软雅黑" w:eastAsia="微软雅黑"/>
          <w:color w:val="FFFFFF" w:themeColor="background1"/>
          <w:sz w:val="32"/>
          <w:vertAlign w:val="superscript"/>
          <w14:textFill>
            <w14:solidFill>
              <w14:schemeClr w14:val="bg1"/>
            </w14:solidFill>
          </w14:textFill>
        </w:rPr>
        <w:t>TM</w:t>
      </w:r>
      <w:r>
        <w:rPr>
          <w:rFonts w:hint="eastAsia" w:ascii="微软雅黑" w:hAnsi="微软雅黑" w:eastAsia="微软雅黑"/>
          <w:color w:val="FFFFFF" w:themeColor="background1"/>
          <w:sz w:val="32"/>
          <w14:textFill>
            <w14:solidFill>
              <w14:schemeClr w14:val="bg1"/>
            </w14:solidFill>
          </w14:textFill>
        </w:rPr>
        <w:t>】Med</w:t>
      </w:r>
      <w:r>
        <w:rPr>
          <w:rFonts w:ascii="微软雅黑" w:hAnsi="微软雅黑" w:eastAsia="微软雅黑"/>
          <w:color w:val="FFFFFF" w:themeColor="background1"/>
          <w:sz w:val="32"/>
          <w14:textFill>
            <w14:solidFill>
              <w14:schemeClr w14:val="bg1"/>
            </w14:solidFill>
          </w14:textFill>
        </w:rPr>
        <w:t>1CDx</w:t>
      </w:r>
      <w:r>
        <w:rPr>
          <w:rFonts w:ascii="微软雅黑" w:hAnsi="微软雅黑" w:eastAsia="微软雅黑"/>
          <w:color w:val="FFFFFF" w:themeColor="background1"/>
          <w:sz w:val="32"/>
          <w:vertAlign w:val="superscript"/>
          <w14:textFill>
            <w14:solidFill>
              <w14:schemeClr w14:val="bg1"/>
            </w14:solidFill>
          </w14:textFill>
        </w:rPr>
        <w:t>TM</w:t>
      </w:r>
    </w:p>
    <w:p>
      <w:pPr>
        <w:widowControl/>
        <w:jc w:val="left"/>
        <w:rPr>
          <w:rFonts w:ascii="微软雅黑" w:hAnsi="微软雅黑" w:eastAsia="微软雅黑" w:cs="MicrosoftYaHei"/>
          <w:color w:val="FFFFFF" w:themeColor="background1"/>
          <w:kern w:val="0"/>
          <w:szCs w:val="24"/>
          <w14:textFill>
            <w14:solidFill>
              <w14:schemeClr w14:val="bg1"/>
            </w14:solidFill>
          </w14:textFill>
        </w:rPr>
      </w:pPr>
      <w:r>
        <w:rPr>
          <w:rFonts w:hint="eastAsia" w:ascii="微软雅黑" w:hAnsi="微软雅黑" w:eastAsia="微软雅黑" w:cs="MicrosoftYaHei"/>
          <w:color w:val="FFFFFF" w:themeColor="background1"/>
          <w:kern w:val="0"/>
          <w:szCs w:val="24"/>
          <w14:textFill>
            <w14:solidFill>
              <w14:schemeClr w14:val="bg1"/>
            </w14:solidFill>
          </w14:textFill>
        </w:rPr>
        <w:t>迈杰1号</w:t>
      </w:r>
      <w:r>
        <w:rPr>
          <w:rFonts w:ascii="微软雅黑" w:hAnsi="微软雅黑" w:eastAsia="微软雅黑" w:cs="MicrosoftYaHei"/>
          <w:color w:val="FFFFFF" w:themeColor="background1"/>
          <w:kern w:val="0"/>
          <w:szCs w:val="24"/>
          <w:vertAlign w:val="superscript"/>
          <w14:textFill>
            <w14:solidFill>
              <w14:schemeClr w14:val="bg1"/>
            </w14:solidFill>
          </w14:textFill>
        </w:rPr>
        <w:t>TM</w:t>
      </w:r>
      <w:r>
        <w:rPr>
          <w:rFonts w:hint="eastAsia" w:ascii="微软雅黑" w:hAnsi="微软雅黑" w:eastAsia="微软雅黑" w:cs="MicrosoftYaHei"/>
          <w:color w:val="FFFFFF" w:themeColor="background1"/>
          <w:kern w:val="0"/>
          <w:szCs w:val="24"/>
          <w14:textFill>
            <w14:solidFill>
              <w14:schemeClr w14:val="bg1"/>
            </w14:solidFill>
          </w14:textFill>
        </w:rPr>
        <w:t>（Med</w:t>
      </w:r>
      <w:r>
        <w:rPr>
          <w:rFonts w:ascii="微软雅黑" w:hAnsi="微软雅黑" w:eastAsia="微软雅黑" w:cs="MicrosoftYaHei"/>
          <w:color w:val="FFFFFF" w:themeColor="background1"/>
          <w:kern w:val="0"/>
          <w:szCs w:val="24"/>
          <w14:textFill>
            <w14:solidFill>
              <w14:schemeClr w14:val="bg1"/>
            </w14:solidFill>
          </w14:textFill>
        </w:rPr>
        <w:t>1CDx</w:t>
      </w:r>
      <w:r>
        <w:rPr>
          <w:rFonts w:ascii="微软雅黑" w:hAnsi="微软雅黑" w:eastAsia="微软雅黑" w:cs="MicrosoftYaHei"/>
          <w:color w:val="FFFFFF" w:themeColor="background1"/>
          <w:kern w:val="0"/>
          <w:szCs w:val="24"/>
          <w:vertAlign w:val="superscript"/>
          <w14:textFill>
            <w14:solidFill>
              <w14:schemeClr w14:val="bg1"/>
            </w14:solidFill>
          </w14:textFill>
        </w:rPr>
        <w:t>TM</w:t>
      </w:r>
      <w:r>
        <w:rPr>
          <w:rFonts w:hint="eastAsia" w:ascii="微软雅黑" w:hAnsi="微软雅黑" w:eastAsia="微软雅黑" w:cs="MicrosoftYaHei"/>
          <w:color w:val="FFFFFF" w:themeColor="background1"/>
          <w:kern w:val="0"/>
          <w:szCs w:val="24"/>
          <w14:textFill>
            <w14:solidFill>
              <w14:schemeClr w14:val="bg1"/>
            </w14:solidFill>
          </w14:textFill>
        </w:rPr>
        <w:t>）是凯杰（苏州）针对肿瘤精准治疗独立研发的，通过对肿瘤组织的靶向区域和转录组高深度测序数据综合分析，全面、精准地评估肿瘤治疗方式的多组学检测产品。</w:t>
      </w:r>
    </w:p>
    <w:p>
      <w:pPr>
        <w:autoSpaceDE w:val="0"/>
        <w:autoSpaceDN w:val="0"/>
        <w:adjustRightInd w:val="0"/>
        <w:jc w:val="left"/>
        <w:rPr>
          <w:rFonts w:ascii="微软雅黑" w:hAnsi="微软雅黑" w:eastAsia="微软雅黑" w:cs="MicrosoftYaHei"/>
          <w:color w:val="FFFFFF" w:themeColor="background1"/>
          <w:kern w:val="0"/>
          <w:szCs w:val="24"/>
          <w14:textFill>
            <w14:solidFill>
              <w14:schemeClr w14:val="bg1"/>
            </w14:solidFill>
          </w14:textFill>
        </w:rPr>
      </w:pPr>
      <w:r>
        <w:rPr>
          <w:rFonts w:hint="eastAsia" w:ascii="微软雅黑" w:hAnsi="微软雅黑" w:eastAsia="微软雅黑" w:cs="MicrosoftYaHei"/>
          <w:color w:val="FFFFFF" w:themeColor="background1"/>
          <w:kern w:val="0"/>
          <w:szCs w:val="24"/>
          <w14:textFill>
            <w14:solidFill>
              <w14:schemeClr w14:val="bg1"/>
            </w14:solidFill>
          </w14:textFill>
        </w:rPr>
        <w:t>迈杰1号</w:t>
      </w:r>
      <w:r>
        <w:rPr>
          <w:rFonts w:ascii="微软雅黑" w:hAnsi="微软雅黑" w:eastAsia="微软雅黑" w:cs="MicrosoftYaHei"/>
          <w:color w:val="FFFFFF" w:themeColor="background1"/>
          <w:kern w:val="0"/>
          <w:szCs w:val="24"/>
          <w:vertAlign w:val="superscript"/>
          <w14:textFill>
            <w14:solidFill>
              <w14:schemeClr w14:val="bg1"/>
            </w14:solidFill>
          </w14:textFill>
        </w:rPr>
        <w:t>TM</w:t>
      </w:r>
      <w:r>
        <w:rPr>
          <w:rFonts w:hint="eastAsia" w:ascii="微软雅黑" w:hAnsi="微软雅黑" w:eastAsia="微软雅黑" w:cs="MicrosoftYaHei"/>
          <w:color w:val="FFFFFF" w:themeColor="background1"/>
          <w:kern w:val="0"/>
          <w:szCs w:val="24"/>
          <w14:textFill>
            <w14:solidFill>
              <w14:schemeClr w14:val="bg1"/>
            </w14:solidFill>
          </w14:textFill>
        </w:rPr>
        <w:t>（Med</w:t>
      </w:r>
      <w:r>
        <w:rPr>
          <w:rFonts w:ascii="微软雅黑" w:hAnsi="微软雅黑" w:eastAsia="微软雅黑" w:cs="MicrosoftYaHei"/>
          <w:color w:val="FFFFFF" w:themeColor="background1"/>
          <w:kern w:val="0"/>
          <w:szCs w:val="24"/>
          <w14:textFill>
            <w14:solidFill>
              <w14:schemeClr w14:val="bg1"/>
            </w14:solidFill>
          </w14:textFill>
        </w:rPr>
        <w:t>1CDx</w:t>
      </w:r>
      <w:r>
        <w:rPr>
          <w:rFonts w:ascii="微软雅黑" w:hAnsi="微软雅黑" w:eastAsia="微软雅黑" w:cs="MicrosoftYaHei"/>
          <w:color w:val="FFFFFF" w:themeColor="background1"/>
          <w:kern w:val="0"/>
          <w:szCs w:val="24"/>
          <w:vertAlign w:val="superscript"/>
          <w14:textFill>
            <w14:solidFill>
              <w14:schemeClr w14:val="bg1"/>
            </w14:solidFill>
          </w14:textFill>
        </w:rPr>
        <w:t>TM</w:t>
      </w:r>
      <w:r>
        <w:rPr>
          <w:rFonts w:hint="eastAsia" w:ascii="微软雅黑" w:hAnsi="微软雅黑" w:eastAsia="微软雅黑" w:cs="MicrosoftYaHei"/>
          <w:color w:val="FFFFFF" w:themeColor="background1"/>
          <w:kern w:val="0"/>
          <w:szCs w:val="24"/>
          <w14:textFill>
            <w14:solidFill>
              <w14:schemeClr w14:val="bg1"/>
            </w14:solidFill>
          </w14:textFill>
        </w:rPr>
        <w:t>），旨在为肿瘤临床医生和肿瘤治疗机构提供综合性的诊疗评估报告，涉及的治疗方式包括靶向治疗、免疫治疗和化疗。在靶向治疗方面，为靶向药的使用提供变异分析和用药参考；在免疫治疗方面，为免疫检查点抑制剂的使用提供适用性评估、为细胞免疫治疗或肿瘤疫苗治疗提供高置信度的肿瘤新生抗原鉴定；在化疗方面，为化疗药的使用提供有效性以及毒性评估。</w:t>
      </w:r>
    </w:p>
    <w:p>
      <w:pPr>
        <w:rPr>
          <w:rFonts w:ascii="微软雅黑" w:hAnsi="微软雅黑" w:eastAsia="微软雅黑" w:cs="MicrosoftYaHei"/>
          <w:color w:val="FFFFFF" w:themeColor="background1"/>
          <w:kern w:val="0"/>
          <w:szCs w:val="24"/>
          <w14:textFill>
            <w14:solidFill>
              <w14:schemeClr w14:val="bg1"/>
            </w14:solidFill>
          </w14:textFill>
        </w:rPr>
      </w:pPr>
      <w:r>
        <w:rPr>
          <w:rFonts w:hint="eastAsia" w:ascii="微软雅黑" w:hAnsi="微软雅黑" w:eastAsia="微软雅黑" w:cs="MicrosoftYaHei"/>
          <w:color w:val="FFFFFF" w:themeColor="background1"/>
          <w:kern w:val="0"/>
          <w:szCs w:val="24"/>
          <w14:textFill>
            <w14:solidFill>
              <w14:schemeClr w14:val="bg1"/>
            </w14:solidFill>
          </w14:textFill>
        </w:rPr>
        <w:t>迈杰1号</w:t>
      </w:r>
      <w:r>
        <w:rPr>
          <w:rFonts w:ascii="微软雅黑" w:hAnsi="微软雅黑" w:eastAsia="微软雅黑" w:cs="MicrosoftYaHei"/>
          <w:color w:val="FFFFFF" w:themeColor="background1"/>
          <w:kern w:val="0"/>
          <w:szCs w:val="24"/>
          <w:vertAlign w:val="superscript"/>
          <w14:textFill>
            <w14:solidFill>
              <w14:schemeClr w14:val="bg1"/>
            </w14:solidFill>
          </w14:textFill>
        </w:rPr>
        <w:t>TM</w:t>
      </w:r>
      <w:r>
        <w:rPr>
          <w:rFonts w:hint="eastAsia" w:ascii="微软雅黑" w:hAnsi="微软雅黑" w:eastAsia="微软雅黑" w:cs="MicrosoftYaHei"/>
          <w:color w:val="FFFFFF" w:themeColor="background1"/>
          <w:kern w:val="0"/>
          <w:szCs w:val="24"/>
          <w14:textFill>
            <w14:solidFill>
              <w14:schemeClr w14:val="bg1"/>
            </w14:solidFill>
          </w14:textFill>
        </w:rPr>
        <w:t>（Med</w:t>
      </w:r>
      <w:r>
        <w:rPr>
          <w:rFonts w:ascii="微软雅黑" w:hAnsi="微软雅黑" w:eastAsia="微软雅黑" w:cs="MicrosoftYaHei"/>
          <w:color w:val="FFFFFF" w:themeColor="background1"/>
          <w:kern w:val="0"/>
          <w:szCs w:val="24"/>
          <w14:textFill>
            <w14:solidFill>
              <w14:schemeClr w14:val="bg1"/>
            </w14:solidFill>
          </w14:textFill>
        </w:rPr>
        <w:t>1CDx</w:t>
      </w:r>
      <w:r>
        <w:rPr>
          <w:rFonts w:ascii="微软雅黑" w:hAnsi="微软雅黑" w:eastAsia="微软雅黑" w:cs="MicrosoftYaHei"/>
          <w:color w:val="FFFFFF" w:themeColor="background1"/>
          <w:kern w:val="0"/>
          <w:szCs w:val="24"/>
          <w:vertAlign w:val="superscript"/>
          <w14:textFill>
            <w14:solidFill>
              <w14:schemeClr w14:val="bg1"/>
            </w14:solidFill>
          </w14:textFill>
        </w:rPr>
        <w:t>TM</w:t>
      </w:r>
      <w:r>
        <w:rPr>
          <w:rFonts w:hint="eastAsia" w:ascii="微软雅黑" w:hAnsi="微软雅黑" w:eastAsia="微软雅黑" w:cs="MicrosoftYaHei"/>
          <w:color w:val="FFFFFF" w:themeColor="background1"/>
          <w:kern w:val="0"/>
          <w:szCs w:val="24"/>
          <w14:textFill>
            <w14:solidFill>
              <w14:schemeClr w14:val="bg1"/>
            </w14:solidFill>
          </w14:textFill>
        </w:rPr>
        <w:t>）以更全面的视角，更严格的标准为肿瘤精准治疗导航！</w:t>
      </w:r>
    </w:p>
    <w:p>
      <w:pPr>
        <w:widowControl/>
        <w:jc w:val="left"/>
        <w:rPr>
          <w:rFonts w:ascii="微软雅黑" w:hAnsi="微软雅黑" w:eastAsia="微软雅黑" w:cs="MicrosoftYaHei"/>
          <w:color w:val="FFFFFF" w:themeColor="background1"/>
          <w:kern w:val="0"/>
          <w:szCs w:val="24"/>
          <w14:textFill>
            <w14:solidFill>
              <w14:schemeClr w14:val="bg1"/>
            </w14:solidFill>
          </w14:textFill>
        </w:rPr>
      </w:pPr>
      <w:r>
        <w:rPr>
          <w:rFonts w:ascii="微软雅黑" w:hAnsi="微软雅黑" w:eastAsia="微软雅黑" w:cs="MicrosoftYaHei"/>
          <w:color w:val="FFFFFF" w:themeColor="background1"/>
          <w:kern w:val="0"/>
          <w:szCs w:val="24"/>
          <w14:textFill>
            <w14:solidFill>
              <w14:schemeClr w14:val="bg1"/>
            </w14:solidFill>
          </w14:textFill>
        </w:rPr>
        <w:br w:type="page"/>
      </w:r>
    </w:p>
    <w:p>
      <w:pPr>
        <w:jc w:val="center"/>
        <w:rPr>
          <w:rFonts w:ascii="微软雅黑" w:hAnsi="微软雅黑" w:eastAsia="微软雅黑" w:cs="MicrosoftYaHei"/>
          <w:kern w:val="0"/>
          <w:sz w:val="36"/>
          <w:szCs w:val="24"/>
        </w:rPr>
      </w:pPr>
      <w:r>
        <w:rPr>
          <w:rFonts w:hint="eastAsia" w:ascii="微软雅黑" w:hAnsi="微软雅黑" w:eastAsia="微软雅黑" w:cs="MicrosoftYaHei"/>
          <w:kern w:val="0"/>
          <w:sz w:val="36"/>
          <w:szCs w:val="24"/>
        </w:rPr>
        <w:t>致您的一封信</w:t>
      </w:r>
    </w:p>
    <w:p>
      <w:pPr>
        <w:spacing w:line="400" w:lineRule="exact"/>
        <w:jc w:val="left"/>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尊敬的客户：</w:t>
      </w:r>
    </w:p>
    <w:p>
      <w:pPr>
        <w:spacing w:line="400" w:lineRule="exact"/>
        <w:jc w:val="left"/>
        <w:rPr>
          <w:rFonts w:ascii="微软雅黑" w:hAnsi="微软雅黑" w:eastAsia="微软雅黑" w:cs="MicrosoftYaHei"/>
          <w:kern w:val="0"/>
          <w:sz w:val="22"/>
          <w:szCs w:val="24"/>
        </w:rPr>
      </w:pPr>
    </w:p>
    <w:p>
      <w:pPr>
        <w:spacing w:line="400" w:lineRule="exact"/>
        <w:jc w:val="left"/>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您好！</w:t>
      </w:r>
    </w:p>
    <w:p>
      <w:pPr>
        <w:spacing w:line="400" w:lineRule="exact"/>
        <w:jc w:val="left"/>
        <w:rPr>
          <w:rFonts w:ascii="微软雅黑" w:hAnsi="微软雅黑" w:eastAsia="微软雅黑" w:cs="MicrosoftYaHei"/>
          <w:kern w:val="0"/>
          <w:sz w:val="22"/>
          <w:szCs w:val="24"/>
        </w:rPr>
      </w:pPr>
    </w:p>
    <w:p>
      <w:pPr>
        <w:spacing w:line="400" w:lineRule="exact"/>
        <w:jc w:val="left"/>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首先感谢您对凯杰（苏州）的信任！迈杰1号</w:t>
      </w:r>
      <w:r>
        <w:rPr>
          <w:rFonts w:ascii="微软雅黑" w:hAnsi="微软雅黑" w:eastAsia="微软雅黑" w:cs="MicrosoftYaHei"/>
          <w:kern w:val="0"/>
          <w:sz w:val="22"/>
          <w:szCs w:val="24"/>
          <w:vertAlign w:val="superscript"/>
        </w:rPr>
        <w:t>TM</w:t>
      </w:r>
      <w:r>
        <w:rPr>
          <w:rFonts w:hint="eastAsia" w:ascii="微软雅黑" w:hAnsi="微软雅黑" w:eastAsia="微软雅黑" w:cs="MicrosoftYaHei"/>
          <w:kern w:val="0"/>
          <w:sz w:val="22"/>
          <w:szCs w:val="24"/>
        </w:rPr>
        <w:t>（Med</w:t>
      </w:r>
      <w:r>
        <w:rPr>
          <w:rFonts w:ascii="微软雅黑" w:hAnsi="微软雅黑" w:eastAsia="微软雅黑" w:cs="MicrosoftYaHei"/>
          <w:kern w:val="0"/>
          <w:sz w:val="22"/>
          <w:szCs w:val="24"/>
        </w:rPr>
        <w:t>1CDx</w:t>
      </w:r>
      <w:r>
        <w:rPr>
          <w:rFonts w:ascii="微软雅黑" w:hAnsi="微软雅黑" w:eastAsia="微软雅黑" w:cs="MicrosoftYaHei"/>
          <w:kern w:val="0"/>
          <w:sz w:val="22"/>
          <w:szCs w:val="24"/>
          <w:vertAlign w:val="superscript"/>
        </w:rPr>
        <w:t>TM</w:t>
      </w:r>
      <w:r>
        <w:rPr>
          <w:rFonts w:hint="eastAsia" w:ascii="微软雅黑" w:hAnsi="微软雅黑" w:eastAsia="微软雅黑" w:cs="MicrosoftYaHei"/>
          <w:kern w:val="0"/>
          <w:sz w:val="22"/>
          <w:szCs w:val="24"/>
        </w:rPr>
        <w:t>）旨在肿瘤治疗提供综合性的诊疗评估报告。我们通过更全面、更权威及更前沿的生信分析对您的送检样本进行检测，为您的肿瘤精准治疗导航！</w:t>
      </w:r>
    </w:p>
    <w:p>
      <w:pPr>
        <w:spacing w:line="400" w:lineRule="exact"/>
        <w:jc w:val="left"/>
        <w:rPr>
          <w:rFonts w:ascii="微软雅黑" w:hAnsi="微软雅黑" w:eastAsia="微软雅黑" w:cs="MicrosoftYaHei"/>
          <w:kern w:val="0"/>
          <w:sz w:val="22"/>
          <w:szCs w:val="24"/>
        </w:rPr>
      </w:pPr>
    </w:p>
    <w:p>
      <w:pPr>
        <w:spacing w:line="400" w:lineRule="exact"/>
        <w:jc w:val="left"/>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我们本着科学严谨，认真负责的态度，通过国际标准的样本分析，依据临床指南、专家共识等循证医学证据为您筛选敏感性较高、毒副作用较低的个性化药物治疗方案，帮助医生实现精准治疗，并最大化提升您的治疗获益。</w:t>
      </w:r>
    </w:p>
    <w:p>
      <w:pPr>
        <w:spacing w:line="400" w:lineRule="exact"/>
        <w:jc w:val="left"/>
        <w:rPr>
          <w:rFonts w:ascii="微软雅黑" w:hAnsi="微软雅黑" w:eastAsia="微软雅黑" w:cs="MicrosoftYaHei"/>
          <w:kern w:val="0"/>
          <w:sz w:val="22"/>
          <w:szCs w:val="24"/>
        </w:rPr>
      </w:pPr>
    </w:p>
    <w:p>
      <w:pPr>
        <w:spacing w:line="400" w:lineRule="exact"/>
        <w:jc w:val="left"/>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此次检测具体内容由您的主治医生根据病情和检测意愿进行选择，并在凯杰</w:t>
      </w:r>
      <w:r>
        <w:rPr>
          <w:rFonts w:ascii="微软雅黑" w:hAnsi="微软雅黑" w:eastAsia="微软雅黑" w:cs="MicrosoftYaHei"/>
          <w:kern w:val="0"/>
          <w:sz w:val="22"/>
          <w:szCs w:val="24"/>
        </w:rPr>
        <w:t>(苏州)转化医学研究有限公司</w:t>
      </w:r>
      <w:r>
        <w:rPr>
          <w:rFonts w:hint="eastAsia" w:ascii="微软雅黑" w:hAnsi="微软雅黑" w:eastAsia="微软雅黑" w:cs="MicrosoftYaHei"/>
          <w:kern w:val="0"/>
          <w:sz w:val="22"/>
          <w:szCs w:val="24"/>
        </w:rPr>
        <w:t>的专业基因检测室进行，与您个人身份有关的资料我们将妥善保管，并且保证不会泄露给第三方机构。</w:t>
      </w:r>
    </w:p>
    <w:p>
      <w:pPr>
        <w:spacing w:line="400" w:lineRule="exact"/>
        <w:jc w:val="left"/>
        <w:rPr>
          <w:rFonts w:ascii="微软雅黑" w:hAnsi="微软雅黑" w:eastAsia="微软雅黑" w:cs="MicrosoftYaHei"/>
          <w:kern w:val="0"/>
          <w:sz w:val="22"/>
          <w:szCs w:val="24"/>
        </w:rPr>
      </w:pPr>
    </w:p>
    <w:p>
      <w:pPr>
        <w:spacing w:line="400" w:lineRule="exact"/>
        <w:jc w:val="left"/>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随着科学与医学的不断发展，癌症治疗的不断突破，我们有充足的理由相信癌症不再是无法攻克的难题。凯杰（苏州）全体将竭诚为您服务，与您携手抗击病魔。</w:t>
      </w:r>
    </w:p>
    <w:p>
      <w:pPr>
        <w:spacing w:line="400" w:lineRule="exact"/>
        <w:jc w:val="left"/>
        <w:rPr>
          <w:rFonts w:ascii="微软雅黑" w:hAnsi="微软雅黑" w:eastAsia="微软雅黑" w:cs="MicrosoftYaHei"/>
          <w:kern w:val="0"/>
          <w:sz w:val="22"/>
          <w:szCs w:val="24"/>
        </w:rPr>
      </w:pPr>
    </w:p>
    <w:p>
      <w:pPr>
        <w:spacing w:line="400" w:lineRule="exact"/>
        <w:jc w:val="left"/>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最后希望我们的每一个报告结果都能贡献一份绵薄之力，为您的身体健康构建一道更坚实的保护墙。</w:t>
      </w:r>
    </w:p>
    <w:p>
      <w:pPr>
        <w:spacing w:line="400" w:lineRule="exact"/>
        <w:jc w:val="left"/>
        <w:rPr>
          <w:rFonts w:ascii="微软雅黑" w:hAnsi="微软雅黑" w:eastAsia="微软雅黑" w:cs="MicrosoftYaHei"/>
          <w:kern w:val="0"/>
          <w:sz w:val="28"/>
          <w:szCs w:val="24"/>
        </w:rPr>
      </w:pPr>
    </w:p>
    <w:p>
      <w:pPr>
        <w:spacing w:line="400" w:lineRule="exact"/>
        <w:jc w:val="left"/>
        <w:rPr>
          <w:rFonts w:ascii="微软雅黑" w:hAnsi="微软雅黑" w:eastAsia="微软雅黑" w:cs="MicrosoftYaHei"/>
          <w:kern w:val="0"/>
          <w:sz w:val="28"/>
          <w:szCs w:val="24"/>
        </w:rPr>
      </w:pPr>
    </w:p>
    <w:p>
      <w:pPr>
        <w:spacing w:line="400" w:lineRule="exact"/>
        <w:jc w:val="left"/>
        <w:rPr>
          <w:rFonts w:ascii="微软雅黑" w:hAnsi="微软雅黑" w:eastAsia="微软雅黑" w:cs="MicrosoftYaHei"/>
          <w:kern w:val="0"/>
          <w:sz w:val="28"/>
          <w:szCs w:val="24"/>
        </w:rPr>
      </w:pPr>
      <w:r>
        <w:rPr>
          <w:rFonts w:ascii="微软雅黑" w:hAnsi="微软雅黑" w:eastAsia="微软雅黑"/>
          <w:color w:val="5B9BD5" w:themeColor="accent5"/>
          <w:sz w:val="40"/>
          <w14:textFill>
            <w14:solidFill>
              <w14:schemeClr w14:val="accent5"/>
            </w14:solidFill>
          </w14:textFill>
        </w:rPr>
        <w:drawing>
          <wp:anchor distT="0" distB="0" distL="114300" distR="114300" simplePos="0" relativeHeight="251668480" behindDoc="0" locked="0" layoutInCell="1" allowOverlap="1">
            <wp:simplePos x="0" y="0"/>
            <wp:positionH relativeFrom="margin">
              <wp:posOffset>3609975</wp:posOffset>
            </wp:positionH>
            <wp:positionV relativeFrom="paragraph">
              <wp:posOffset>156210</wp:posOffset>
            </wp:positionV>
            <wp:extent cx="957580" cy="821055"/>
            <wp:effectExtent l="0" t="0" r="0" b="0"/>
            <wp:wrapNone/>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7600" cy="820800"/>
                    </a:xfrm>
                    <a:prstGeom prst="rect">
                      <a:avLst/>
                    </a:prstGeom>
                  </pic:spPr>
                </pic:pic>
              </a:graphicData>
            </a:graphic>
          </wp:anchor>
        </w:drawing>
      </w:r>
    </w:p>
    <w:p>
      <w:pPr>
        <w:jc w:val="right"/>
        <w:rPr>
          <w:rFonts w:ascii="微软雅黑" w:hAnsi="微软雅黑" w:eastAsia="微软雅黑"/>
          <w:sz w:val="40"/>
        </w:rPr>
      </w:pPr>
      <w:r>
        <w:rPr>
          <w:rFonts w:hint="eastAsia" w:ascii="微软雅黑" w:hAnsi="微软雅黑" w:eastAsia="微软雅黑"/>
          <w:sz w:val="40"/>
        </w:rPr>
        <w:t xml:space="preserve"> 凯杰（苏州）</w:t>
      </w:r>
    </w:p>
    <w:p>
      <w:pPr>
        <w:spacing w:line="400" w:lineRule="exact"/>
        <w:jc w:val="left"/>
        <w:rPr>
          <w:rFonts w:ascii="微软雅黑" w:hAnsi="微软雅黑" w:eastAsia="微软雅黑" w:cs="MicrosoftYaHei"/>
          <w:color w:val="1F4E79" w:themeColor="accent5" w:themeShade="80"/>
          <w:kern w:val="0"/>
          <w:sz w:val="28"/>
          <w:szCs w:val="24"/>
        </w:rPr>
      </w:pPr>
    </w:p>
    <w:p>
      <w:pPr>
        <w:widowControl/>
        <w:jc w:val="left"/>
        <w:rPr>
          <w:rFonts w:ascii="微软雅黑" w:hAnsi="微软雅黑" w:eastAsia="微软雅黑" w:cs="MicrosoftYaHei"/>
          <w:color w:val="1F4E79" w:themeColor="accent5" w:themeShade="80"/>
          <w:kern w:val="0"/>
          <w:sz w:val="24"/>
          <w:szCs w:val="24"/>
        </w:rPr>
      </w:pPr>
      <w:r>
        <w:rPr>
          <w:rFonts w:ascii="微软雅黑" w:hAnsi="微软雅黑" w:eastAsia="微软雅黑" w:cs="MicrosoftYaHei"/>
          <w:color w:val="1F4E79" w:themeColor="accent5" w:themeShade="80"/>
          <w:kern w:val="0"/>
          <w:sz w:val="24"/>
          <w:szCs w:val="24"/>
        </w:rPr>
        <w:br w:type="page"/>
      </w:r>
    </w:p>
    <w:p>
      <w:pPr>
        <w:widowControl/>
        <w:jc w:val="left"/>
        <w:rPr>
          <w:rFonts w:ascii="微软雅黑" w:hAnsi="微软雅黑" w:eastAsia="微软雅黑" w:cs="MicrosoftYaHei"/>
          <w:kern w:val="0"/>
          <w:sz w:val="20"/>
          <w:szCs w:val="24"/>
        </w:rPr>
        <w:sectPr>
          <w:footerReference r:id="rId3" w:type="default"/>
          <w:pgSz w:w="11906" w:h="16838"/>
          <w:pgMar w:top="1440" w:right="1080" w:bottom="1440" w:left="1080" w:header="851" w:footer="992" w:gutter="0"/>
          <w:pgNumType w:start="1"/>
          <w:cols w:space="425" w:num="1"/>
          <w:docGrid w:type="lines" w:linePitch="312" w:charSpace="0"/>
        </w:sectPr>
      </w:pPr>
    </w:p>
    <w:p>
      <w:pPr>
        <w:widowControl/>
        <w:jc w:val="left"/>
        <w:rPr>
          <w:rFonts w:ascii="微软雅黑" w:hAnsi="微软雅黑" w:eastAsia="微软雅黑" w:cs="MicrosoftYaHei"/>
          <w:color w:val="1F4E79" w:themeColor="accent5" w:themeShade="80"/>
          <w:kern w:val="0"/>
          <w:sz w:val="36"/>
          <w:szCs w:val="24"/>
        </w:rPr>
      </w:pPr>
    </w:p>
    <w:sdt>
      <w:sdtPr>
        <w:rPr>
          <w:lang w:val="zh-CN"/>
        </w:rPr>
        <w:id w:val="-1457556478"/>
        <w:docPartObj>
          <w:docPartGallery w:val="Table of Contents"/>
          <w:docPartUnique/>
        </w:docPartObj>
      </w:sdtPr>
      <w:sdtEndPr>
        <w:rPr>
          <w:b/>
          <w:bCs/>
          <w:lang w:val="zh-CN"/>
        </w:rPr>
      </w:sdtEndPr>
      <w:sdtContent>
        <w:p>
          <w:pPr>
            <w:pStyle w:val="6"/>
            <w:jc w:val="center"/>
            <w:rPr>
              <w:rFonts w:ascii="微软雅黑" w:hAnsi="微软雅黑" w:eastAsia="微软雅黑"/>
              <w:b/>
              <w:sz w:val="36"/>
              <w:szCs w:val="36"/>
            </w:rPr>
          </w:pPr>
          <w:r>
            <w:rPr>
              <w:rFonts w:ascii="微软雅黑" w:hAnsi="微软雅黑" w:eastAsia="微软雅黑"/>
              <w:b/>
              <w:sz w:val="36"/>
              <w:szCs w:val="36"/>
              <w:lang w:val="zh-CN"/>
            </w:rPr>
            <w:t>目录</w:t>
          </w:r>
        </w:p>
        <w:p>
          <w:pPr>
            <w:pStyle w:val="5"/>
            <w:tabs>
              <w:tab w:val="right" w:leader="dot" w:pos="8296"/>
            </w:tabs>
          </w:pPr>
          <w:r>
            <w:fldChar w:fldCharType="begin"/>
          </w:r>
          <w:r>
            <w:instrText xml:space="preserve"> TOC \o "1-3" \h \z \u </w:instrText>
          </w:r>
          <w:r>
            <w:fldChar w:fldCharType="separate"/>
          </w:r>
          <w:r>
            <w:fldChar w:fldCharType="begin"/>
          </w:r>
          <w:r>
            <w:instrText xml:space="preserve"> HYPERLINK \l "_Toc512352428" </w:instrText>
          </w:r>
          <w:r>
            <w:fldChar w:fldCharType="separate"/>
          </w:r>
          <w:r>
            <w:rPr>
              <w:rStyle w:val="8"/>
              <w:rFonts w:ascii="微软雅黑" w:hAnsi="微软雅黑" w:eastAsia="微软雅黑" w:cs="MicrosoftYaHei"/>
              <w:b/>
              <w:kern w:val="0"/>
            </w:rPr>
            <w:t>客户信息</w:t>
          </w:r>
          <w:r>
            <w:tab/>
          </w:r>
          <w:r>
            <w:fldChar w:fldCharType="begin"/>
          </w:r>
          <w:r>
            <w:instrText xml:space="preserve"> PAGEREF _Toc512352428 \h </w:instrText>
          </w:r>
          <w:r>
            <w:fldChar w:fldCharType="separate"/>
          </w:r>
          <w:r>
            <w:t>1</w:t>
          </w:r>
          <w:r>
            <w:fldChar w:fldCharType="end"/>
          </w:r>
          <w:r>
            <w:fldChar w:fldCharType="end"/>
          </w:r>
        </w:p>
        <w:p>
          <w:pPr>
            <w:pStyle w:val="5"/>
            <w:tabs>
              <w:tab w:val="right" w:leader="dot" w:pos="8296"/>
            </w:tabs>
          </w:pPr>
          <w:r>
            <w:fldChar w:fldCharType="begin"/>
          </w:r>
          <w:r>
            <w:instrText xml:space="preserve"> HYPERLINK \l "_Toc512352429" </w:instrText>
          </w:r>
          <w:r>
            <w:fldChar w:fldCharType="separate"/>
          </w:r>
          <w:r>
            <w:rPr>
              <w:rStyle w:val="8"/>
              <w:rFonts w:ascii="微软雅黑" w:hAnsi="微软雅黑" w:eastAsia="微软雅黑" w:cs="MicrosoftYaHei"/>
              <w:b/>
              <w:kern w:val="0"/>
            </w:rPr>
            <w:t>报告摘要</w:t>
          </w:r>
          <w:r>
            <w:tab/>
          </w:r>
          <w:r>
            <w:fldChar w:fldCharType="begin"/>
          </w:r>
          <w:r>
            <w:instrText xml:space="preserve"> PAGEREF _Toc512352429 \h </w:instrText>
          </w:r>
          <w:r>
            <w:fldChar w:fldCharType="separate"/>
          </w:r>
          <w:r>
            <w:t>2</w:t>
          </w:r>
          <w:r>
            <w:fldChar w:fldCharType="end"/>
          </w:r>
          <w:r>
            <w:fldChar w:fldCharType="end"/>
          </w:r>
        </w:p>
        <w:p>
          <w:pPr>
            <w:pStyle w:val="6"/>
            <w:tabs>
              <w:tab w:val="right" w:leader="dot" w:pos="8296"/>
            </w:tabs>
          </w:pPr>
          <w:r>
            <w:fldChar w:fldCharType="begin"/>
          </w:r>
          <w:r>
            <w:instrText xml:space="preserve"> HYPERLINK \l "_Toc512352430" </w:instrText>
          </w:r>
          <w:r>
            <w:fldChar w:fldCharType="separate"/>
          </w:r>
          <w:r>
            <w:rPr>
              <w:rStyle w:val="8"/>
              <w:rFonts w:ascii="微软雅黑" w:hAnsi="微软雅黑" w:eastAsia="微软雅黑" w:cs="MicrosoftYaHei"/>
              <w:b/>
              <w:kern w:val="0"/>
            </w:rPr>
            <w:t>靶向治疗药物使用建议</w:t>
          </w:r>
          <w:r>
            <w:tab/>
          </w:r>
          <w:r>
            <w:fldChar w:fldCharType="begin"/>
          </w:r>
          <w:r>
            <w:instrText xml:space="preserve"> PAGEREF _Toc512352430 \h </w:instrText>
          </w:r>
          <w:r>
            <w:fldChar w:fldCharType="separate"/>
          </w:r>
          <w:r>
            <w:t>2</w:t>
          </w:r>
          <w:r>
            <w:fldChar w:fldCharType="end"/>
          </w:r>
          <w:r>
            <w:fldChar w:fldCharType="end"/>
          </w:r>
        </w:p>
        <w:p>
          <w:pPr>
            <w:pStyle w:val="6"/>
            <w:tabs>
              <w:tab w:val="right" w:leader="dot" w:pos="8296"/>
            </w:tabs>
          </w:pPr>
          <w:r>
            <w:fldChar w:fldCharType="begin"/>
          </w:r>
          <w:r>
            <w:instrText xml:space="preserve"> HYPERLINK \l "_Toc512352431" </w:instrText>
          </w:r>
          <w:r>
            <w:fldChar w:fldCharType="separate"/>
          </w:r>
          <w:r>
            <w:rPr>
              <w:rStyle w:val="8"/>
              <w:rFonts w:ascii="微软雅黑" w:hAnsi="微软雅黑" w:eastAsia="微软雅黑" w:cs="MicrosoftYaHei"/>
              <w:b/>
              <w:kern w:val="0"/>
            </w:rPr>
            <w:t>免疫治疗药物使用建议</w:t>
          </w:r>
          <w:r>
            <w:tab/>
          </w:r>
          <w:r>
            <w:fldChar w:fldCharType="begin"/>
          </w:r>
          <w:r>
            <w:instrText xml:space="preserve"> PAGEREF _Toc512352431 \h </w:instrText>
          </w:r>
          <w:r>
            <w:fldChar w:fldCharType="separate"/>
          </w:r>
          <w:r>
            <w:t>3</w:t>
          </w:r>
          <w:r>
            <w:fldChar w:fldCharType="end"/>
          </w:r>
          <w:r>
            <w:fldChar w:fldCharType="end"/>
          </w:r>
        </w:p>
        <w:p>
          <w:pPr>
            <w:pStyle w:val="6"/>
            <w:tabs>
              <w:tab w:val="right" w:leader="dot" w:pos="8296"/>
            </w:tabs>
          </w:pPr>
          <w:r>
            <w:fldChar w:fldCharType="begin"/>
          </w:r>
          <w:r>
            <w:instrText xml:space="preserve"> HYPERLINK \l "_Toc512352432" </w:instrText>
          </w:r>
          <w:r>
            <w:fldChar w:fldCharType="separate"/>
          </w:r>
          <w:r>
            <w:rPr>
              <w:rStyle w:val="8"/>
              <w:rFonts w:ascii="微软雅黑" w:hAnsi="微软雅黑" w:eastAsia="微软雅黑" w:cs="MicrosoftYaHei"/>
              <w:b/>
              <w:kern w:val="0"/>
            </w:rPr>
            <w:t>新肿瘤免疫抗原预测</w:t>
          </w:r>
          <w:r>
            <w:tab/>
          </w:r>
          <w:r>
            <w:fldChar w:fldCharType="begin"/>
          </w:r>
          <w:r>
            <w:instrText xml:space="preserve"> PAGEREF _Toc512352432 \h </w:instrText>
          </w:r>
          <w:r>
            <w:fldChar w:fldCharType="separate"/>
          </w:r>
          <w:r>
            <w:t>4</w:t>
          </w:r>
          <w:r>
            <w:fldChar w:fldCharType="end"/>
          </w:r>
          <w:r>
            <w:fldChar w:fldCharType="end"/>
          </w:r>
        </w:p>
        <w:p>
          <w:pPr>
            <w:pStyle w:val="6"/>
            <w:tabs>
              <w:tab w:val="right" w:leader="dot" w:pos="8296"/>
            </w:tabs>
          </w:pPr>
          <w:r>
            <w:fldChar w:fldCharType="begin"/>
          </w:r>
          <w:r>
            <w:instrText xml:space="preserve"> HYPERLINK \l "_Toc512352433" </w:instrText>
          </w:r>
          <w:r>
            <w:fldChar w:fldCharType="separate"/>
          </w:r>
          <w:r>
            <w:rPr>
              <w:rStyle w:val="8"/>
              <w:rFonts w:ascii="微软雅黑" w:hAnsi="微软雅黑" w:eastAsia="微软雅黑" w:cs="MicrosoftYaHei"/>
              <w:b/>
              <w:kern w:val="0"/>
            </w:rPr>
            <w:t>化疗药物使用建议</w:t>
          </w:r>
          <w:r>
            <w:tab/>
          </w:r>
          <w:r>
            <w:fldChar w:fldCharType="begin"/>
          </w:r>
          <w:r>
            <w:instrText xml:space="preserve"> PAGEREF _Toc512352433 \h </w:instrText>
          </w:r>
          <w:r>
            <w:fldChar w:fldCharType="separate"/>
          </w:r>
          <w:r>
            <w:t>5</w:t>
          </w:r>
          <w:r>
            <w:fldChar w:fldCharType="end"/>
          </w:r>
          <w:r>
            <w:fldChar w:fldCharType="end"/>
          </w:r>
        </w:p>
        <w:p>
          <w:pPr>
            <w:pStyle w:val="5"/>
            <w:tabs>
              <w:tab w:val="right" w:leader="dot" w:pos="8296"/>
            </w:tabs>
          </w:pPr>
          <w:r>
            <w:fldChar w:fldCharType="begin"/>
          </w:r>
          <w:r>
            <w:instrText xml:space="preserve"> HYPERLINK \l "_Toc512352434" </w:instrText>
          </w:r>
          <w:r>
            <w:fldChar w:fldCharType="separate"/>
          </w:r>
          <w:r>
            <w:rPr>
              <w:rStyle w:val="8"/>
              <w:rFonts w:ascii="微软雅黑" w:hAnsi="微软雅黑" w:eastAsia="微软雅黑" w:cs="MicrosoftYaHei"/>
              <w:b/>
              <w:kern w:val="0"/>
            </w:rPr>
            <w:t>结果解读</w:t>
          </w:r>
          <w:r>
            <w:tab/>
          </w:r>
          <w:r>
            <w:fldChar w:fldCharType="begin"/>
          </w:r>
          <w:r>
            <w:instrText xml:space="preserve"> PAGEREF _Toc512352434 \h </w:instrText>
          </w:r>
          <w:r>
            <w:fldChar w:fldCharType="separate"/>
          </w:r>
          <w:r>
            <w:t>6</w:t>
          </w:r>
          <w:r>
            <w:fldChar w:fldCharType="end"/>
          </w:r>
          <w:r>
            <w:fldChar w:fldCharType="end"/>
          </w:r>
        </w:p>
        <w:p>
          <w:pPr>
            <w:pStyle w:val="6"/>
            <w:tabs>
              <w:tab w:val="right" w:leader="dot" w:pos="8296"/>
            </w:tabs>
          </w:pPr>
          <w:r>
            <w:fldChar w:fldCharType="begin"/>
          </w:r>
          <w:r>
            <w:instrText xml:space="preserve"> HYPERLINK \l "_Toc512352435" </w:instrText>
          </w:r>
          <w:r>
            <w:fldChar w:fldCharType="separate"/>
          </w:r>
          <w:r>
            <w:rPr>
              <w:rStyle w:val="8"/>
              <w:rFonts w:ascii="微软雅黑" w:hAnsi="微软雅黑" w:eastAsia="微软雅黑" w:cs="MicrosoftYaHei"/>
              <w:b/>
              <w:kern w:val="0"/>
            </w:rPr>
            <w:t>靶向用药基因检测结果</w:t>
          </w:r>
          <w:r>
            <w:tab/>
          </w:r>
          <w:r>
            <w:fldChar w:fldCharType="begin"/>
          </w:r>
          <w:r>
            <w:instrText xml:space="preserve"> PAGEREF _Toc512352435 \h </w:instrText>
          </w:r>
          <w:r>
            <w:fldChar w:fldCharType="separate"/>
          </w:r>
          <w:r>
            <w:t>6</w:t>
          </w:r>
          <w:r>
            <w:fldChar w:fldCharType="end"/>
          </w:r>
          <w:r>
            <w:fldChar w:fldCharType="end"/>
          </w:r>
        </w:p>
        <w:p>
          <w:pPr>
            <w:pStyle w:val="6"/>
            <w:tabs>
              <w:tab w:val="right" w:leader="dot" w:pos="8296"/>
            </w:tabs>
          </w:pPr>
          <w:r>
            <w:fldChar w:fldCharType="begin"/>
          </w:r>
          <w:r>
            <w:instrText xml:space="preserve"> HYPERLINK \l "_Toc512352436" </w:instrText>
          </w:r>
          <w:r>
            <w:fldChar w:fldCharType="separate"/>
          </w:r>
          <w:r>
            <w:rPr>
              <w:rStyle w:val="8"/>
              <w:rFonts w:ascii="微软雅黑" w:hAnsi="微软雅黑" w:eastAsia="微软雅黑" w:cs="MicrosoftYaHei"/>
              <w:b/>
              <w:kern w:val="0"/>
            </w:rPr>
            <w:t>免疫用药基因检测结果</w:t>
          </w:r>
          <w:r>
            <w:tab/>
          </w:r>
          <w:r>
            <w:fldChar w:fldCharType="begin"/>
          </w:r>
          <w:r>
            <w:instrText xml:space="preserve"> PAGEREF _Toc512352436 \h </w:instrText>
          </w:r>
          <w:r>
            <w:fldChar w:fldCharType="separate"/>
          </w:r>
          <w:r>
            <w:t>8</w:t>
          </w:r>
          <w:r>
            <w:fldChar w:fldCharType="end"/>
          </w:r>
          <w:r>
            <w:fldChar w:fldCharType="end"/>
          </w:r>
        </w:p>
        <w:p>
          <w:pPr>
            <w:pStyle w:val="6"/>
            <w:tabs>
              <w:tab w:val="right" w:leader="dot" w:pos="8296"/>
            </w:tabs>
          </w:pPr>
          <w:r>
            <w:fldChar w:fldCharType="begin"/>
          </w:r>
          <w:r>
            <w:instrText xml:space="preserve"> HYPERLINK \l "_Toc512352437" </w:instrText>
          </w:r>
          <w:r>
            <w:fldChar w:fldCharType="separate"/>
          </w:r>
          <w:r>
            <w:rPr>
              <w:rStyle w:val="8"/>
              <w:rFonts w:ascii="微软雅黑" w:hAnsi="微软雅黑" w:eastAsia="微软雅黑" w:cs="MicrosoftYaHei"/>
              <w:b/>
              <w:kern w:val="0"/>
            </w:rPr>
            <w:t>肿瘤新生抗原鉴定结果</w:t>
          </w:r>
          <w:r>
            <w:tab/>
          </w:r>
          <w:r>
            <w:fldChar w:fldCharType="begin"/>
          </w:r>
          <w:r>
            <w:instrText xml:space="preserve"> PAGEREF _Toc512352437 \h </w:instrText>
          </w:r>
          <w:r>
            <w:fldChar w:fldCharType="separate"/>
          </w:r>
          <w:r>
            <w:t>13</w:t>
          </w:r>
          <w:r>
            <w:fldChar w:fldCharType="end"/>
          </w:r>
          <w:r>
            <w:fldChar w:fldCharType="end"/>
          </w:r>
        </w:p>
        <w:p>
          <w:pPr>
            <w:pStyle w:val="6"/>
            <w:tabs>
              <w:tab w:val="right" w:leader="dot" w:pos="8296"/>
            </w:tabs>
          </w:pPr>
          <w:r>
            <w:fldChar w:fldCharType="begin"/>
          </w:r>
          <w:r>
            <w:instrText xml:space="preserve"> HYPERLINK \l "_Toc512352438" </w:instrText>
          </w:r>
          <w:r>
            <w:fldChar w:fldCharType="separate"/>
          </w:r>
          <w:r>
            <w:rPr>
              <w:rStyle w:val="8"/>
              <w:rFonts w:ascii="微软雅黑" w:hAnsi="微软雅黑" w:eastAsia="微软雅黑" w:cs="MicrosoftYaHei"/>
              <w:b/>
              <w:kern w:val="0"/>
            </w:rPr>
            <w:t>化疗用药基因检测结果</w:t>
          </w:r>
          <w:r>
            <w:tab/>
          </w:r>
          <w:r>
            <w:fldChar w:fldCharType="begin"/>
          </w:r>
          <w:r>
            <w:instrText xml:space="preserve"> PAGEREF _Toc512352438 \h </w:instrText>
          </w:r>
          <w:r>
            <w:fldChar w:fldCharType="separate"/>
          </w:r>
          <w:r>
            <w:t>15</w:t>
          </w:r>
          <w:r>
            <w:fldChar w:fldCharType="end"/>
          </w:r>
          <w:r>
            <w:fldChar w:fldCharType="end"/>
          </w:r>
        </w:p>
        <w:p>
          <w:pPr>
            <w:pStyle w:val="5"/>
            <w:tabs>
              <w:tab w:val="right" w:leader="dot" w:pos="8296"/>
            </w:tabs>
          </w:pPr>
          <w:r>
            <w:fldChar w:fldCharType="begin"/>
          </w:r>
          <w:r>
            <w:instrText xml:space="preserve"> HYPERLINK \l "_Toc512352439" </w:instrText>
          </w:r>
          <w:r>
            <w:fldChar w:fldCharType="separate"/>
          </w:r>
          <w:r>
            <w:rPr>
              <w:rStyle w:val="8"/>
              <w:rFonts w:ascii="微软雅黑" w:hAnsi="微软雅黑" w:eastAsia="微软雅黑" w:cs="MicrosoftYaHei"/>
              <w:b/>
              <w:kern w:val="0"/>
            </w:rPr>
            <w:t>附录</w:t>
          </w:r>
          <w:r>
            <w:tab/>
          </w:r>
          <w:r>
            <w:fldChar w:fldCharType="begin"/>
          </w:r>
          <w:r>
            <w:instrText xml:space="preserve"> PAGEREF _Toc512352439 \h </w:instrText>
          </w:r>
          <w:r>
            <w:fldChar w:fldCharType="separate"/>
          </w:r>
          <w:r>
            <w:t>16</w:t>
          </w:r>
          <w:r>
            <w:fldChar w:fldCharType="end"/>
          </w:r>
          <w:r>
            <w:fldChar w:fldCharType="end"/>
          </w:r>
        </w:p>
        <w:p>
          <w:pPr>
            <w:pStyle w:val="6"/>
            <w:tabs>
              <w:tab w:val="right" w:leader="dot" w:pos="8296"/>
            </w:tabs>
          </w:pPr>
          <w:r>
            <w:fldChar w:fldCharType="begin"/>
          </w:r>
          <w:r>
            <w:instrText xml:space="preserve"> HYPERLINK \l "_Toc512352440" </w:instrText>
          </w:r>
          <w:r>
            <w:fldChar w:fldCharType="separate"/>
          </w:r>
          <w:r>
            <w:rPr>
              <w:rStyle w:val="8"/>
              <w:rFonts w:ascii="微软雅黑" w:hAnsi="微软雅黑" w:eastAsia="微软雅黑" w:cs="MicrosoftYaHei"/>
              <w:b/>
              <w:kern w:val="0"/>
            </w:rPr>
            <w:t>测序数据质量控制</w:t>
          </w:r>
          <w:r>
            <w:tab/>
          </w:r>
          <w:r>
            <w:fldChar w:fldCharType="begin"/>
          </w:r>
          <w:r>
            <w:instrText xml:space="preserve"> PAGEREF _Toc512352440 \h </w:instrText>
          </w:r>
          <w:r>
            <w:fldChar w:fldCharType="separate"/>
          </w:r>
          <w:r>
            <w:t>16</w:t>
          </w:r>
          <w:r>
            <w:fldChar w:fldCharType="end"/>
          </w:r>
          <w:r>
            <w:fldChar w:fldCharType="end"/>
          </w:r>
        </w:p>
        <w:p>
          <w:pPr>
            <w:pStyle w:val="6"/>
            <w:tabs>
              <w:tab w:val="right" w:leader="dot" w:pos="8296"/>
            </w:tabs>
          </w:pPr>
          <w:r>
            <w:fldChar w:fldCharType="begin"/>
          </w:r>
          <w:r>
            <w:instrText xml:space="preserve"> HYPERLINK \l "_Toc512352441" </w:instrText>
          </w:r>
          <w:r>
            <w:fldChar w:fldCharType="separate"/>
          </w:r>
          <w:r>
            <w:rPr>
              <w:rStyle w:val="8"/>
              <w:rFonts w:ascii="微软雅黑" w:hAnsi="微软雅黑" w:eastAsia="微软雅黑" w:cs="MicrosoftYaHei"/>
              <w:b/>
              <w:kern w:val="0"/>
            </w:rPr>
            <w:t>癌症相关的基因背景介绍</w:t>
          </w:r>
          <w:r>
            <w:tab/>
          </w:r>
          <w:r>
            <w:fldChar w:fldCharType="begin"/>
          </w:r>
          <w:r>
            <w:instrText xml:space="preserve"> PAGEREF _Toc512352441 \h </w:instrText>
          </w:r>
          <w:r>
            <w:fldChar w:fldCharType="separate"/>
          </w:r>
          <w:r>
            <w:t>17</w:t>
          </w:r>
          <w:r>
            <w:fldChar w:fldCharType="end"/>
          </w:r>
          <w:r>
            <w:fldChar w:fldCharType="end"/>
          </w:r>
        </w:p>
        <w:p>
          <w:pPr>
            <w:pStyle w:val="6"/>
            <w:tabs>
              <w:tab w:val="right" w:leader="dot" w:pos="8296"/>
            </w:tabs>
          </w:pPr>
          <w:r>
            <w:fldChar w:fldCharType="begin"/>
          </w:r>
          <w:r>
            <w:instrText xml:space="preserve"> HYPERLINK \l "_Toc512352442" </w:instrText>
          </w:r>
          <w:r>
            <w:fldChar w:fldCharType="separate"/>
          </w:r>
          <w:r>
            <w:rPr>
              <w:rStyle w:val="8"/>
              <w:rFonts w:ascii="微软雅黑" w:hAnsi="微软雅黑" w:eastAsia="微软雅黑" w:cs="MicrosoftYaHei"/>
              <w:b/>
              <w:kern w:val="0"/>
            </w:rPr>
            <w:t>报告说明</w:t>
          </w:r>
          <w:r>
            <w:tab/>
          </w:r>
          <w:r>
            <w:fldChar w:fldCharType="begin"/>
          </w:r>
          <w:r>
            <w:instrText xml:space="preserve"> PAGEREF _Toc512352442 \h </w:instrText>
          </w:r>
          <w:r>
            <w:fldChar w:fldCharType="separate"/>
          </w:r>
          <w:r>
            <w:t>52</w:t>
          </w:r>
          <w:r>
            <w:fldChar w:fldCharType="end"/>
          </w:r>
          <w:r>
            <w:fldChar w:fldCharType="end"/>
          </w:r>
        </w:p>
        <w:p>
          <w:pPr>
            <w:pStyle w:val="6"/>
            <w:tabs>
              <w:tab w:val="right" w:leader="dot" w:pos="8296"/>
            </w:tabs>
          </w:pPr>
          <w:r>
            <w:fldChar w:fldCharType="begin"/>
          </w:r>
          <w:r>
            <w:instrText xml:space="preserve"> HYPERLINK \l "_Toc512352443" </w:instrText>
          </w:r>
          <w:r>
            <w:fldChar w:fldCharType="separate"/>
          </w:r>
          <w:r>
            <w:rPr>
              <w:rStyle w:val="8"/>
              <w:rFonts w:ascii="微软雅黑" w:hAnsi="微软雅黑" w:eastAsia="微软雅黑" w:cs="MicrosoftYaHei"/>
              <w:b/>
              <w:kern w:val="0"/>
            </w:rPr>
            <w:t>参考文献</w:t>
          </w:r>
          <w:r>
            <w:tab/>
          </w:r>
          <w:r>
            <w:fldChar w:fldCharType="begin"/>
          </w:r>
          <w:r>
            <w:instrText xml:space="preserve"> PAGEREF _Toc512352443 \h </w:instrText>
          </w:r>
          <w:r>
            <w:fldChar w:fldCharType="separate"/>
          </w:r>
          <w:r>
            <w:t>53</w:t>
          </w:r>
          <w:r>
            <w:fldChar w:fldCharType="end"/>
          </w:r>
          <w:r>
            <w:fldChar w:fldCharType="end"/>
          </w:r>
        </w:p>
        <w:p>
          <w:pPr>
            <w:pStyle w:val="6"/>
            <w:tabs>
              <w:tab w:val="right" w:leader="dot" w:pos="8296"/>
            </w:tabs>
          </w:pPr>
          <w:r>
            <w:fldChar w:fldCharType="begin"/>
          </w:r>
          <w:r>
            <w:instrText xml:space="preserve"> HYPERLINK \l "_Toc512352444" </w:instrText>
          </w:r>
          <w:r>
            <w:fldChar w:fldCharType="separate"/>
          </w:r>
          <w:r>
            <w:rPr>
              <w:rStyle w:val="8"/>
              <w:rFonts w:ascii="微软雅黑" w:hAnsi="微软雅黑" w:eastAsia="微软雅黑" w:cs="MicrosoftYaHei"/>
              <w:b/>
              <w:kern w:val="0"/>
            </w:rPr>
            <w:t>产品声明</w:t>
          </w:r>
          <w:r>
            <w:tab/>
          </w:r>
          <w:r>
            <w:fldChar w:fldCharType="begin"/>
          </w:r>
          <w:r>
            <w:instrText xml:space="preserve"> PAGEREF _Toc512352444 \h </w:instrText>
          </w:r>
          <w:r>
            <w:fldChar w:fldCharType="separate"/>
          </w:r>
          <w:r>
            <w:t>55</w:t>
          </w:r>
          <w:r>
            <w:fldChar w:fldCharType="end"/>
          </w:r>
          <w:r>
            <w:fldChar w:fldCharType="end"/>
          </w:r>
        </w:p>
        <w:p>
          <w:r>
            <w:rPr>
              <w:b/>
              <w:bCs/>
              <w:lang w:val="zh-CN"/>
            </w:rPr>
            <w:fldChar w:fldCharType="end"/>
          </w:r>
        </w:p>
      </w:sdtContent>
    </w:sdt>
    <w:p>
      <w:pPr>
        <w:widowControl/>
        <w:jc w:val="left"/>
        <w:rPr>
          <w:rFonts w:ascii="微软雅黑 Light" w:hAnsi="微软雅黑 Light" w:eastAsia="微软雅黑 Light" w:cs="MicrosoftYaHei"/>
          <w:kern w:val="0"/>
          <w:sz w:val="32"/>
          <w:szCs w:val="24"/>
        </w:rPr>
        <w:sectPr>
          <w:footerReference r:id="rId4" w:type="default"/>
          <w:pgSz w:w="11906" w:h="16838"/>
          <w:pgMar w:top="1440" w:right="1800" w:bottom="1440" w:left="1800" w:header="851" w:footer="992" w:gutter="0"/>
          <w:pgNumType w:start="1"/>
          <w:cols w:space="425" w:num="1"/>
          <w:docGrid w:type="lines" w:linePitch="312" w:charSpace="0"/>
        </w:sectPr>
      </w:pPr>
      <w:r>
        <w:rPr>
          <w:rFonts w:ascii="微软雅黑 Light" w:hAnsi="微软雅黑 Light" w:eastAsia="微软雅黑 Light" w:cs="MicrosoftYaHei"/>
          <w:kern w:val="0"/>
          <w:sz w:val="32"/>
          <w:szCs w:val="24"/>
        </w:rPr>
        <w:br w:type="page"/>
      </w:r>
    </w:p>
    <w:p>
      <w:pPr>
        <w:jc w:val="center"/>
        <w:outlineLvl w:val="0"/>
        <w:rPr>
          <w:rFonts w:ascii="微软雅黑" w:hAnsi="微软雅黑" w:eastAsia="微软雅黑" w:cs="MicrosoftYaHei"/>
          <w:b/>
          <w:kern w:val="0"/>
          <w:sz w:val="36"/>
          <w:szCs w:val="24"/>
        </w:rPr>
      </w:pPr>
      <w:bookmarkStart w:id="0" w:name="_Toc512352428"/>
      <w:r>
        <w:rPr>
          <w:rFonts w:hint="eastAsia" w:ascii="微软雅黑" w:hAnsi="微软雅黑" w:eastAsia="微软雅黑" w:cs="MicrosoftYaHei"/>
          <w:b/>
          <w:kern w:val="0"/>
          <w:sz w:val="36"/>
          <w:szCs w:val="24"/>
        </w:rPr>
        <w:t>客户信息</w:t>
      </w:r>
      <w:bookmarkEnd w:id="0"/>
    </w:p>
    <w:p>
      <w:pPr>
        <w:jc w:val="left"/>
        <w:rPr>
          <w:rFonts w:ascii="宋体" w:hAnsi="宋体" w:eastAsia="宋体" w:cs="MicrosoftYaHei"/>
          <w:b/>
          <w:color w:val="1F4E79" w:themeColor="accent5" w:themeShade="80"/>
          <w:kern w:val="0"/>
          <w:sz w:val="32"/>
          <w:szCs w:val="24"/>
        </w:rPr>
      </w:pPr>
    </w:p>
    <w:tbl>
      <w:tblPr>
        <w:tblStyle w:val="11"/>
        <w:tblW w:w="9746" w:type="dxa"/>
        <w:jc w:val="center"/>
        <w:tblInd w:w="0" w:type="dxa"/>
        <w:shd w:val="clear" w:color="auto" w:fill="E2EFD9" w:themeFill="accent6" w:themeFillTint="33"/>
        <w:tblLayout w:type="fixed"/>
        <w:tblCellMar>
          <w:top w:w="0" w:type="dxa"/>
          <w:left w:w="108" w:type="dxa"/>
          <w:bottom w:w="0" w:type="dxa"/>
          <w:right w:w="108" w:type="dxa"/>
        </w:tblCellMar>
      </w:tblPr>
      <w:tblGrid>
        <w:gridCol w:w="2436"/>
        <w:gridCol w:w="2436"/>
        <w:gridCol w:w="2437"/>
        <w:gridCol w:w="2437"/>
      </w:tblGrid>
      <w:tr>
        <w:tblPrEx>
          <w:shd w:val="clear" w:color="auto" w:fill="E2EFD9" w:themeFill="accent6" w:themeFillTint="33"/>
          <w:tblLayout w:type="fixed"/>
          <w:tblCellMar>
            <w:top w:w="0" w:type="dxa"/>
            <w:left w:w="108" w:type="dxa"/>
            <w:bottom w:w="0" w:type="dxa"/>
            <w:right w:w="108" w:type="dxa"/>
          </w:tblCellMar>
        </w:tblPrEx>
        <w:trPr>
          <w:trHeight w:val="794" w:hRule="atLeast"/>
          <w:jc w:val="center"/>
        </w:trPr>
        <w:tc>
          <w:tcPr>
            <w:tcW w:w="2436" w:type="dxa"/>
            <w:shd w:val="clear" w:color="auto" w:fill="E2EFD9" w:themeFill="accent6" w:themeFillTint="33"/>
            <w:vAlign w:val="center"/>
          </w:tcPr>
          <w:p>
            <w:pPr>
              <w:rPr>
                <w:rFonts w:ascii="微软雅黑" w:hAnsi="微软雅黑" w:eastAsia="微软雅黑" w:cs="MicrosoftYaHei"/>
                <w:b w:val="0"/>
                <w:bCs/>
                <w:kern w:val="0"/>
                <w:sz w:val="24"/>
                <w:szCs w:val="28"/>
              </w:rPr>
            </w:pPr>
            <w:r>
              <w:rPr>
                <w:rFonts w:hint="eastAsia" w:ascii="微软雅黑" w:hAnsi="微软雅黑" w:eastAsia="微软雅黑" w:cs="MicrosoftYaHei"/>
                <w:b w:val="0"/>
                <w:bCs/>
                <w:kern w:val="0"/>
                <w:sz w:val="24"/>
                <w:szCs w:val="28"/>
              </w:rPr>
              <w:t>姓名：</w:t>
            </w:r>
          </w:p>
        </w:tc>
        <w:tc>
          <w:tcPr>
            <w:tcW w:w="2436" w:type="dxa"/>
            <w:shd w:val="clear" w:color="auto" w:fill="E2EFD9" w:themeFill="accent6" w:themeFillTint="33"/>
            <w:vAlign w:val="center"/>
          </w:tcPr>
          <w:p>
            <w:pPr>
              <w:rPr>
                <w:rFonts w:hint="eastAsia" w:ascii="微软雅黑" w:hAnsi="微软雅黑" w:eastAsia="微软雅黑" w:cs="MicrosoftYaHei"/>
                <w:b w:val="0"/>
                <w:bCs/>
                <w:kern w:val="0"/>
                <w:sz w:val="24"/>
                <w:szCs w:val="28"/>
                <w:lang w:eastAsia="zh-CN"/>
              </w:rPr>
            </w:pPr>
            <w:r>
              <w:rPr>
                <w:rFonts w:hint="eastAsia" w:ascii="微软雅黑" w:hAnsi="微软雅黑" w:eastAsia="微软雅黑" w:cs="MicrosoftYaHei"/>
                <w:b w:val="0"/>
                <w:bCs/>
                <w:kern w:val="0"/>
                <w:sz w:val="24"/>
                <w:szCs w:val="28"/>
                <w:lang w:eastAsia="zh-CN"/>
              </w:rPr>
              <w:t>test</w:t>
            </w:r>
          </w:p>
        </w:tc>
        <w:tc>
          <w:tcPr>
            <w:tcW w:w="2437" w:type="dxa"/>
            <w:shd w:val="clear" w:color="auto" w:fill="E2EFD9" w:themeFill="accent6" w:themeFillTint="33"/>
            <w:vAlign w:val="center"/>
          </w:tcPr>
          <w:p>
            <w:pPr>
              <w:rPr>
                <w:rFonts w:ascii="微软雅黑" w:hAnsi="微软雅黑" w:eastAsia="微软雅黑" w:cs="MicrosoftYaHei"/>
                <w:b w:val="0"/>
                <w:bCs/>
                <w:kern w:val="0"/>
                <w:sz w:val="24"/>
                <w:szCs w:val="28"/>
              </w:rPr>
            </w:pPr>
            <w:r>
              <w:rPr>
                <w:rFonts w:hint="eastAsia" w:ascii="微软雅黑" w:hAnsi="微软雅黑" w:eastAsia="微软雅黑" w:cs="MicrosoftYaHei"/>
                <w:b w:val="0"/>
                <w:bCs/>
                <w:kern w:val="0"/>
                <w:sz w:val="24"/>
                <w:szCs w:val="28"/>
              </w:rPr>
              <w:t>样本编号：</w:t>
            </w:r>
          </w:p>
        </w:tc>
        <w:tc>
          <w:tcPr>
            <w:tcW w:w="2437" w:type="dxa"/>
            <w:shd w:val="clear" w:color="auto" w:fill="E2EFD9" w:themeFill="accent6" w:themeFillTint="33"/>
            <w:vAlign w:val="center"/>
          </w:tcPr>
          <w:p>
            <w:pPr>
              <w:rPr>
                <w:rFonts w:hint="eastAsia" w:ascii="微软雅黑" w:hAnsi="微软雅黑" w:eastAsia="微软雅黑" w:cs="MicrosoftYaHei"/>
                <w:b w:val="0"/>
                <w:bCs/>
                <w:kern w:val="0"/>
                <w:sz w:val="24"/>
                <w:szCs w:val="28"/>
                <w:lang w:eastAsia="zh-CN"/>
              </w:rPr>
            </w:pPr>
            <w:r>
              <w:rPr>
                <w:rFonts w:hint="eastAsia" w:ascii="微软雅黑" w:hAnsi="微软雅黑" w:eastAsia="微软雅黑" w:cs="MicrosoftYaHei"/>
                <w:b w:val="0"/>
                <w:bCs/>
                <w:kern w:val="0"/>
                <w:sz w:val="24"/>
                <w:szCs w:val="28"/>
                <w:lang w:eastAsia="zh-CN"/>
              </w:rPr>
              <w:t>15132</w:t>
            </w:r>
          </w:p>
        </w:tc>
      </w:tr>
      <w:tr>
        <w:tblPrEx>
          <w:tblLayout w:type="fixed"/>
          <w:tblCellMar>
            <w:top w:w="0" w:type="dxa"/>
            <w:left w:w="108" w:type="dxa"/>
            <w:bottom w:w="0" w:type="dxa"/>
            <w:right w:w="108" w:type="dxa"/>
          </w:tblCellMar>
        </w:tblPrEx>
        <w:trPr>
          <w:trHeight w:val="794" w:hRule="atLeast"/>
          <w:jc w:val="center"/>
        </w:trPr>
        <w:tc>
          <w:tcPr>
            <w:tcW w:w="2436" w:type="dxa"/>
            <w:shd w:val="clear" w:color="auto" w:fill="E2EFD9" w:themeFill="accent6" w:themeFillTint="33"/>
            <w:vAlign w:val="center"/>
          </w:tcPr>
          <w:p>
            <w:pPr>
              <w:rPr>
                <w:rFonts w:ascii="微软雅黑" w:hAnsi="微软雅黑" w:eastAsia="微软雅黑" w:cs="MicrosoftYaHei"/>
                <w:b w:val="0"/>
                <w:bCs/>
                <w:kern w:val="0"/>
                <w:sz w:val="24"/>
                <w:szCs w:val="28"/>
              </w:rPr>
            </w:pPr>
            <w:r>
              <w:rPr>
                <w:rFonts w:hint="eastAsia" w:ascii="微软雅黑" w:hAnsi="微软雅黑" w:eastAsia="微软雅黑" w:cs="MicrosoftYaHei"/>
                <w:b w:val="0"/>
                <w:bCs/>
                <w:kern w:val="0"/>
                <w:sz w:val="24"/>
                <w:szCs w:val="28"/>
              </w:rPr>
              <w:t>性别</w:t>
            </w:r>
          </w:p>
        </w:tc>
        <w:tc>
          <w:tcPr>
            <w:tcW w:w="2436" w:type="dxa"/>
            <w:shd w:val="clear" w:color="auto" w:fill="E2EFD9" w:themeFill="accent6" w:themeFillTint="33"/>
            <w:vAlign w:val="center"/>
          </w:tcPr>
          <w:p>
            <w:pPr>
              <w:rPr>
                <w:rFonts w:hint="eastAsia" w:ascii="微软雅黑" w:hAnsi="微软雅黑" w:eastAsia="微软雅黑" w:cs="MicrosoftYaHei"/>
                <w:kern w:val="0"/>
                <w:sz w:val="24"/>
                <w:szCs w:val="28"/>
                <w:lang w:eastAsia="zh-CN"/>
              </w:rPr>
            </w:pPr>
            <w:r>
              <w:rPr>
                <w:rFonts w:hint="eastAsia" w:ascii="微软雅黑" w:hAnsi="微软雅黑" w:eastAsia="微软雅黑" w:cs="MicrosoftYaHei"/>
                <w:kern w:val="0"/>
                <w:sz w:val="24"/>
                <w:szCs w:val="28"/>
                <w:lang w:eastAsia="zh-CN"/>
              </w:rPr>
              <w:t>男</w:t>
            </w:r>
          </w:p>
        </w:tc>
        <w:tc>
          <w:tcPr>
            <w:tcW w:w="2437" w:type="dxa"/>
            <w:shd w:val="clear" w:color="auto" w:fill="E2EFD9" w:themeFill="accent6" w:themeFillTint="33"/>
            <w:vAlign w:val="center"/>
          </w:tcPr>
          <w:p>
            <w:pPr>
              <w:rPr>
                <w:rFonts w:ascii="微软雅黑" w:hAnsi="微软雅黑" w:eastAsia="微软雅黑" w:cs="MicrosoftYaHei"/>
                <w:kern w:val="0"/>
                <w:sz w:val="24"/>
                <w:szCs w:val="28"/>
              </w:rPr>
            </w:pPr>
            <w:r>
              <w:rPr>
                <w:rFonts w:hint="eastAsia" w:ascii="微软雅黑" w:hAnsi="微软雅黑" w:eastAsia="微软雅黑" w:cs="MicrosoftYaHei"/>
                <w:kern w:val="0"/>
                <w:sz w:val="24"/>
                <w:szCs w:val="28"/>
              </w:rPr>
              <w:t>年龄：</w:t>
            </w:r>
          </w:p>
        </w:tc>
        <w:tc>
          <w:tcPr>
            <w:tcW w:w="2437" w:type="dxa"/>
            <w:shd w:val="clear" w:color="auto" w:fill="E2EFD9" w:themeFill="accent6" w:themeFillTint="33"/>
            <w:vAlign w:val="center"/>
          </w:tcPr>
          <w:p>
            <w:pPr>
              <w:rPr>
                <w:rFonts w:hint="eastAsia" w:ascii="微软雅黑" w:hAnsi="微软雅黑" w:eastAsia="微软雅黑" w:cs="MicrosoftYaHei"/>
                <w:kern w:val="0"/>
                <w:sz w:val="24"/>
                <w:szCs w:val="28"/>
                <w:lang w:eastAsia="zh-CN"/>
              </w:rPr>
            </w:pPr>
            <w:r>
              <w:rPr>
                <w:rFonts w:hint="eastAsia" w:ascii="微软雅黑" w:hAnsi="微软雅黑" w:eastAsia="微软雅黑" w:cs="MicrosoftYaHei"/>
                <w:kern w:val="0"/>
                <w:sz w:val="24"/>
                <w:szCs w:val="28"/>
                <w:lang w:eastAsia="zh-CN"/>
              </w:rPr>
              <w:t>22</w:t>
            </w:r>
          </w:p>
        </w:tc>
      </w:tr>
      <w:tr>
        <w:tblPrEx>
          <w:tblLayout w:type="fixed"/>
          <w:tblCellMar>
            <w:top w:w="0" w:type="dxa"/>
            <w:left w:w="108" w:type="dxa"/>
            <w:bottom w:w="0" w:type="dxa"/>
            <w:right w:w="108" w:type="dxa"/>
          </w:tblCellMar>
        </w:tblPrEx>
        <w:trPr>
          <w:trHeight w:val="794" w:hRule="atLeast"/>
          <w:jc w:val="center"/>
        </w:trPr>
        <w:tc>
          <w:tcPr>
            <w:tcW w:w="2436" w:type="dxa"/>
            <w:shd w:val="clear" w:color="auto" w:fill="E2EFD9" w:themeFill="accent6" w:themeFillTint="33"/>
            <w:vAlign w:val="center"/>
          </w:tcPr>
          <w:p>
            <w:pPr>
              <w:rPr>
                <w:rFonts w:ascii="微软雅黑" w:hAnsi="微软雅黑" w:eastAsia="微软雅黑" w:cs="MicrosoftYaHei"/>
                <w:b w:val="0"/>
                <w:bCs/>
                <w:kern w:val="0"/>
                <w:sz w:val="24"/>
                <w:szCs w:val="28"/>
              </w:rPr>
            </w:pPr>
            <w:r>
              <w:rPr>
                <w:rFonts w:hint="eastAsia" w:ascii="微软雅黑" w:hAnsi="微软雅黑" w:eastAsia="微软雅黑" w:cs="MicrosoftYaHei"/>
                <w:b w:val="0"/>
                <w:bCs/>
                <w:kern w:val="0"/>
                <w:sz w:val="24"/>
                <w:szCs w:val="28"/>
              </w:rPr>
              <w:t>联系方式：</w:t>
            </w:r>
          </w:p>
        </w:tc>
        <w:tc>
          <w:tcPr>
            <w:tcW w:w="2436" w:type="dxa"/>
            <w:shd w:val="clear" w:color="auto" w:fill="E2EFD9" w:themeFill="accent6" w:themeFillTint="33"/>
            <w:vAlign w:val="center"/>
          </w:tcPr>
          <w:p>
            <w:pPr>
              <w:rPr>
                <w:rFonts w:hint="eastAsia" w:ascii="微软雅黑" w:hAnsi="微软雅黑" w:eastAsia="微软雅黑" w:cs="MicrosoftYaHei"/>
                <w:kern w:val="0"/>
                <w:sz w:val="24"/>
                <w:szCs w:val="28"/>
                <w:lang w:eastAsia="zh-CN"/>
              </w:rPr>
            </w:pPr>
            <w:r>
              <w:rPr>
                <w:rFonts w:hint="eastAsia" w:ascii="微软雅黑" w:hAnsi="微软雅黑" w:eastAsia="微软雅黑" w:cs="MicrosoftYaHei"/>
                <w:kern w:val="0"/>
                <w:sz w:val="24"/>
                <w:szCs w:val="28"/>
                <w:lang w:eastAsia="zh-CN"/>
              </w:rPr>
              <w:t>12345678901</w:t>
            </w:r>
          </w:p>
        </w:tc>
        <w:tc>
          <w:tcPr>
            <w:tcW w:w="2437" w:type="dxa"/>
            <w:shd w:val="clear" w:color="auto" w:fill="E2EFD9" w:themeFill="accent6" w:themeFillTint="33"/>
            <w:vAlign w:val="center"/>
          </w:tcPr>
          <w:p>
            <w:pPr>
              <w:rPr>
                <w:rFonts w:ascii="微软雅黑" w:hAnsi="微软雅黑" w:eastAsia="微软雅黑" w:cs="MicrosoftYaHei"/>
                <w:kern w:val="0"/>
                <w:sz w:val="24"/>
                <w:szCs w:val="28"/>
              </w:rPr>
            </w:pPr>
            <w:r>
              <w:rPr>
                <w:rFonts w:hint="eastAsia" w:ascii="微软雅黑" w:hAnsi="微软雅黑" w:eastAsia="微软雅黑" w:cs="MicrosoftYaHei"/>
                <w:kern w:val="0"/>
                <w:sz w:val="24"/>
                <w:szCs w:val="28"/>
              </w:rPr>
              <w:t>检测项目：</w:t>
            </w:r>
          </w:p>
        </w:tc>
        <w:tc>
          <w:tcPr>
            <w:tcW w:w="2437" w:type="dxa"/>
            <w:shd w:val="clear" w:color="auto" w:fill="E2EFD9" w:themeFill="accent6" w:themeFillTint="33"/>
            <w:vAlign w:val="center"/>
          </w:tcPr>
          <w:p>
            <w:pPr>
              <w:rPr>
                <w:rFonts w:hint="eastAsia" w:ascii="微软雅黑" w:hAnsi="微软雅黑" w:eastAsia="微软雅黑" w:cs="MicrosoftYaHei"/>
                <w:kern w:val="0"/>
                <w:sz w:val="24"/>
                <w:szCs w:val="28"/>
                <w:lang w:eastAsia="zh-CN"/>
              </w:rPr>
            </w:pPr>
            <w:r>
              <w:rPr>
                <w:rFonts w:hint="eastAsia" w:ascii="微软雅黑" w:hAnsi="微软雅黑" w:eastAsia="微软雅黑" w:cs="MicrosoftYaHei"/>
                <w:kern w:val="0"/>
                <w:sz w:val="22"/>
                <w:szCs w:val="24"/>
                <w:lang w:eastAsia="zh-CN"/>
              </w:rPr>
              <w:t>项目1</w:t>
            </w:r>
          </w:p>
        </w:tc>
      </w:tr>
      <w:tr>
        <w:tblPrEx>
          <w:tblLayout w:type="fixed"/>
          <w:tblCellMar>
            <w:top w:w="0" w:type="dxa"/>
            <w:left w:w="108" w:type="dxa"/>
            <w:bottom w:w="0" w:type="dxa"/>
            <w:right w:w="108" w:type="dxa"/>
          </w:tblCellMar>
        </w:tblPrEx>
        <w:trPr>
          <w:trHeight w:val="794" w:hRule="atLeast"/>
          <w:jc w:val="center"/>
        </w:trPr>
        <w:tc>
          <w:tcPr>
            <w:tcW w:w="2436" w:type="dxa"/>
            <w:shd w:val="clear" w:color="auto" w:fill="E2EFD9" w:themeFill="accent6" w:themeFillTint="33"/>
            <w:vAlign w:val="center"/>
          </w:tcPr>
          <w:p>
            <w:pPr>
              <w:rPr>
                <w:rFonts w:ascii="微软雅黑" w:hAnsi="微软雅黑" w:eastAsia="微软雅黑" w:cs="MicrosoftYaHei"/>
                <w:b w:val="0"/>
                <w:bCs/>
                <w:kern w:val="0"/>
                <w:sz w:val="24"/>
                <w:szCs w:val="28"/>
              </w:rPr>
            </w:pPr>
            <w:r>
              <w:rPr>
                <w:rFonts w:hint="eastAsia" w:ascii="微软雅黑" w:hAnsi="微软雅黑" w:eastAsia="微软雅黑" w:cs="MicrosoftYaHei"/>
                <w:b w:val="0"/>
                <w:bCs/>
                <w:kern w:val="0"/>
                <w:sz w:val="24"/>
                <w:szCs w:val="28"/>
              </w:rPr>
              <w:t>送检医生：</w:t>
            </w:r>
          </w:p>
        </w:tc>
        <w:tc>
          <w:tcPr>
            <w:tcW w:w="2436" w:type="dxa"/>
            <w:shd w:val="clear" w:color="auto" w:fill="E2EFD9" w:themeFill="accent6" w:themeFillTint="33"/>
            <w:vAlign w:val="center"/>
          </w:tcPr>
          <w:p>
            <w:pPr>
              <w:rPr>
                <w:rFonts w:hint="eastAsia" w:ascii="微软雅黑" w:hAnsi="微软雅黑" w:eastAsia="微软雅黑" w:cs="MicrosoftYaHei"/>
                <w:kern w:val="0"/>
                <w:sz w:val="24"/>
                <w:szCs w:val="28"/>
                <w:lang w:eastAsia="zh-CN"/>
              </w:rPr>
            </w:pPr>
            <w:r>
              <w:rPr>
                <w:rFonts w:hint="eastAsia" w:ascii="微软雅黑" w:hAnsi="微软雅黑" w:eastAsia="微软雅黑" w:cs="MicrosoftYaHei"/>
                <w:kern w:val="0"/>
                <w:sz w:val="24"/>
                <w:szCs w:val="28"/>
                <w:lang w:eastAsia="zh-CN"/>
              </w:rPr>
              <w:t>小王</w:t>
            </w:r>
          </w:p>
        </w:tc>
        <w:tc>
          <w:tcPr>
            <w:tcW w:w="2437" w:type="dxa"/>
            <w:shd w:val="clear" w:color="auto" w:fill="E2EFD9" w:themeFill="accent6" w:themeFillTint="33"/>
            <w:vAlign w:val="center"/>
          </w:tcPr>
          <w:p>
            <w:pPr>
              <w:rPr>
                <w:rFonts w:ascii="微软雅黑" w:hAnsi="微软雅黑" w:eastAsia="微软雅黑" w:cs="MicrosoftYaHei"/>
                <w:kern w:val="0"/>
                <w:sz w:val="24"/>
                <w:szCs w:val="28"/>
              </w:rPr>
            </w:pPr>
            <w:r>
              <w:rPr>
                <w:rFonts w:hint="eastAsia" w:ascii="微软雅黑" w:hAnsi="微软雅黑" w:eastAsia="微软雅黑" w:cs="MicrosoftYaHei"/>
                <w:kern w:val="0"/>
                <w:sz w:val="24"/>
                <w:szCs w:val="28"/>
              </w:rPr>
              <w:t>送检单位：</w:t>
            </w:r>
          </w:p>
        </w:tc>
        <w:tc>
          <w:tcPr>
            <w:tcW w:w="2437" w:type="dxa"/>
            <w:shd w:val="clear" w:color="auto" w:fill="E2EFD9" w:themeFill="accent6" w:themeFillTint="33"/>
            <w:vAlign w:val="center"/>
          </w:tcPr>
          <w:p>
            <w:pPr>
              <w:rPr>
                <w:rFonts w:hint="eastAsia" w:ascii="微软雅黑" w:hAnsi="微软雅黑" w:eastAsia="微软雅黑" w:cs="MicrosoftYaHei"/>
                <w:kern w:val="0"/>
                <w:sz w:val="24"/>
                <w:szCs w:val="28"/>
                <w:lang w:eastAsia="zh-CN"/>
              </w:rPr>
            </w:pPr>
            <w:r>
              <w:rPr>
                <w:rFonts w:hint="eastAsia" w:ascii="微软雅黑" w:hAnsi="微软雅黑" w:eastAsia="微软雅黑" w:cs="MicrosoftYaHei"/>
                <w:kern w:val="0"/>
                <w:sz w:val="24"/>
                <w:szCs w:val="28"/>
                <w:lang w:eastAsia="zh-CN"/>
              </w:rPr>
              <w:t>医院1</w:t>
            </w:r>
          </w:p>
        </w:tc>
      </w:tr>
      <w:tr>
        <w:tblPrEx>
          <w:tblLayout w:type="fixed"/>
          <w:tblCellMar>
            <w:top w:w="0" w:type="dxa"/>
            <w:left w:w="108" w:type="dxa"/>
            <w:bottom w:w="0" w:type="dxa"/>
            <w:right w:w="108" w:type="dxa"/>
          </w:tblCellMar>
        </w:tblPrEx>
        <w:trPr>
          <w:trHeight w:val="794" w:hRule="atLeast"/>
          <w:jc w:val="center"/>
        </w:trPr>
        <w:tc>
          <w:tcPr>
            <w:tcW w:w="2436" w:type="dxa"/>
            <w:shd w:val="clear" w:color="auto" w:fill="E2EFD9" w:themeFill="accent6" w:themeFillTint="33"/>
            <w:vAlign w:val="center"/>
          </w:tcPr>
          <w:p>
            <w:pPr>
              <w:rPr>
                <w:rFonts w:ascii="微软雅黑" w:hAnsi="微软雅黑" w:eastAsia="微软雅黑" w:cs="MicrosoftYaHei"/>
                <w:b w:val="0"/>
                <w:bCs/>
                <w:kern w:val="0"/>
                <w:sz w:val="24"/>
                <w:szCs w:val="28"/>
              </w:rPr>
            </w:pPr>
            <w:r>
              <w:rPr>
                <w:rFonts w:hint="eastAsia" w:ascii="微软雅黑" w:hAnsi="微软雅黑" w:eastAsia="微软雅黑" w:cs="MicrosoftYaHei"/>
                <w:b w:val="0"/>
                <w:bCs/>
                <w:kern w:val="0"/>
                <w:sz w:val="24"/>
                <w:szCs w:val="28"/>
              </w:rPr>
              <w:t>病理诊断：</w:t>
            </w:r>
          </w:p>
        </w:tc>
        <w:tc>
          <w:tcPr>
            <w:tcW w:w="2436" w:type="dxa"/>
            <w:shd w:val="clear" w:color="auto" w:fill="E2EFD9" w:themeFill="accent6" w:themeFillTint="33"/>
            <w:vAlign w:val="center"/>
          </w:tcPr>
          <w:p>
            <w:pPr>
              <w:spacing w:line="400" w:lineRule="exact"/>
              <w:rPr>
                <w:rFonts w:hint="eastAsia" w:ascii="微软雅黑" w:hAnsi="微软雅黑" w:eastAsia="微软雅黑" w:cs="MicrosoftYaHei"/>
                <w:kern w:val="0"/>
                <w:sz w:val="24"/>
                <w:szCs w:val="28"/>
                <w:lang w:eastAsia="zh-CN"/>
              </w:rPr>
            </w:pPr>
            <w:r>
              <w:rPr>
                <w:rFonts w:hint="eastAsia" w:ascii="微软雅黑" w:hAnsi="微软雅黑" w:eastAsia="微软雅黑" w:cs="MicrosoftYaHei"/>
                <w:kern w:val="0"/>
                <w:sz w:val="24"/>
                <w:szCs w:val="28"/>
                <w:lang w:eastAsia="zh-CN"/>
              </w:rPr>
              <w:t>2018-4-25</w:t>
            </w:r>
          </w:p>
        </w:tc>
        <w:tc>
          <w:tcPr>
            <w:tcW w:w="2437" w:type="dxa"/>
            <w:shd w:val="clear" w:color="auto" w:fill="E2EFD9" w:themeFill="accent6" w:themeFillTint="33"/>
            <w:vAlign w:val="center"/>
          </w:tcPr>
          <w:p>
            <w:pPr>
              <w:rPr>
                <w:rFonts w:ascii="微软雅黑" w:hAnsi="微软雅黑" w:eastAsia="微软雅黑" w:cs="MicrosoftYaHei"/>
                <w:kern w:val="0"/>
                <w:sz w:val="24"/>
                <w:szCs w:val="28"/>
              </w:rPr>
            </w:pPr>
            <w:r>
              <w:rPr>
                <w:rFonts w:hint="eastAsia" w:ascii="微软雅黑" w:hAnsi="微软雅黑" w:eastAsia="微软雅黑" w:cs="MicrosoftYaHei"/>
                <w:kern w:val="0"/>
                <w:sz w:val="24"/>
                <w:szCs w:val="28"/>
              </w:rPr>
              <w:t>样本类型：</w:t>
            </w:r>
          </w:p>
        </w:tc>
        <w:tc>
          <w:tcPr>
            <w:tcW w:w="2437" w:type="dxa"/>
            <w:shd w:val="clear" w:color="auto" w:fill="E2EFD9" w:themeFill="accent6" w:themeFillTint="33"/>
            <w:vAlign w:val="center"/>
          </w:tcPr>
          <w:p>
            <w:pPr>
              <w:rPr>
                <w:rFonts w:hint="eastAsia" w:ascii="微软雅黑" w:hAnsi="微软雅黑" w:eastAsia="微软雅黑" w:cs="MicrosoftYaHei"/>
                <w:kern w:val="0"/>
                <w:sz w:val="24"/>
                <w:szCs w:val="28"/>
                <w:lang w:eastAsia="zh-CN"/>
              </w:rPr>
            </w:pPr>
            <w:r>
              <w:rPr>
                <w:rFonts w:hint="eastAsia" w:ascii="微软雅黑" w:hAnsi="微软雅黑" w:eastAsia="微软雅黑" w:cs="MicrosoftYaHei"/>
                <w:kern w:val="0"/>
                <w:sz w:val="24"/>
                <w:szCs w:val="28"/>
                <w:lang w:eastAsia="zh-CN"/>
              </w:rPr>
              <w:t>2018-4-25</w:t>
            </w:r>
          </w:p>
        </w:tc>
      </w:tr>
      <w:tr>
        <w:tblPrEx>
          <w:shd w:val="clear" w:color="auto" w:fill="E2EFD9" w:themeFill="accent6" w:themeFillTint="33"/>
          <w:tblLayout w:type="fixed"/>
          <w:tblCellMar>
            <w:top w:w="0" w:type="dxa"/>
            <w:left w:w="108" w:type="dxa"/>
            <w:bottom w:w="0" w:type="dxa"/>
            <w:right w:w="108" w:type="dxa"/>
          </w:tblCellMar>
        </w:tblPrEx>
        <w:trPr>
          <w:trHeight w:val="794" w:hRule="atLeast"/>
          <w:jc w:val="center"/>
        </w:trPr>
        <w:tc>
          <w:tcPr>
            <w:tcW w:w="2436" w:type="dxa"/>
            <w:shd w:val="clear" w:color="auto" w:fill="E2EFD9" w:themeFill="accent6" w:themeFillTint="33"/>
            <w:vAlign w:val="center"/>
          </w:tcPr>
          <w:p>
            <w:pPr>
              <w:rPr>
                <w:rFonts w:ascii="微软雅黑" w:hAnsi="微软雅黑" w:eastAsia="微软雅黑" w:cs="MicrosoftYaHei"/>
                <w:b w:val="0"/>
                <w:bCs/>
                <w:kern w:val="0"/>
                <w:sz w:val="24"/>
                <w:szCs w:val="28"/>
              </w:rPr>
            </w:pPr>
            <w:r>
              <w:rPr>
                <w:rFonts w:hint="eastAsia" w:ascii="微软雅黑" w:hAnsi="微软雅黑" w:eastAsia="微软雅黑" w:cs="MicrosoftYaHei"/>
                <w:b w:val="0"/>
                <w:bCs/>
                <w:kern w:val="0"/>
                <w:sz w:val="24"/>
                <w:szCs w:val="28"/>
              </w:rPr>
              <w:t>送检时间：</w:t>
            </w:r>
          </w:p>
        </w:tc>
        <w:tc>
          <w:tcPr>
            <w:tcW w:w="2436" w:type="dxa"/>
            <w:shd w:val="clear" w:color="auto" w:fill="E2EFD9" w:themeFill="accent6" w:themeFillTint="33"/>
            <w:vAlign w:val="center"/>
          </w:tcPr>
          <w:p>
            <w:pPr>
              <w:rPr>
                <w:rFonts w:ascii="微软雅黑" w:hAnsi="微软雅黑" w:eastAsia="微软雅黑" w:cs="MicrosoftYaHei"/>
                <w:kern w:val="0"/>
                <w:sz w:val="24"/>
                <w:szCs w:val="28"/>
              </w:rPr>
            </w:pPr>
            <w:r>
              <w:rPr>
                <w:rFonts w:hint="eastAsia" w:ascii="微软雅黑" w:hAnsi="微软雅黑" w:eastAsia="微软雅黑" w:cs="MicrosoftYaHei"/>
                <w:kern w:val="0"/>
                <w:sz w:val="24"/>
                <w:szCs w:val="28"/>
              </w:rPr>
              <w:t>2</w:t>
            </w:r>
            <w:r>
              <w:rPr>
                <w:rFonts w:ascii="微软雅黑" w:hAnsi="微软雅黑" w:eastAsia="微软雅黑" w:cs="MicrosoftYaHei"/>
                <w:kern w:val="0"/>
                <w:sz w:val="24"/>
                <w:szCs w:val="28"/>
              </w:rPr>
              <w:t>018</w:t>
            </w:r>
            <w:r>
              <w:rPr>
                <w:rFonts w:hint="eastAsia" w:ascii="微软雅黑" w:hAnsi="微软雅黑" w:eastAsia="微软雅黑" w:cs="MicrosoftYaHei"/>
                <w:kern w:val="0"/>
                <w:sz w:val="24"/>
                <w:szCs w:val="28"/>
              </w:rPr>
              <w:t>-</w:t>
            </w:r>
            <w:r>
              <w:rPr>
                <w:rFonts w:ascii="微软雅黑" w:hAnsi="微软雅黑" w:eastAsia="微软雅黑" w:cs="MicrosoftYaHei"/>
                <w:kern w:val="0"/>
                <w:sz w:val="24"/>
                <w:szCs w:val="28"/>
              </w:rPr>
              <w:t>08</w:t>
            </w:r>
            <w:r>
              <w:rPr>
                <w:rFonts w:hint="eastAsia" w:ascii="微软雅黑" w:hAnsi="微软雅黑" w:eastAsia="微软雅黑" w:cs="MicrosoftYaHei"/>
                <w:kern w:val="0"/>
                <w:sz w:val="24"/>
                <w:szCs w:val="28"/>
              </w:rPr>
              <w:t>-</w:t>
            </w:r>
            <w:r>
              <w:rPr>
                <w:rFonts w:ascii="微软雅黑" w:hAnsi="微软雅黑" w:eastAsia="微软雅黑" w:cs="MicrosoftYaHei"/>
                <w:kern w:val="0"/>
                <w:sz w:val="24"/>
                <w:szCs w:val="28"/>
              </w:rPr>
              <w:t>08</w:t>
            </w:r>
          </w:p>
        </w:tc>
        <w:tc>
          <w:tcPr>
            <w:tcW w:w="2437" w:type="dxa"/>
            <w:shd w:val="clear" w:color="auto" w:fill="E2EFD9" w:themeFill="accent6" w:themeFillTint="33"/>
            <w:vAlign w:val="center"/>
          </w:tcPr>
          <w:p>
            <w:pPr>
              <w:rPr>
                <w:rFonts w:ascii="微软雅黑" w:hAnsi="微软雅黑" w:eastAsia="微软雅黑" w:cs="MicrosoftYaHei"/>
                <w:kern w:val="0"/>
                <w:sz w:val="24"/>
                <w:szCs w:val="28"/>
              </w:rPr>
            </w:pPr>
            <w:r>
              <w:rPr>
                <w:rFonts w:hint="eastAsia" w:ascii="微软雅黑" w:hAnsi="微软雅黑" w:eastAsia="微软雅黑" w:cs="MicrosoftYaHei"/>
                <w:kern w:val="0"/>
                <w:sz w:val="24"/>
                <w:szCs w:val="28"/>
              </w:rPr>
              <w:t>报告时间：</w:t>
            </w:r>
          </w:p>
        </w:tc>
        <w:tc>
          <w:tcPr>
            <w:tcW w:w="2437" w:type="dxa"/>
            <w:shd w:val="clear" w:color="auto" w:fill="E2EFD9" w:themeFill="accent6" w:themeFillTint="33"/>
            <w:vAlign w:val="center"/>
          </w:tcPr>
          <w:p>
            <w:pPr>
              <w:rPr>
                <w:rFonts w:ascii="微软雅黑" w:hAnsi="微软雅黑" w:eastAsia="微软雅黑" w:cs="MicrosoftYaHei"/>
                <w:kern w:val="0"/>
                <w:sz w:val="24"/>
                <w:szCs w:val="28"/>
              </w:rPr>
            </w:pPr>
            <w:r>
              <w:rPr>
                <w:rFonts w:hint="eastAsia" w:ascii="微软雅黑" w:hAnsi="微软雅黑" w:eastAsia="微软雅黑" w:cs="MicrosoftYaHei"/>
                <w:kern w:val="0"/>
                <w:sz w:val="24"/>
                <w:szCs w:val="28"/>
              </w:rPr>
              <w:t>2</w:t>
            </w:r>
            <w:r>
              <w:rPr>
                <w:rFonts w:ascii="微软雅黑" w:hAnsi="微软雅黑" w:eastAsia="微软雅黑" w:cs="MicrosoftYaHei"/>
                <w:kern w:val="0"/>
                <w:sz w:val="24"/>
                <w:szCs w:val="28"/>
              </w:rPr>
              <w:t>018</w:t>
            </w:r>
            <w:r>
              <w:rPr>
                <w:rFonts w:hint="eastAsia" w:ascii="微软雅黑" w:hAnsi="微软雅黑" w:eastAsia="微软雅黑" w:cs="MicrosoftYaHei"/>
                <w:kern w:val="0"/>
                <w:sz w:val="24"/>
                <w:szCs w:val="28"/>
              </w:rPr>
              <w:t>-</w:t>
            </w:r>
            <w:r>
              <w:rPr>
                <w:rFonts w:ascii="微软雅黑" w:hAnsi="微软雅黑" w:eastAsia="微软雅黑" w:cs="MicrosoftYaHei"/>
                <w:kern w:val="0"/>
                <w:sz w:val="24"/>
                <w:szCs w:val="28"/>
              </w:rPr>
              <w:t>09</w:t>
            </w:r>
            <w:r>
              <w:rPr>
                <w:rFonts w:hint="eastAsia" w:ascii="微软雅黑" w:hAnsi="微软雅黑" w:eastAsia="微软雅黑" w:cs="MicrosoftYaHei"/>
                <w:kern w:val="0"/>
                <w:sz w:val="24"/>
                <w:szCs w:val="28"/>
              </w:rPr>
              <w:t>-</w:t>
            </w:r>
            <w:r>
              <w:rPr>
                <w:rFonts w:ascii="微软雅黑" w:hAnsi="微软雅黑" w:eastAsia="微软雅黑" w:cs="MicrosoftYaHei"/>
                <w:kern w:val="0"/>
                <w:sz w:val="24"/>
                <w:szCs w:val="28"/>
              </w:rPr>
              <w:t>09</w:t>
            </w:r>
          </w:p>
        </w:tc>
      </w:tr>
    </w:tbl>
    <w:p>
      <w:pPr>
        <w:jc w:val="left"/>
        <w:rPr>
          <w:rFonts w:ascii="宋体" w:hAnsi="宋体" w:eastAsia="宋体" w:cs="MicrosoftYaHei"/>
          <w:kern w:val="0"/>
          <w:sz w:val="36"/>
          <w:szCs w:val="24"/>
        </w:rPr>
      </w:pPr>
    </w:p>
    <w:p>
      <w:pPr>
        <w:widowControl/>
        <w:jc w:val="left"/>
        <w:rPr>
          <w:rFonts w:ascii="宋体" w:hAnsi="宋体" w:eastAsia="宋体" w:cs="MicrosoftYaHei"/>
          <w:kern w:val="0"/>
          <w:sz w:val="36"/>
          <w:szCs w:val="24"/>
        </w:rPr>
      </w:pPr>
    </w:p>
    <w:p>
      <w:pPr>
        <w:widowControl/>
        <w:jc w:val="left"/>
        <w:rPr>
          <w:rFonts w:ascii="宋体" w:hAnsi="宋体" w:eastAsia="宋体" w:cs="MicrosoftYaHei"/>
          <w:kern w:val="0"/>
          <w:sz w:val="36"/>
          <w:szCs w:val="24"/>
        </w:rPr>
        <w:sectPr>
          <w:headerReference r:id="rId5" w:type="default"/>
          <w:footerReference r:id="rId6" w:type="default"/>
          <w:type w:val="continuous"/>
          <w:pgSz w:w="11906" w:h="16838"/>
          <w:pgMar w:top="1440" w:right="1080" w:bottom="1440" w:left="1080" w:header="851" w:footer="992" w:gutter="0"/>
          <w:pgNumType w:start="1"/>
          <w:cols w:space="425" w:num="1"/>
          <w:docGrid w:type="lines" w:linePitch="312" w:charSpace="0"/>
        </w:sectPr>
      </w:pPr>
    </w:p>
    <w:p>
      <w:pPr>
        <w:widowControl/>
        <w:jc w:val="left"/>
        <w:rPr>
          <w:rFonts w:ascii="宋体" w:hAnsi="宋体" w:eastAsia="宋体" w:cs="MicrosoftYaHei"/>
          <w:kern w:val="0"/>
          <w:sz w:val="36"/>
          <w:szCs w:val="24"/>
        </w:rPr>
        <w:sectPr>
          <w:type w:val="continuous"/>
          <w:pgSz w:w="11906" w:h="16838"/>
          <w:pgMar w:top="1440" w:right="1080" w:bottom="1440" w:left="1080" w:header="851" w:footer="992" w:gutter="0"/>
          <w:pgNumType w:start="1"/>
          <w:cols w:space="425" w:num="1"/>
          <w:docGrid w:type="lines" w:linePitch="312" w:charSpace="0"/>
        </w:sectPr>
      </w:pPr>
    </w:p>
    <w:p>
      <w:pPr>
        <w:rPr>
          <w:rFonts w:ascii="宋体" w:hAnsi="宋体" w:eastAsia="宋体" w:cs="MicrosoftYaHei"/>
          <w:sz w:val="36"/>
          <w:szCs w:val="24"/>
        </w:rPr>
        <w:sectPr>
          <w:type w:val="continuous"/>
          <w:pgSz w:w="11906" w:h="16838"/>
          <w:pgMar w:top="1440" w:right="1080" w:bottom="1440" w:left="1080" w:header="851" w:footer="992" w:gutter="0"/>
          <w:pgNumType w:start="2"/>
          <w:cols w:space="425" w:num="1"/>
          <w:docGrid w:type="lines" w:linePitch="312" w:charSpace="0"/>
        </w:sectPr>
      </w:pPr>
    </w:p>
    <w:p>
      <w:pPr>
        <w:widowControl/>
        <w:jc w:val="center"/>
        <w:outlineLvl w:val="0"/>
        <w:rPr>
          <w:rFonts w:ascii="微软雅黑" w:hAnsi="微软雅黑" w:eastAsia="微软雅黑" w:cs="MicrosoftYaHei"/>
          <w:b/>
          <w:color w:val="000000" w:themeColor="text1"/>
          <w:kern w:val="0"/>
          <w:sz w:val="36"/>
          <w:szCs w:val="24"/>
          <w14:textFill>
            <w14:solidFill>
              <w14:schemeClr w14:val="tx1"/>
            </w14:solidFill>
          </w14:textFill>
        </w:rPr>
      </w:pPr>
      <w:bookmarkStart w:id="1" w:name="_Toc512352429"/>
      <w:r>
        <w:rPr>
          <w:rFonts w:hint="eastAsia" w:ascii="微软雅黑" w:hAnsi="微软雅黑" w:eastAsia="微软雅黑" w:cs="MicrosoftYaHei"/>
          <w:b/>
          <w:color w:val="000000" w:themeColor="text1"/>
          <w:kern w:val="0"/>
          <w:sz w:val="36"/>
          <w:szCs w:val="24"/>
          <w14:textFill>
            <w14:solidFill>
              <w14:schemeClr w14:val="tx1"/>
            </w14:solidFill>
          </w14:textFill>
        </w:rPr>
        <w:t>报告摘要</w:t>
      </w:r>
      <w:bookmarkEnd w:id="1"/>
    </w:p>
    <w:p>
      <w:pPr>
        <w:widowControl/>
        <w:jc w:val="center"/>
        <w:rPr>
          <w:rFonts w:ascii="微软雅黑" w:hAnsi="微软雅黑" w:eastAsia="微软雅黑" w:cs="MicrosoftYaHei"/>
          <w:b/>
          <w:color w:val="000000" w:themeColor="text1"/>
          <w:kern w:val="0"/>
          <w:sz w:val="36"/>
          <w:szCs w:val="24"/>
          <w14:textFill>
            <w14:solidFill>
              <w14:schemeClr w14:val="tx1"/>
            </w14:solidFill>
          </w14:textFill>
        </w:rPr>
      </w:pPr>
    </w:p>
    <w:p>
      <w:pPr>
        <w:widowControl/>
        <w:jc w:val="left"/>
        <w:outlineLvl w:val="1"/>
        <w:rPr>
          <w:rFonts w:ascii="微软雅黑" w:hAnsi="微软雅黑" w:eastAsia="微软雅黑" w:cs="MicrosoftYaHei"/>
          <w:b/>
          <w:color w:val="000000" w:themeColor="text1"/>
          <w:kern w:val="0"/>
          <w:sz w:val="28"/>
          <w:szCs w:val="24"/>
          <w14:textFill>
            <w14:solidFill>
              <w14:schemeClr w14:val="tx1"/>
            </w14:solidFill>
          </w14:textFill>
        </w:rPr>
      </w:pPr>
      <w:bookmarkStart w:id="2" w:name="_Toc512352430"/>
      <w:r>
        <w:rPr>
          <w:rFonts w:hint="eastAsia" w:ascii="微软雅黑" w:hAnsi="微软雅黑" w:eastAsia="微软雅黑" w:cs="MicrosoftYaHei"/>
          <w:b/>
          <w:color w:val="000000" w:themeColor="text1"/>
          <w:kern w:val="0"/>
          <w:sz w:val="28"/>
          <w:szCs w:val="24"/>
          <w14:textFill>
            <w14:solidFill>
              <w14:schemeClr w14:val="tx1"/>
            </w14:solidFill>
          </w14:textFill>
        </w:rPr>
        <w:t>靶向治疗药物使用建议</w:t>
      </w:r>
      <w:bookmarkEnd w:id="2"/>
    </w:p>
    <w:p>
      <w:pPr>
        <w:widowControl/>
        <w:ind w:firstLine="480" w:firstLineChars="200"/>
        <w:jc w:val="center"/>
        <w:rPr>
          <w:rFonts w:ascii="微软雅黑" w:hAnsi="微软雅黑" w:eastAsia="微软雅黑" w:cs="MicrosoftYaHei"/>
          <w:b/>
          <w:color w:val="00B050"/>
          <w:kern w:val="0"/>
          <w:sz w:val="24"/>
          <w:szCs w:val="24"/>
        </w:rPr>
      </w:pPr>
      <w:r>
        <w:rPr>
          <w:rFonts w:hint="eastAsia" w:ascii="微软雅黑" w:hAnsi="微软雅黑" w:eastAsia="微软雅黑" w:cs="MicrosoftYaHei"/>
          <w:b/>
          <w:color w:val="00B050"/>
          <w:kern w:val="0"/>
          <w:sz w:val="24"/>
          <w:szCs w:val="24"/>
        </w:rPr>
        <w:t>检测到与靶向药匹配的突变</w:t>
      </w:r>
    </w:p>
    <w:tbl>
      <w:tblPr>
        <w:tblStyle w:val="11"/>
        <w:tblpPr w:leftFromText="180" w:rightFromText="180" w:vertAnchor="text" w:horzAnchor="margin" w:tblpXSpec="center" w:tblpY="221"/>
        <w:tblW w:w="8296" w:type="dxa"/>
        <w:tblInd w:w="0" w:type="dxa"/>
        <w:tblLayout w:type="fixed"/>
        <w:tblCellMar>
          <w:top w:w="0" w:type="dxa"/>
          <w:left w:w="108" w:type="dxa"/>
          <w:bottom w:w="0" w:type="dxa"/>
          <w:right w:w="108" w:type="dxa"/>
        </w:tblCellMar>
      </w:tblPr>
      <w:tblGrid>
        <w:gridCol w:w="1418"/>
        <w:gridCol w:w="1417"/>
        <w:gridCol w:w="1560"/>
        <w:gridCol w:w="1417"/>
        <w:gridCol w:w="2484"/>
      </w:tblGrid>
      <w:tr>
        <w:tblPrEx>
          <w:tblLayout w:type="fixed"/>
          <w:tblCellMar>
            <w:top w:w="0" w:type="dxa"/>
            <w:left w:w="108" w:type="dxa"/>
            <w:bottom w:w="0" w:type="dxa"/>
            <w:right w:w="108" w:type="dxa"/>
          </w:tblCellMar>
        </w:tblPrEx>
        <w:tc>
          <w:tcPr>
            <w:tcW w:w="1418" w:type="dxa"/>
            <w:shd w:val="clear" w:color="auto" w:fill="1F3864" w:themeFill="accent1" w:themeFillShade="80"/>
          </w:tcPr>
          <w:p>
            <w:pPr>
              <w:widowControl/>
              <w:jc w:val="left"/>
              <w:rPr>
                <w:rFonts w:ascii="微软雅黑" w:hAnsi="微软雅黑" w:eastAsia="微软雅黑" w:cs="MicrosoftYaHei"/>
                <w:b/>
                <w:bCs/>
                <w:kern w:val="0"/>
                <w:sz w:val="22"/>
                <w:szCs w:val="24"/>
              </w:rPr>
            </w:pPr>
            <w:r>
              <w:rPr>
                <w:rFonts w:hint="eastAsia" w:ascii="微软雅黑" w:hAnsi="微软雅黑" w:eastAsia="微软雅黑" w:cs="MicrosoftYaHei"/>
                <w:b/>
                <w:bCs/>
                <w:kern w:val="0"/>
                <w:sz w:val="22"/>
                <w:szCs w:val="24"/>
              </w:rPr>
              <w:t>基因</w:t>
            </w:r>
          </w:p>
        </w:tc>
        <w:tc>
          <w:tcPr>
            <w:tcW w:w="1417" w:type="dxa"/>
            <w:shd w:val="clear" w:color="auto" w:fill="1F3864" w:themeFill="accent1" w:themeFillShade="80"/>
          </w:tcPr>
          <w:p>
            <w:pPr>
              <w:widowControl/>
              <w:jc w:val="left"/>
              <w:rPr>
                <w:rFonts w:ascii="微软雅黑" w:hAnsi="微软雅黑" w:eastAsia="微软雅黑" w:cs="MicrosoftYaHei"/>
                <w:b/>
                <w:bCs/>
                <w:kern w:val="0"/>
                <w:sz w:val="22"/>
                <w:szCs w:val="24"/>
              </w:rPr>
            </w:pPr>
            <w:r>
              <w:rPr>
                <w:rFonts w:hint="eastAsia" w:ascii="微软雅黑" w:hAnsi="微软雅黑" w:eastAsia="微软雅黑" w:cs="MicrosoftYaHei"/>
                <w:b/>
                <w:bCs/>
                <w:kern w:val="0"/>
                <w:sz w:val="22"/>
                <w:szCs w:val="24"/>
              </w:rPr>
              <w:t>突变</w:t>
            </w:r>
          </w:p>
        </w:tc>
        <w:tc>
          <w:tcPr>
            <w:tcW w:w="1560" w:type="dxa"/>
            <w:shd w:val="clear" w:color="auto" w:fill="1F3864" w:themeFill="accent1" w:themeFillShade="80"/>
          </w:tcPr>
          <w:p>
            <w:pPr>
              <w:widowControl/>
              <w:jc w:val="left"/>
              <w:rPr>
                <w:rFonts w:ascii="微软雅黑" w:hAnsi="微软雅黑" w:eastAsia="微软雅黑" w:cs="MicrosoftYaHei"/>
                <w:b w:val="0"/>
                <w:bCs w:val="0"/>
                <w:kern w:val="0"/>
                <w:sz w:val="22"/>
                <w:szCs w:val="24"/>
              </w:rPr>
            </w:pPr>
            <w:r>
              <w:rPr>
                <w:rFonts w:hint="eastAsia" w:ascii="微软雅黑" w:hAnsi="微软雅黑" w:eastAsia="微软雅黑" w:cs="MicrosoftYaHei"/>
                <w:b/>
                <w:bCs/>
                <w:kern w:val="0"/>
                <w:sz w:val="22"/>
                <w:szCs w:val="24"/>
              </w:rPr>
              <w:t>突变频率</w:t>
            </w:r>
          </w:p>
        </w:tc>
        <w:tc>
          <w:tcPr>
            <w:tcW w:w="1417" w:type="dxa"/>
            <w:shd w:val="clear" w:color="auto" w:fill="1F3864" w:themeFill="accent1" w:themeFillShade="80"/>
          </w:tcPr>
          <w:p>
            <w:pPr>
              <w:widowControl/>
              <w:jc w:val="left"/>
              <w:rPr>
                <w:rFonts w:ascii="微软雅黑" w:hAnsi="微软雅黑" w:eastAsia="微软雅黑" w:cs="MicrosoftYaHei"/>
                <w:b/>
                <w:bCs/>
                <w:kern w:val="0"/>
                <w:sz w:val="22"/>
                <w:szCs w:val="24"/>
              </w:rPr>
            </w:pPr>
            <w:r>
              <w:rPr>
                <w:rFonts w:hint="eastAsia" w:ascii="微软雅黑" w:hAnsi="微软雅黑" w:eastAsia="微软雅黑" w:cs="MicrosoftYaHei"/>
                <w:b/>
                <w:bCs/>
                <w:kern w:val="0"/>
                <w:sz w:val="22"/>
                <w:szCs w:val="24"/>
              </w:rPr>
              <w:t>突变类型</w:t>
            </w:r>
          </w:p>
        </w:tc>
        <w:tc>
          <w:tcPr>
            <w:tcW w:w="2484" w:type="dxa"/>
            <w:shd w:val="clear" w:color="auto" w:fill="1F3864" w:themeFill="accent1" w:themeFillShade="80"/>
          </w:tcPr>
          <w:p>
            <w:pPr>
              <w:widowControl/>
              <w:jc w:val="left"/>
              <w:rPr>
                <w:rFonts w:ascii="微软雅黑" w:hAnsi="微软雅黑" w:eastAsia="微软雅黑" w:cs="MicrosoftYaHei"/>
                <w:b/>
                <w:bCs/>
                <w:kern w:val="0"/>
                <w:sz w:val="22"/>
                <w:szCs w:val="24"/>
              </w:rPr>
            </w:pPr>
            <w:r>
              <w:rPr>
                <w:rFonts w:hint="eastAsia" w:ascii="微软雅黑" w:hAnsi="微软雅黑" w:eastAsia="微软雅黑" w:cs="MicrosoftYaHei"/>
                <w:b/>
                <w:bCs/>
                <w:kern w:val="0"/>
                <w:sz w:val="22"/>
                <w:szCs w:val="24"/>
              </w:rPr>
              <w:t>靶向药</w:t>
            </w:r>
          </w:p>
        </w:tc>
      </w:tr>
      <w:tr>
        <w:tblPrEx>
          <w:tblLayout w:type="fixed"/>
          <w:tblCellMar>
            <w:top w:w="0" w:type="dxa"/>
            <w:left w:w="108" w:type="dxa"/>
            <w:bottom w:w="0" w:type="dxa"/>
            <w:right w:w="108" w:type="dxa"/>
          </w:tblCellMar>
        </w:tblPrEx>
        <w:tc>
          <w:tcPr>
            <w:tcW w:w="1418" w:type="dxa"/>
            <w:shd w:val="clear" w:color="auto" w:fill="F1F1F1" w:themeFill="background1" w:themeFillShade="F2"/>
            <w:vAlign w:val="center"/>
          </w:tcPr>
          <w:p>
            <w:pPr>
              <w:widowControl/>
              <w:jc w:val="left"/>
              <w:rPr>
                <w:rFonts w:hint="eastAsia" w:ascii="微软雅黑" w:hAnsi="微软雅黑" w:eastAsia="微软雅黑" w:cs="微软雅黑"/>
                <w:b w:val="0"/>
                <w:bCs/>
                <w:i w:val="0"/>
                <w:color w:val="50B000"/>
                <w:kern w:val="0"/>
                <w:sz w:val="20"/>
                <w:szCs w:val="18"/>
                <w:u w:val="none"/>
                <w:lang w:eastAsia="zh-CN"/>
              </w:rPr>
            </w:pPr>
            <w:r>
              <w:rPr>
                <w:rFonts w:hint="eastAsia" w:ascii="微软雅黑" w:hAnsi="微软雅黑" w:eastAsia="微软雅黑" w:cs="微软雅黑"/>
                <w:b w:val="0"/>
                <w:bCs/>
                <w:i w:val="0"/>
                <w:color w:val="50B000"/>
                <w:kern w:val="0"/>
                <w:sz w:val="20"/>
                <w:szCs w:val="18"/>
                <w:u w:val="none"/>
                <w:lang w:eastAsia="zh-CN"/>
              </w:rPr>
              <w:t>EFD1</w:t>
            </w:r>
          </w:p>
        </w:tc>
        <w:tc>
          <w:tcPr>
            <w:tcW w:w="1417" w:type="dxa"/>
            <w:shd w:val="clear" w:color="auto" w:fill="F1F1F1" w:themeFill="background1" w:themeFillShade="F2"/>
            <w:vAlign w:val="center"/>
          </w:tcPr>
          <w:p>
            <w:pPr>
              <w:widowControl/>
              <w:jc w:val="left"/>
              <w:rPr>
                <w:rFonts w:hint="eastAsia" w:ascii="微软雅黑" w:hAnsi="微软雅黑" w:eastAsia="微软雅黑" w:cs="宋体"/>
                <w:kern w:val="0"/>
                <w:sz w:val="20"/>
                <w:szCs w:val="18"/>
                <w:lang w:eastAsia="zh-CN"/>
              </w:rPr>
            </w:pPr>
            <w:r>
              <w:rPr>
                <w:rFonts w:hint="eastAsia" w:ascii="微软雅黑" w:hAnsi="微软雅黑" w:eastAsia="微软雅黑" w:cs="宋体"/>
                <w:kern w:val="0"/>
                <w:sz w:val="20"/>
                <w:szCs w:val="18"/>
                <w:lang w:eastAsia="zh-CN"/>
              </w:rPr>
              <w:t>test1</w:t>
            </w:r>
          </w:p>
        </w:tc>
        <w:tc>
          <w:tcPr>
            <w:tcW w:w="1560" w:type="dxa"/>
            <w:shd w:val="clear" w:color="auto" w:fill="F1F1F1" w:themeFill="background1" w:themeFillShade="F2"/>
            <w:vAlign w:val="center"/>
          </w:tcPr>
          <w:p>
            <w:pPr>
              <w:widowControl/>
              <w:jc w:val="left"/>
              <w:rPr>
                <w:rFonts w:hint="eastAsia" w:ascii="微软雅黑" w:hAnsi="微软雅黑" w:eastAsia="微软雅黑" w:cs="宋体"/>
                <w:kern w:val="0"/>
                <w:sz w:val="20"/>
                <w:szCs w:val="18"/>
                <w:lang w:eastAsia="zh-CN"/>
              </w:rPr>
            </w:pPr>
            <w:r>
              <w:rPr>
                <w:rFonts w:hint="eastAsia" w:ascii="微软雅黑" w:hAnsi="微软雅黑" w:eastAsia="微软雅黑" w:cs="宋体"/>
                <w:kern w:val="0"/>
                <w:sz w:val="20"/>
                <w:szCs w:val="18"/>
                <w:lang w:eastAsia="zh-CN"/>
              </w:rPr>
              <w:t>2.33%1</w:t>
            </w:r>
          </w:p>
        </w:tc>
        <w:tc>
          <w:tcPr>
            <w:tcW w:w="1417" w:type="dxa"/>
            <w:shd w:val="clear" w:color="auto" w:fill="F1F1F1" w:themeFill="background1" w:themeFillShade="F2"/>
            <w:vAlign w:val="center"/>
          </w:tcPr>
          <w:p>
            <w:pPr>
              <w:widowControl/>
              <w:jc w:val="left"/>
              <w:rPr>
                <w:rFonts w:hint="eastAsia" w:ascii="微软雅黑" w:hAnsi="微软雅黑" w:eastAsia="微软雅黑" w:cs="宋体"/>
                <w:kern w:val="0"/>
                <w:sz w:val="20"/>
                <w:szCs w:val="18"/>
                <w:lang w:eastAsia="zh-CN"/>
              </w:rPr>
            </w:pPr>
            <w:r>
              <w:rPr>
                <w:rFonts w:hint="eastAsia" w:ascii="微软雅黑" w:hAnsi="微软雅黑" w:eastAsia="微软雅黑" w:cs="宋体"/>
                <w:kern w:val="0"/>
                <w:sz w:val="20"/>
                <w:szCs w:val="18"/>
                <w:lang w:eastAsia="zh-CN"/>
              </w:rPr>
              <w:t>点突变11</w:t>
            </w:r>
          </w:p>
        </w:tc>
        <w:tc>
          <w:tcPr>
            <w:tcW w:w="2484" w:type="dxa"/>
            <w:shd w:val="clear" w:color="auto" w:fill="F1F1F1" w:themeFill="background1" w:themeFillShade="F2"/>
            <w:vAlign w:val="center"/>
          </w:tcPr>
          <w:p>
            <w:pPr>
              <w:widowControl/>
              <w:spacing w:line="400" w:lineRule="exact"/>
              <w:ind w:firstLine="200" w:firstLineChars="100"/>
              <w:jc w:val="left"/>
              <w:rPr>
                <w:rFonts w:hint="eastAsia" w:ascii="微软雅黑" w:hAnsi="微软雅黑" w:eastAsia="微软雅黑" w:cs="MicrosoftYaHei"/>
                <w:kern w:val="0"/>
                <w:sz w:val="20"/>
                <w:szCs w:val="24"/>
                <w:lang w:eastAsia="zh-CN"/>
              </w:rPr>
            </w:pPr>
            <w:r>
              <w:rPr>
                <w:rFonts w:hint="eastAsia" w:ascii="微软雅黑" w:hAnsi="微软雅黑" w:eastAsia="微软雅黑" w:cs="MicrosoftYaHei"/>
                <w:kern w:val="0"/>
                <w:sz w:val="20"/>
                <w:szCs w:val="24"/>
                <w:lang w:eastAsia="zh-CN"/>
              </w:rPr>
              <w:t>药物11</w:t>
            </w:r>
          </w:p>
        </w:tc>
      </w:tr>
      <w:tr>
        <w:tblPrEx>
          <w:tblLayout w:type="fixed"/>
          <w:tblCellMar>
            <w:top w:w="0" w:type="dxa"/>
            <w:left w:w="108" w:type="dxa"/>
            <w:bottom w:w="0" w:type="dxa"/>
            <w:right w:w="108" w:type="dxa"/>
          </w:tblCellMar>
        </w:tblPrEx>
        <w:tc>
          <w:tcPr>
            <w:tcW w:w="1418" w:type="dxa"/>
            <w:shd w:val="clear" w:color="auto" w:fill="F1F1F1" w:themeFill="background1" w:themeFillShade="F2"/>
            <w:vAlign w:val="center"/>
          </w:tcPr>
          <w:p>
            <w:pPr>
              <w:widowControl/>
              <w:jc w:val="left"/>
              <w:rPr>
                <w:rFonts w:hint="eastAsia" w:ascii="微软雅黑" w:hAnsi="微软雅黑" w:eastAsia="微软雅黑" w:cs="宋体"/>
                <w:b w:val="0"/>
                <w:bCs/>
                <w:kern w:val="0"/>
                <w:sz w:val="20"/>
                <w:szCs w:val="18"/>
                <w:lang w:eastAsia="zh-CN"/>
              </w:rPr>
            </w:pPr>
            <w:r>
              <w:rPr>
                <w:rFonts w:hint="eastAsia" w:ascii="微软雅黑" w:hAnsi="微软雅黑" w:eastAsia="微软雅黑" w:cs="宋体"/>
                <w:b w:val="0"/>
                <w:bCs/>
                <w:kern w:val="0"/>
                <w:sz w:val="20"/>
                <w:szCs w:val="18"/>
                <w:lang w:eastAsia="zh-CN"/>
              </w:rPr>
              <w:t>EFD2</w:t>
            </w:r>
          </w:p>
        </w:tc>
        <w:tc>
          <w:tcPr>
            <w:tcW w:w="1417" w:type="dxa"/>
            <w:shd w:val="clear" w:color="auto" w:fill="F1F1F1" w:themeFill="background1" w:themeFillShade="F2"/>
            <w:vAlign w:val="center"/>
          </w:tcPr>
          <w:p>
            <w:pPr>
              <w:widowControl/>
              <w:jc w:val="left"/>
              <w:rPr>
                <w:rFonts w:hint="eastAsia" w:ascii="微软雅黑" w:hAnsi="微软雅黑" w:eastAsia="微软雅黑" w:cs="宋体"/>
                <w:kern w:val="0"/>
                <w:sz w:val="20"/>
                <w:szCs w:val="18"/>
                <w:lang w:eastAsia="zh-CN"/>
              </w:rPr>
            </w:pPr>
            <w:r>
              <w:rPr>
                <w:rFonts w:hint="eastAsia" w:ascii="微软雅黑" w:hAnsi="微软雅黑" w:eastAsia="微软雅黑" w:cs="宋体"/>
                <w:kern w:val="0"/>
                <w:sz w:val="20"/>
                <w:szCs w:val="18"/>
                <w:lang w:eastAsia="zh-CN"/>
              </w:rPr>
              <w:t>test2</w:t>
            </w:r>
          </w:p>
        </w:tc>
        <w:tc>
          <w:tcPr>
            <w:tcW w:w="1560" w:type="dxa"/>
            <w:shd w:val="clear" w:color="auto" w:fill="F1F1F1" w:themeFill="background1" w:themeFillShade="F2"/>
            <w:vAlign w:val="center"/>
          </w:tcPr>
          <w:p>
            <w:pPr>
              <w:widowControl/>
              <w:jc w:val="left"/>
              <w:rPr>
                <w:rFonts w:hint="eastAsia" w:ascii="微软雅黑" w:hAnsi="微软雅黑" w:eastAsia="微软雅黑" w:cs="宋体"/>
                <w:kern w:val="0"/>
                <w:sz w:val="20"/>
                <w:szCs w:val="18"/>
                <w:lang w:eastAsia="zh-CN"/>
              </w:rPr>
            </w:pPr>
            <w:r>
              <w:rPr>
                <w:rFonts w:hint="eastAsia" w:ascii="微软雅黑" w:hAnsi="微软雅黑" w:eastAsia="微软雅黑" w:cs="宋体"/>
                <w:kern w:val="0"/>
                <w:sz w:val="20"/>
                <w:szCs w:val="18"/>
                <w:lang w:eastAsia="zh-CN"/>
              </w:rPr>
              <w:t>2.33%2</w:t>
            </w:r>
          </w:p>
        </w:tc>
        <w:tc>
          <w:tcPr>
            <w:tcW w:w="1417" w:type="dxa"/>
            <w:shd w:val="clear" w:color="auto" w:fill="F1F1F1" w:themeFill="background1" w:themeFillShade="F2"/>
            <w:vAlign w:val="center"/>
          </w:tcPr>
          <w:p>
            <w:pPr>
              <w:widowControl/>
              <w:jc w:val="left"/>
              <w:rPr>
                <w:rFonts w:hint="eastAsia" w:ascii="微软雅黑" w:hAnsi="微软雅黑" w:eastAsia="微软雅黑" w:cs="宋体"/>
                <w:kern w:val="0"/>
                <w:sz w:val="20"/>
                <w:szCs w:val="18"/>
                <w:lang w:eastAsia="zh-CN"/>
              </w:rPr>
            </w:pPr>
            <w:r>
              <w:rPr>
                <w:rFonts w:hint="eastAsia" w:ascii="微软雅黑" w:hAnsi="微软雅黑" w:eastAsia="微软雅黑" w:cs="宋体"/>
                <w:kern w:val="0"/>
                <w:sz w:val="20"/>
                <w:szCs w:val="18"/>
                <w:lang w:eastAsia="zh-CN"/>
              </w:rPr>
              <w:t>点突变12</w:t>
            </w:r>
          </w:p>
        </w:tc>
        <w:tc>
          <w:tcPr>
            <w:tcW w:w="2484" w:type="dxa"/>
            <w:shd w:val="clear" w:color="auto" w:fill="F1F1F1" w:themeFill="background1" w:themeFillShade="F2"/>
            <w:vAlign w:val="center"/>
          </w:tcPr>
          <w:p>
            <w:pPr>
              <w:widowControl/>
              <w:spacing w:line="400" w:lineRule="exact"/>
              <w:ind w:firstLine="200" w:firstLineChars="100"/>
              <w:jc w:val="left"/>
              <w:rPr>
                <w:rFonts w:hint="eastAsia" w:ascii="微软雅黑" w:hAnsi="微软雅黑" w:eastAsia="微软雅黑" w:cs="MicrosoftYaHei"/>
                <w:kern w:val="0"/>
                <w:sz w:val="20"/>
                <w:szCs w:val="24"/>
                <w:lang w:eastAsia="zh-CN"/>
              </w:rPr>
            </w:pPr>
            <w:r>
              <w:rPr>
                <w:rFonts w:hint="eastAsia" w:ascii="微软雅黑" w:hAnsi="微软雅黑" w:eastAsia="微软雅黑" w:cs="MicrosoftYaHei"/>
                <w:kern w:val="0"/>
                <w:sz w:val="20"/>
                <w:szCs w:val="24"/>
                <w:lang w:eastAsia="zh-CN"/>
              </w:rPr>
              <w:t>药物12</w:t>
            </w:r>
          </w:p>
        </w:tc>
      </w:tr>
      <w:tr>
        <w:tblPrEx>
          <w:tblLayout w:type="fixed"/>
          <w:tblCellMar>
            <w:top w:w="0" w:type="dxa"/>
            <w:left w:w="108" w:type="dxa"/>
            <w:bottom w:w="0" w:type="dxa"/>
            <w:right w:w="108" w:type="dxa"/>
          </w:tblCellMar>
        </w:tblPrEx>
        <w:tc>
          <w:tcPr>
            <w:tcW w:w="1418" w:type="dxa"/>
            <w:shd w:val="clear" w:color="auto" w:fill="F1F1F1" w:themeFill="background1" w:themeFillShade="F2"/>
            <w:vAlign w:val="center"/>
          </w:tcPr>
          <w:p>
            <w:pPr>
              <w:widowControl/>
              <w:jc w:val="left"/>
              <w:rPr>
                <w:rFonts w:hint="eastAsia" w:ascii="微软雅黑" w:hAnsi="微软雅黑" w:eastAsia="微软雅黑" w:cs="宋体"/>
                <w:b w:val="0"/>
                <w:bCs/>
                <w:kern w:val="0"/>
                <w:sz w:val="20"/>
                <w:szCs w:val="18"/>
                <w:lang w:eastAsia="zh-CN"/>
              </w:rPr>
            </w:pPr>
            <w:r>
              <w:rPr>
                <w:rFonts w:hint="eastAsia" w:ascii="微软雅黑" w:hAnsi="微软雅黑" w:eastAsia="微软雅黑" w:cs="宋体"/>
                <w:b w:val="0"/>
                <w:bCs/>
                <w:kern w:val="0"/>
                <w:sz w:val="20"/>
                <w:szCs w:val="18"/>
                <w:lang w:eastAsia="zh-CN"/>
              </w:rPr>
              <w:t>EFD3</w:t>
            </w:r>
          </w:p>
        </w:tc>
        <w:tc>
          <w:tcPr>
            <w:tcW w:w="1417" w:type="dxa"/>
            <w:shd w:val="clear" w:color="auto" w:fill="F1F1F1" w:themeFill="background1" w:themeFillShade="F2"/>
            <w:vAlign w:val="center"/>
          </w:tcPr>
          <w:p>
            <w:pPr>
              <w:widowControl/>
              <w:jc w:val="left"/>
              <w:rPr>
                <w:rFonts w:hint="eastAsia" w:ascii="微软雅黑" w:hAnsi="微软雅黑" w:eastAsia="微软雅黑" w:cs="宋体"/>
                <w:kern w:val="0"/>
                <w:sz w:val="20"/>
                <w:szCs w:val="18"/>
                <w:lang w:eastAsia="zh-CN"/>
              </w:rPr>
            </w:pPr>
            <w:r>
              <w:rPr>
                <w:rFonts w:hint="eastAsia" w:ascii="微软雅黑" w:hAnsi="微软雅黑" w:eastAsia="微软雅黑" w:cs="宋体"/>
                <w:kern w:val="0"/>
                <w:sz w:val="20"/>
                <w:szCs w:val="18"/>
                <w:lang w:eastAsia="zh-CN"/>
              </w:rPr>
              <w:t>test3</w:t>
            </w:r>
          </w:p>
        </w:tc>
        <w:tc>
          <w:tcPr>
            <w:tcW w:w="1560" w:type="dxa"/>
            <w:shd w:val="clear" w:color="auto" w:fill="F1F1F1" w:themeFill="background1" w:themeFillShade="F2"/>
            <w:vAlign w:val="center"/>
          </w:tcPr>
          <w:p>
            <w:pPr>
              <w:widowControl/>
              <w:jc w:val="left"/>
              <w:rPr>
                <w:rFonts w:hint="eastAsia" w:ascii="微软雅黑" w:hAnsi="微软雅黑" w:eastAsia="微软雅黑" w:cs="宋体"/>
                <w:kern w:val="0"/>
                <w:sz w:val="20"/>
                <w:szCs w:val="18"/>
                <w:lang w:eastAsia="zh-CN"/>
              </w:rPr>
            </w:pPr>
            <w:r>
              <w:rPr>
                <w:rFonts w:hint="eastAsia" w:ascii="微软雅黑" w:hAnsi="微软雅黑" w:eastAsia="微软雅黑" w:cs="宋体"/>
                <w:kern w:val="0"/>
                <w:sz w:val="20"/>
                <w:szCs w:val="18"/>
                <w:lang w:eastAsia="zh-CN"/>
              </w:rPr>
              <w:t>2.33%3</w:t>
            </w:r>
          </w:p>
        </w:tc>
        <w:tc>
          <w:tcPr>
            <w:tcW w:w="1417" w:type="dxa"/>
            <w:shd w:val="clear" w:color="auto" w:fill="F1F1F1" w:themeFill="background1" w:themeFillShade="F2"/>
            <w:vAlign w:val="center"/>
          </w:tcPr>
          <w:p>
            <w:pPr>
              <w:widowControl/>
              <w:jc w:val="left"/>
              <w:rPr>
                <w:rFonts w:hint="eastAsia" w:ascii="微软雅黑" w:hAnsi="微软雅黑" w:eastAsia="微软雅黑" w:cs="宋体"/>
                <w:kern w:val="0"/>
                <w:sz w:val="20"/>
                <w:szCs w:val="18"/>
                <w:lang w:eastAsia="zh-CN"/>
              </w:rPr>
            </w:pPr>
            <w:r>
              <w:rPr>
                <w:rFonts w:hint="eastAsia" w:ascii="微软雅黑" w:hAnsi="微软雅黑" w:eastAsia="微软雅黑" w:cs="宋体"/>
                <w:kern w:val="0"/>
                <w:sz w:val="20"/>
                <w:szCs w:val="18"/>
                <w:lang w:eastAsia="zh-CN"/>
              </w:rPr>
              <w:t>点突变13</w:t>
            </w:r>
          </w:p>
        </w:tc>
        <w:tc>
          <w:tcPr>
            <w:tcW w:w="2484" w:type="dxa"/>
            <w:shd w:val="clear" w:color="auto" w:fill="F1F1F1" w:themeFill="background1" w:themeFillShade="F2"/>
            <w:vAlign w:val="center"/>
          </w:tcPr>
          <w:p>
            <w:pPr>
              <w:widowControl/>
              <w:spacing w:line="400" w:lineRule="exact"/>
              <w:ind w:firstLine="200" w:firstLineChars="100"/>
              <w:jc w:val="left"/>
              <w:rPr>
                <w:rFonts w:hint="eastAsia" w:ascii="微软雅黑" w:hAnsi="微软雅黑" w:eastAsia="微软雅黑" w:cs="MicrosoftYaHei"/>
                <w:kern w:val="0"/>
                <w:sz w:val="20"/>
                <w:szCs w:val="24"/>
                <w:lang w:eastAsia="zh-CN"/>
              </w:rPr>
            </w:pPr>
            <w:r>
              <w:rPr>
                <w:rFonts w:hint="eastAsia" w:ascii="微软雅黑" w:hAnsi="微软雅黑" w:eastAsia="微软雅黑" w:cs="MicrosoftYaHei"/>
                <w:kern w:val="0"/>
                <w:sz w:val="20"/>
                <w:szCs w:val="24"/>
                <w:lang w:eastAsia="zh-CN"/>
              </w:rPr>
              <w:t>药物13</w:t>
            </w:r>
          </w:p>
        </w:tc>
      </w:tr>
      <w:tr>
        <w:tblPrEx>
          <w:tblLayout w:type="fixed"/>
          <w:tblCellMar>
            <w:top w:w="0" w:type="dxa"/>
            <w:left w:w="108" w:type="dxa"/>
            <w:bottom w:w="0" w:type="dxa"/>
            <w:right w:w="108" w:type="dxa"/>
          </w:tblCellMar>
        </w:tblPrEx>
        <w:tc>
          <w:tcPr>
            <w:tcW w:w="1418" w:type="dxa"/>
            <w:shd w:val="clear" w:color="auto" w:fill="F1F1F1" w:themeFill="background1" w:themeFillShade="F2"/>
            <w:vAlign w:val="center"/>
          </w:tcPr>
          <w:p>
            <w:pPr>
              <w:widowControl/>
              <w:jc w:val="left"/>
              <w:rPr>
                <w:rFonts w:hint="eastAsia" w:ascii="微软雅黑" w:hAnsi="微软雅黑" w:eastAsia="微软雅黑" w:cs="MicrosoftYaHei"/>
                <w:b w:val="0"/>
                <w:bCs/>
                <w:kern w:val="0"/>
                <w:sz w:val="20"/>
                <w:szCs w:val="24"/>
                <w:lang w:eastAsia="zh-CN"/>
              </w:rPr>
            </w:pPr>
            <w:r>
              <w:rPr>
                <w:rFonts w:hint="eastAsia" w:ascii="微软雅黑" w:hAnsi="微软雅黑" w:eastAsia="微软雅黑" w:cs="宋体"/>
                <w:b w:val="0"/>
                <w:bCs/>
                <w:kern w:val="0"/>
                <w:sz w:val="20"/>
                <w:szCs w:val="18"/>
                <w:lang w:eastAsia="zh-CN"/>
              </w:rPr>
              <w:t>EFD4</w:t>
            </w:r>
          </w:p>
        </w:tc>
        <w:tc>
          <w:tcPr>
            <w:tcW w:w="1417" w:type="dxa"/>
            <w:shd w:val="clear" w:color="auto" w:fill="F1F1F1" w:themeFill="background1" w:themeFillShade="F2"/>
            <w:vAlign w:val="center"/>
          </w:tcPr>
          <w:p>
            <w:pPr>
              <w:widowControl/>
              <w:jc w:val="left"/>
              <w:rPr>
                <w:rFonts w:hint="eastAsia" w:ascii="微软雅黑" w:hAnsi="微软雅黑" w:eastAsia="微软雅黑" w:cs="MicrosoftYaHei"/>
                <w:kern w:val="0"/>
                <w:sz w:val="20"/>
                <w:szCs w:val="24"/>
                <w:lang w:eastAsia="zh-CN"/>
              </w:rPr>
            </w:pPr>
            <w:r>
              <w:rPr>
                <w:rFonts w:hint="eastAsia" w:ascii="微软雅黑" w:hAnsi="微软雅黑" w:eastAsia="微软雅黑" w:cs="宋体"/>
                <w:kern w:val="0"/>
                <w:sz w:val="20"/>
                <w:szCs w:val="18"/>
                <w:lang w:eastAsia="zh-CN"/>
              </w:rPr>
              <w:t>test4</w:t>
            </w:r>
          </w:p>
        </w:tc>
        <w:tc>
          <w:tcPr>
            <w:tcW w:w="1560" w:type="dxa"/>
            <w:shd w:val="clear" w:color="auto" w:fill="F1F1F1" w:themeFill="background1" w:themeFillShade="F2"/>
            <w:vAlign w:val="center"/>
          </w:tcPr>
          <w:p>
            <w:pPr>
              <w:widowControl/>
              <w:jc w:val="left"/>
              <w:rPr>
                <w:rFonts w:hint="eastAsia" w:ascii="微软雅黑" w:hAnsi="微软雅黑" w:eastAsia="微软雅黑" w:cs="MicrosoftYaHei"/>
                <w:kern w:val="0"/>
                <w:sz w:val="20"/>
                <w:szCs w:val="24"/>
                <w:lang w:eastAsia="zh-CN"/>
              </w:rPr>
            </w:pPr>
            <w:r>
              <w:rPr>
                <w:rFonts w:hint="eastAsia" w:ascii="微软雅黑" w:hAnsi="微软雅黑" w:eastAsia="微软雅黑" w:cs="宋体"/>
                <w:kern w:val="0"/>
                <w:sz w:val="20"/>
                <w:szCs w:val="18"/>
                <w:lang w:eastAsia="zh-CN"/>
              </w:rPr>
              <w:t>2.33%4</w:t>
            </w:r>
          </w:p>
        </w:tc>
        <w:tc>
          <w:tcPr>
            <w:tcW w:w="1417" w:type="dxa"/>
            <w:shd w:val="clear" w:color="auto" w:fill="F1F1F1" w:themeFill="background1" w:themeFillShade="F2"/>
            <w:vAlign w:val="center"/>
          </w:tcPr>
          <w:p>
            <w:pPr>
              <w:widowControl/>
              <w:jc w:val="left"/>
              <w:rPr>
                <w:rFonts w:hint="eastAsia" w:ascii="微软雅黑" w:hAnsi="微软雅黑" w:eastAsia="微软雅黑" w:cs="MicrosoftYaHei"/>
                <w:kern w:val="0"/>
                <w:sz w:val="20"/>
                <w:szCs w:val="24"/>
                <w:lang w:eastAsia="zh-CN"/>
              </w:rPr>
            </w:pPr>
            <w:r>
              <w:rPr>
                <w:rFonts w:hint="eastAsia" w:ascii="微软雅黑" w:hAnsi="微软雅黑" w:eastAsia="微软雅黑" w:cs="宋体"/>
                <w:kern w:val="0"/>
                <w:sz w:val="20"/>
                <w:szCs w:val="18"/>
                <w:lang w:eastAsia="zh-CN"/>
              </w:rPr>
              <w:t>点突变14</w:t>
            </w:r>
          </w:p>
        </w:tc>
        <w:tc>
          <w:tcPr>
            <w:tcW w:w="2484" w:type="dxa"/>
            <w:shd w:val="clear" w:color="auto" w:fill="F1F1F1" w:themeFill="background1" w:themeFillShade="F2"/>
            <w:vAlign w:val="center"/>
          </w:tcPr>
          <w:p>
            <w:pPr>
              <w:widowControl/>
              <w:spacing w:line="400" w:lineRule="exact"/>
              <w:ind w:firstLine="200" w:firstLineChars="100"/>
              <w:jc w:val="left"/>
              <w:rPr>
                <w:rFonts w:hint="eastAsia" w:ascii="微软雅黑" w:hAnsi="微软雅黑" w:eastAsia="微软雅黑" w:cs="MicrosoftYaHei"/>
                <w:kern w:val="0"/>
                <w:sz w:val="20"/>
                <w:szCs w:val="24"/>
                <w:lang w:eastAsia="zh-CN"/>
              </w:rPr>
            </w:pPr>
            <w:r>
              <w:rPr>
                <w:rFonts w:hint="eastAsia" w:ascii="微软雅黑" w:hAnsi="微软雅黑" w:eastAsia="微软雅黑" w:cs="MicrosoftYaHei"/>
                <w:kern w:val="0"/>
                <w:sz w:val="20"/>
                <w:szCs w:val="24"/>
                <w:lang w:eastAsia="zh-CN"/>
              </w:rPr>
              <w:t>药物14</w:t>
            </w:r>
          </w:p>
        </w:tc>
      </w:tr>
    </w:tbl>
    <w:p>
      <w:pPr>
        <w:widowControl/>
        <w:ind w:firstLine="440" w:firstLineChars="200"/>
        <w:jc w:val="left"/>
        <w:rPr>
          <w:rFonts w:ascii="微软雅黑" w:hAnsi="微软雅黑" w:eastAsia="微软雅黑" w:cs="MicrosoftYaHei"/>
          <w:b/>
          <w:color w:val="00B050"/>
          <w:kern w:val="0"/>
          <w:sz w:val="22"/>
          <w:szCs w:val="18"/>
        </w:rPr>
      </w:pPr>
    </w:p>
    <w:p>
      <w:pPr>
        <w:widowControl/>
        <w:ind w:firstLine="440" w:firstLineChars="200"/>
        <w:jc w:val="left"/>
        <w:rPr>
          <w:rFonts w:ascii="微软雅黑" w:hAnsi="微软雅黑" w:eastAsia="微软雅黑" w:cs="MicrosoftYaHei"/>
          <w:b/>
          <w:color w:val="00B050"/>
          <w:kern w:val="0"/>
          <w:sz w:val="22"/>
          <w:szCs w:val="18"/>
        </w:rPr>
      </w:pPr>
    </w:p>
    <w:p>
      <w:pPr>
        <w:widowControl/>
        <w:jc w:val="left"/>
        <w:rPr>
          <w:rFonts w:ascii="宋体" w:hAnsi="宋体" w:eastAsia="宋体" w:cs="MicrosoftYaHei"/>
          <w:kern w:val="0"/>
          <w:sz w:val="36"/>
          <w:szCs w:val="24"/>
        </w:rPr>
      </w:pPr>
      <w:r>
        <w:rPr>
          <w:rFonts w:ascii="宋体" w:hAnsi="宋体" w:eastAsia="宋体" w:cs="MicrosoftYaHei"/>
          <w:kern w:val="0"/>
          <w:sz w:val="36"/>
          <w:szCs w:val="24"/>
        </w:rPr>
        <w:br w:type="page"/>
      </w:r>
    </w:p>
    <w:p>
      <w:pPr>
        <w:widowControl/>
        <w:jc w:val="left"/>
        <w:outlineLvl w:val="1"/>
        <w:rPr>
          <w:rFonts w:ascii="微软雅黑" w:hAnsi="微软雅黑" w:eastAsia="微软雅黑" w:cs="MicrosoftYaHei"/>
          <w:b/>
          <w:color w:val="000000" w:themeColor="text1"/>
          <w:kern w:val="0"/>
          <w:sz w:val="28"/>
          <w:szCs w:val="24"/>
          <w14:textFill>
            <w14:solidFill>
              <w14:schemeClr w14:val="tx1"/>
            </w14:solidFill>
          </w14:textFill>
        </w:rPr>
      </w:pPr>
      <w:bookmarkStart w:id="3" w:name="_Toc512352431"/>
      <w:r>
        <w:rPr>
          <w:rFonts w:hint="eastAsia" w:ascii="微软雅黑" w:hAnsi="微软雅黑" w:eastAsia="微软雅黑" w:cs="MicrosoftYaHei"/>
          <w:b/>
          <w:color w:val="000000" w:themeColor="text1"/>
          <w:kern w:val="0"/>
          <w:sz w:val="28"/>
          <w:szCs w:val="24"/>
          <w14:textFill>
            <w14:solidFill>
              <w14:schemeClr w14:val="tx1"/>
            </w14:solidFill>
          </w14:textFill>
        </w:rPr>
        <w:t>免疫治疗药物使用建议</w:t>
      </w:r>
      <w:bookmarkEnd w:id="3"/>
    </w:p>
    <w:p>
      <w:pPr>
        <w:widowControl/>
        <w:ind w:firstLine="480" w:firstLineChars="200"/>
        <w:jc w:val="center"/>
        <w:rPr>
          <w:rFonts w:ascii="微软雅黑" w:hAnsi="微软雅黑" w:eastAsia="微软雅黑" w:cs="MicrosoftYaHei"/>
          <w:b/>
          <w:color w:val="00B050"/>
          <w:kern w:val="0"/>
          <w:sz w:val="24"/>
          <w:szCs w:val="24"/>
        </w:rPr>
      </w:pPr>
      <w:r>
        <w:rPr>
          <w:rFonts w:hint="eastAsia" w:ascii="微软雅黑" w:hAnsi="微软雅黑" w:eastAsia="微软雅黑" w:cs="MicrosoftYaHei"/>
          <w:b/>
          <w:color w:val="00B050"/>
          <w:kern w:val="0"/>
          <w:sz w:val="24"/>
          <w:szCs w:val="24"/>
        </w:rPr>
        <w:t>免疫检查点抑制剂治疗适用性好</w:t>
      </w:r>
    </w:p>
    <w:tbl>
      <w:tblPr>
        <w:tblStyle w:val="11"/>
        <w:tblW w:w="8296" w:type="dxa"/>
        <w:tblInd w:w="0" w:type="dxa"/>
        <w:tblLayout w:type="fixed"/>
        <w:tblCellMar>
          <w:top w:w="0" w:type="dxa"/>
          <w:left w:w="108" w:type="dxa"/>
          <w:bottom w:w="0" w:type="dxa"/>
          <w:right w:w="108" w:type="dxa"/>
        </w:tblCellMar>
      </w:tblPr>
      <w:tblGrid>
        <w:gridCol w:w="4148"/>
        <w:gridCol w:w="4148"/>
      </w:tblGrid>
      <w:tr>
        <w:tblPrEx>
          <w:tblLayout w:type="fixed"/>
          <w:tblCellMar>
            <w:top w:w="0" w:type="dxa"/>
            <w:left w:w="108" w:type="dxa"/>
            <w:bottom w:w="0" w:type="dxa"/>
            <w:right w:w="108" w:type="dxa"/>
          </w:tblCellMar>
        </w:tblPrEx>
        <w:tc>
          <w:tcPr>
            <w:tcW w:w="4148" w:type="dxa"/>
            <w:shd w:val="clear" w:color="auto" w:fill="1F3864" w:themeFill="accent1" w:themeFillShade="80"/>
            <w:vAlign w:val="center"/>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检测项目</w:t>
            </w:r>
          </w:p>
        </w:tc>
        <w:tc>
          <w:tcPr>
            <w:tcW w:w="4148" w:type="dxa"/>
            <w:shd w:val="clear" w:color="auto" w:fill="1F3864" w:themeFill="accent1" w:themeFillShade="80"/>
            <w:vAlign w:val="center"/>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检测结果</w:t>
            </w:r>
          </w:p>
        </w:tc>
      </w:tr>
      <w:tr>
        <w:tblPrEx>
          <w:tblLayout w:type="fixed"/>
          <w:tblCellMar>
            <w:top w:w="0" w:type="dxa"/>
            <w:left w:w="108" w:type="dxa"/>
            <w:bottom w:w="0" w:type="dxa"/>
            <w:right w:w="108" w:type="dxa"/>
          </w:tblCellMar>
        </w:tblPrEx>
        <w:tc>
          <w:tcPr>
            <w:tcW w:w="4148" w:type="dxa"/>
            <w:shd w:val="clear" w:color="auto" w:fill="F1F1F1" w:themeFill="background1" w:themeFillShade="F2"/>
            <w:vAlign w:val="center"/>
          </w:tcPr>
          <w:p>
            <w:pPr>
              <w:jc w:val="center"/>
              <w:rPr>
                <w:rFonts w:hint="eastAsia" w:ascii="微软雅黑" w:hAnsi="微软雅黑" w:eastAsia="微软雅黑" w:cs="MicrosoftYaHei"/>
                <w:b w:val="0"/>
                <w:bCs/>
                <w:kern w:val="0"/>
                <w:sz w:val="20"/>
                <w:szCs w:val="20"/>
                <w:lang w:eastAsia="zh-CN"/>
              </w:rPr>
            </w:pPr>
            <w:r>
              <w:rPr>
                <w:rFonts w:hint="eastAsia" w:ascii="微软雅黑" w:hAnsi="微软雅黑" w:eastAsia="微软雅黑" w:cs="MicrosoftYaHei"/>
                <w:b w:val="0"/>
                <w:bCs/>
                <w:kern w:val="0"/>
                <w:sz w:val="20"/>
                <w:szCs w:val="20"/>
                <w:lang w:eastAsia="zh-CN"/>
              </w:rPr>
              <w:t>肿瘤突变111</w:t>
            </w:r>
          </w:p>
        </w:tc>
        <w:tc>
          <w:tcPr>
            <w:tcW w:w="4148" w:type="dxa"/>
            <w:shd w:val="clear" w:color="auto" w:fill="F1F1F1" w:themeFill="background1" w:themeFillShade="F2"/>
            <w:vAlign w:val="center"/>
          </w:tcPr>
          <w:p>
            <w:pPr>
              <w:jc w:val="center"/>
              <w:rPr>
                <w:rFonts w:hint="eastAsia" w:ascii="微软雅黑" w:hAnsi="微软雅黑" w:eastAsia="微软雅黑" w:cs="MicrosoftYaHei"/>
                <w:kern w:val="0"/>
                <w:sz w:val="20"/>
                <w:szCs w:val="20"/>
                <w:lang w:eastAsia="zh-CN"/>
              </w:rPr>
            </w:pPr>
            <w:r>
              <w:rPr>
                <w:rFonts w:hint="eastAsia" w:ascii="微软雅黑" w:hAnsi="微软雅黑" w:eastAsia="微软雅黑" w:cs="MicrosoftYaHei"/>
                <w:kern w:val="0"/>
                <w:sz w:val="20"/>
                <w:szCs w:val="20"/>
                <w:lang w:eastAsia="zh-CN"/>
              </w:rPr>
              <w:t>高1</w:t>
            </w:r>
          </w:p>
        </w:tc>
      </w:tr>
      <w:tr>
        <w:tblPrEx>
          <w:tblLayout w:type="fixed"/>
          <w:tblCellMar>
            <w:top w:w="0" w:type="dxa"/>
            <w:left w:w="108" w:type="dxa"/>
            <w:bottom w:w="0" w:type="dxa"/>
            <w:right w:w="108" w:type="dxa"/>
          </w:tblCellMar>
        </w:tblPrEx>
        <w:tc>
          <w:tcPr>
            <w:tcW w:w="4148" w:type="dxa"/>
            <w:shd w:val="clear" w:color="auto" w:fill="F1F1F1" w:themeFill="background1" w:themeFillShade="F2"/>
            <w:vAlign w:val="center"/>
          </w:tcPr>
          <w:p>
            <w:pPr>
              <w:jc w:val="center"/>
              <w:rPr>
                <w:rFonts w:hint="eastAsia" w:ascii="微软雅黑" w:hAnsi="微软雅黑" w:eastAsia="微软雅黑" w:cs="MicrosoftYaHei"/>
                <w:b w:val="0"/>
                <w:bCs/>
                <w:kern w:val="0"/>
                <w:sz w:val="20"/>
                <w:szCs w:val="20"/>
                <w:lang w:eastAsia="zh-CN"/>
              </w:rPr>
            </w:pPr>
            <w:r>
              <w:rPr>
                <w:rFonts w:hint="eastAsia" w:ascii="微软雅黑" w:hAnsi="微软雅黑" w:eastAsia="微软雅黑" w:cs="MicrosoftYaHei"/>
                <w:b w:val="0"/>
                <w:bCs/>
                <w:kern w:val="0"/>
                <w:sz w:val="20"/>
                <w:szCs w:val="20"/>
                <w:lang w:eastAsia="zh-CN"/>
              </w:rPr>
              <w:t>肿瘤突变112</w:t>
            </w:r>
          </w:p>
        </w:tc>
        <w:tc>
          <w:tcPr>
            <w:tcW w:w="4148" w:type="dxa"/>
            <w:shd w:val="clear" w:color="auto" w:fill="F1F1F1" w:themeFill="background1" w:themeFillShade="F2"/>
            <w:vAlign w:val="center"/>
          </w:tcPr>
          <w:p>
            <w:pPr>
              <w:jc w:val="center"/>
              <w:rPr>
                <w:rFonts w:hint="eastAsia" w:ascii="微软雅黑" w:hAnsi="微软雅黑" w:eastAsia="微软雅黑" w:cs="MicrosoftYaHei"/>
                <w:kern w:val="0"/>
                <w:sz w:val="20"/>
                <w:szCs w:val="20"/>
                <w:lang w:eastAsia="zh-CN"/>
              </w:rPr>
            </w:pPr>
            <w:r>
              <w:rPr>
                <w:rFonts w:hint="eastAsia" w:ascii="微软雅黑" w:hAnsi="微软雅黑" w:eastAsia="微软雅黑" w:cs="MicrosoftYaHei"/>
                <w:kern w:val="0"/>
                <w:sz w:val="20"/>
                <w:szCs w:val="20"/>
                <w:lang w:eastAsia="zh-CN"/>
              </w:rPr>
              <w:t>高2</w:t>
            </w:r>
          </w:p>
        </w:tc>
      </w:tr>
      <w:tr>
        <w:tblPrEx>
          <w:tblLayout w:type="fixed"/>
          <w:tblCellMar>
            <w:top w:w="0" w:type="dxa"/>
            <w:left w:w="108" w:type="dxa"/>
            <w:bottom w:w="0" w:type="dxa"/>
            <w:right w:w="108" w:type="dxa"/>
          </w:tblCellMar>
        </w:tblPrEx>
        <w:tc>
          <w:tcPr>
            <w:tcW w:w="4148" w:type="dxa"/>
            <w:shd w:val="clear" w:color="auto" w:fill="F1F1F1" w:themeFill="background1" w:themeFillShade="F2"/>
            <w:vAlign w:val="center"/>
          </w:tcPr>
          <w:p>
            <w:pPr>
              <w:jc w:val="center"/>
              <w:rPr>
                <w:rFonts w:hint="eastAsia" w:ascii="微软雅黑" w:hAnsi="微软雅黑" w:eastAsia="微软雅黑" w:cs="MicrosoftYaHei"/>
                <w:b w:val="0"/>
                <w:bCs/>
                <w:kern w:val="0"/>
                <w:sz w:val="20"/>
                <w:szCs w:val="20"/>
                <w:lang w:eastAsia="zh-CN"/>
              </w:rPr>
            </w:pPr>
            <w:r>
              <w:rPr>
                <w:rFonts w:hint="eastAsia" w:ascii="微软雅黑" w:hAnsi="微软雅黑" w:eastAsia="微软雅黑" w:cs="MicrosoftYaHei"/>
                <w:b w:val="0"/>
                <w:bCs/>
                <w:kern w:val="0"/>
                <w:sz w:val="20"/>
                <w:szCs w:val="20"/>
                <w:lang w:eastAsia="zh-CN"/>
              </w:rPr>
              <w:t>肿瘤突变113</w:t>
            </w:r>
          </w:p>
        </w:tc>
        <w:tc>
          <w:tcPr>
            <w:tcW w:w="4148" w:type="dxa"/>
            <w:shd w:val="clear" w:color="auto" w:fill="F1F1F1" w:themeFill="background1" w:themeFillShade="F2"/>
            <w:vAlign w:val="center"/>
          </w:tcPr>
          <w:p>
            <w:pPr>
              <w:jc w:val="center"/>
              <w:rPr>
                <w:rFonts w:hint="eastAsia" w:ascii="微软雅黑" w:hAnsi="微软雅黑" w:eastAsia="微软雅黑" w:cs="MicrosoftYaHei"/>
                <w:kern w:val="0"/>
                <w:sz w:val="20"/>
                <w:szCs w:val="20"/>
                <w:lang w:eastAsia="zh-CN"/>
              </w:rPr>
            </w:pPr>
            <w:bookmarkStart w:id="17" w:name="_GoBack"/>
            <w:r>
              <w:rPr>
                <w:rFonts w:hint="eastAsia" w:ascii="微软雅黑" w:hAnsi="微软雅黑" w:eastAsia="微软雅黑" w:cs="MicrosoftYaHei"/>
                <w:kern w:val="0"/>
                <w:sz w:val="20"/>
                <w:szCs w:val="20"/>
                <w:lang w:eastAsia="zh-CN"/>
              </w:rPr>
              <w:t>高3</w:t>
            </w:r>
            <w:bookmarkEnd w:id="17"/>
          </w:p>
        </w:tc>
      </w:tr>
    </w:tbl>
    <w:p>
      <w:pPr>
        <w:jc w:val="left"/>
        <w:rPr>
          <w:rFonts w:ascii="宋体" w:hAnsi="宋体" w:eastAsia="宋体" w:cs="MicrosoftYaHei"/>
          <w:kern w:val="0"/>
          <w:sz w:val="36"/>
          <w:szCs w:val="24"/>
        </w:rPr>
      </w:pPr>
    </w:p>
    <w:p>
      <w:pPr>
        <w:widowControl/>
        <w:jc w:val="left"/>
        <w:rPr>
          <w:rFonts w:ascii="宋体" w:hAnsi="宋体" w:eastAsia="宋体" w:cs="MicrosoftYaHei"/>
          <w:kern w:val="0"/>
          <w:sz w:val="36"/>
          <w:szCs w:val="24"/>
        </w:rPr>
      </w:pPr>
      <w:r>
        <w:rPr>
          <w:rFonts w:ascii="宋体" w:hAnsi="宋体" w:eastAsia="宋体" w:cs="MicrosoftYaHei"/>
          <w:kern w:val="0"/>
          <w:sz w:val="36"/>
          <w:szCs w:val="24"/>
        </w:rPr>
        <w:br w:type="page"/>
      </w:r>
    </w:p>
    <w:p>
      <w:pPr>
        <w:widowControl/>
        <w:jc w:val="left"/>
        <w:outlineLvl w:val="1"/>
        <w:rPr>
          <w:rFonts w:ascii="微软雅黑" w:hAnsi="微软雅黑" w:eastAsia="微软雅黑" w:cs="MicrosoftYaHei"/>
          <w:b/>
          <w:color w:val="000000" w:themeColor="text1"/>
          <w:kern w:val="0"/>
          <w:sz w:val="28"/>
          <w:szCs w:val="24"/>
          <w14:textFill>
            <w14:solidFill>
              <w14:schemeClr w14:val="tx1"/>
            </w14:solidFill>
          </w14:textFill>
        </w:rPr>
      </w:pPr>
      <w:bookmarkStart w:id="4" w:name="_Toc512352432"/>
      <w:r>
        <w:rPr>
          <w:rFonts w:hint="eastAsia" w:ascii="微软雅黑" w:hAnsi="微软雅黑" w:eastAsia="微软雅黑" w:cs="MicrosoftYaHei"/>
          <w:b/>
          <w:color w:val="000000" w:themeColor="text1"/>
          <w:kern w:val="0"/>
          <w:sz w:val="28"/>
          <w:szCs w:val="24"/>
          <w14:textFill>
            <w14:solidFill>
              <w14:schemeClr w14:val="tx1"/>
            </w14:solidFill>
          </w14:textFill>
        </w:rPr>
        <w:t>新肿瘤免疫抗原预测</w:t>
      </w:r>
      <w:bookmarkEnd w:id="4"/>
    </w:p>
    <w:p>
      <w:pPr>
        <w:widowControl/>
        <w:jc w:val="left"/>
        <w:rPr>
          <w:rFonts w:ascii="微软雅黑" w:hAnsi="微软雅黑" w:cs="MicrosoftYaHei"/>
          <w:b/>
          <w:color w:val="000000" w:themeColor="text1"/>
          <w:kern w:val="0"/>
          <w:sz w:val="28"/>
          <w:szCs w:val="24"/>
          <w14:textFill>
            <w14:solidFill>
              <w14:schemeClr w14:val="tx1"/>
            </w14:solidFill>
          </w14:textFill>
        </w:rPr>
      </w:pPr>
    </w:p>
    <w:tbl>
      <w:tblPr>
        <w:tblStyle w:val="11"/>
        <w:tblW w:w="8306" w:type="dxa"/>
        <w:tblInd w:w="0" w:type="dxa"/>
        <w:shd w:val="clear" w:color="auto" w:fill="DADADA" w:themeFill="accent3" w:themeFillTint="66"/>
        <w:tblLayout w:type="fixed"/>
        <w:tblCellMar>
          <w:top w:w="0" w:type="dxa"/>
          <w:left w:w="108" w:type="dxa"/>
          <w:bottom w:w="0" w:type="dxa"/>
          <w:right w:w="108" w:type="dxa"/>
        </w:tblCellMar>
      </w:tblPr>
      <w:tblGrid>
        <w:gridCol w:w="8306"/>
      </w:tblGrid>
      <w:tr>
        <w:tblPrEx>
          <w:shd w:val="clear" w:color="auto" w:fill="DADADA" w:themeFill="accent3" w:themeFillTint="66"/>
          <w:tblLayout w:type="fixed"/>
          <w:tblCellMar>
            <w:top w:w="0" w:type="dxa"/>
            <w:left w:w="108" w:type="dxa"/>
            <w:bottom w:w="0" w:type="dxa"/>
            <w:right w:w="108" w:type="dxa"/>
          </w:tblCellMar>
        </w:tblPrEx>
        <w:tc>
          <w:tcPr>
            <w:tcW w:w="8306" w:type="dxa"/>
            <w:shd w:val="clear" w:color="auto" w:fill="DADADA" w:themeFill="accent3" w:themeFillTint="66"/>
            <w:vAlign w:val="center"/>
          </w:tcPr>
          <w:p>
            <w:pPr>
              <w:widowControl/>
              <w:rPr>
                <w:rFonts w:ascii="微软雅黑" w:hAnsi="微软雅黑" w:eastAsia="微软雅黑" w:cs="MicrosoftYaHei"/>
                <w:b w:val="0"/>
                <w:bCs/>
                <w:kern w:val="0"/>
                <w:sz w:val="22"/>
                <w:szCs w:val="18"/>
              </w:rPr>
            </w:pPr>
            <w:r>
              <w:rPr>
                <w:rFonts w:hint="eastAsia" w:ascii="微软雅黑" w:hAnsi="微软雅黑" w:eastAsia="微软雅黑" w:cs="MicrosoftYaHei"/>
                <w:b w:val="0"/>
                <w:bCs/>
                <w:kern w:val="0"/>
                <w:sz w:val="22"/>
                <w:szCs w:val="18"/>
              </w:rPr>
              <w:t>H</w:t>
            </w:r>
            <w:r>
              <w:rPr>
                <w:rFonts w:ascii="微软雅黑" w:hAnsi="微软雅黑" w:eastAsia="微软雅黑" w:cs="MicrosoftYaHei"/>
                <w:b w:val="0"/>
                <w:bCs/>
                <w:kern w:val="0"/>
                <w:sz w:val="22"/>
                <w:szCs w:val="18"/>
              </w:rPr>
              <w:t>LA</w:t>
            </w:r>
            <w:r>
              <w:rPr>
                <w:rFonts w:hint="eastAsia" w:ascii="微软雅黑" w:hAnsi="微软雅黑" w:eastAsia="微软雅黑" w:cs="MicrosoftYaHei"/>
                <w:b w:val="0"/>
                <w:bCs/>
                <w:kern w:val="0"/>
                <w:sz w:val="22"/>
                <w:szCs w:val="18"/>
              </w:rPr>
              <w:t>分型</w:t>
            </w:r>
            <w:r>
              <w:rPr>
                <w:rFonts w:ascii="微软雅黑" w:hAnsi="微软雅黑" w:eastAsia="微软雅黑" w:cs="MicrosoftYaHei"/>
                <w:b w:val="0"/>
                <w:bCs/>
                <w:kern w:val="0"/>
                <w:sz w:val="22"/>
                <w:szCs w:val="18"/>
              </w:rPr>
              <w:t xml:space="preserve">: </w:t>
            </w:r>
          </w:p>
        </w:tc>
      </w:tr>
    </w:tbl>
    <w:p>
      <w:pPr>
        <w:widowControl/>
        <w:jc w:val="left"/>
        <w:rPr>
          <w:rFonts w:ascii="微软雅黑" w:hAnsi="微软雅黑" w:eastAsia="微软雅黑" w:cs="MicrosoftYaHei"/>
          <w:b/>
          <w:color w:val="00B050"/>
          <w:kern w:val="0"/>
          <w:sz w:val="22"/>
          <w:szCs w:val="18"/>
        </w:rPr>
      </w:pPr>
    </w:p>
    <w:p>
      <w:pPr>
        <w:widowControl/>
        <w:ind w:firstLine="480" w:firstLineChars="200"/>
        <w:jc w:val="center"/>
        <w:rPr>
          <w:rFonts w:ascii="微软雅黑" w:hAnsi="微软雅黑" w:eastAsia="微软雅黑" w:cs="MicrosoftYaHei"/>
          <w:b/>
          <w:color w:val="00B050"/>
          <w:kern w:val="0"/>
          <w:sz w:val="24"/>
          <w:szCs w:val="24"/>
        </w:rPr>
      </w:pPr>
      <w:r>
        <w:rPr>
          <w:rFonts w:hint="eastAsia" w:ascii="微软雅黑" w:hAnsi="微软雅黑" w:eastAsia="微软雅黑" w:cs="MicrosoftYaHei"/>
          <w:b/>
          <w:color w:val="00B050"/>
          <w:kern w:val="0"/>
          <w:sz w:val="24"/>
          <w:szCs w:val="24"/>
        </w:rPr>
        <w:t>鉴定出</w:t>
      </w:r>
      <w:r>
        <w:rPr>
          <w:rFonts w:ascii="微软雅黑" w:hAnsi="微软雅黑" w:eastAsia="微软雅黑" w:cs="MicrosoftYaHei"/>
          <w:b/>
          <w:color w:val="00B050"/>
          <w:kern w:val="0"/>
          <w:sz w:val="24"/>
          <w:szCs w:val="24"/>
        </w:rPr>
        <w:t xml:space="preserve"> 62 </w:t>
      </w:r>
      <w:r>
        <w:rPr>
          <w:rFonts w:hint="eastAsia" w:ascii="微软雅黑" w:hAnsi="微软雅黑" w:eastAsia="微软雅黑" w:cs="MicrosoftYaHei"/>
          <w:b/>
          <w:color w:val="00B050"/>
          <w:kern w:val="0"/>
          <w:sz w:val="24"/>
          <w:szCs w:val="24"/>
        </w:rPr>
        <w:t>个新免疫抗原，为细胞免疫治疗或肿瘤疫苗制备提供序列依据</w:t>
      </w:r>
    </w:p>
    <w:tbl>
      <w:tblPr>
        <w:tblStyle w:val="11"/>
        <w:tblW w:w="8306" w:type="dxa"/>
        <w:jc w:val="center"/>
        <w:tblInd w:w="0" w:type="dxa"/>
        <w:tblLayout w:type="fixed"/>
        <w:tblCellMar>
          <w:top w:w="0" w:type="dxa"/>
          <w:left w:w="108" w:type="dxa"/>
          <w:bottom w:w="0" w:type="dxa"/>
          <w:right w:w="108" w:type="dxa"/>
        </w:tblCellMar>
      </w:tblPr>
      <w:tblGrid>
        <w:gridCol w:w="1169"/>
        <w:gridCol w:w="1393"/>
        <w:gridCol w:w="1152"/>
        <w:gridCol w:w="1152"/>
        <w:gridCol w:w="1135"/>
        <w:gridCol w:w="1152"/>
        <w:gridCol w:w="1153"/>
      </w:tblGrid>
      <w:tr>
        <w:tblPrEx>
          <w:tblLayout w:type="fixed"/>
          <w:tblCellMar>
            <w:top w:w="0" w:type="dxa"/>
            <w:left w:w="108" w:type="dxa"/>
            <w:bottom w:w="0" w:type="dxa"/>
            <w:right w:w="108" w:type="dxa"/>
          </w:tblCellMar>
        </w:tblPrEx>
        <w:trPr>
          <w:jc w:val="center"/>
        </w:trPr>
        <w:tc>
          <w:tcPr>
            <w:tcW w:w="1169" w:type="dxa"/>
            <w:shd w:val="clear" w:color="auto" w:fill="1F3864" w:themeFill="accent1" w:themeFillShade="80"/>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识别号</w:t>
            </w:r>
          </w:p>
        </w:tc>
        <w:tc>
          <w:tcPr>
            <w:tcW w:w="1393" w:type="dxa"/>
            <w:shd w:val="clear" w:color="auto" w:fill="1F3864" w:themeFill="accent1" w:themeFillShade="80"/>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序列</w:t>
            </w:r>
          </w:p>
        </w:tc>
        <w:tc>
          <w:tcPr>
            <w:tcW w:w="1152" w:type="dxa"/>
            <w:shd w:val="clear" w:color="auto" w:fill="1F3864" w:themeFill="accent1" w:themeFillShade="80"/>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剪切效率</w:t>
            </w:r>
          </w:p>
        </w:tc>
        <w:tc>
          <w:tcPr>
            <w:tcW w:w="1152" w:type="dxa"/>
            <w:shd w:val="clear" w:color="auto" w:fill="1F3864" w:themeFill="accent1" w:themeFillShade="80"/>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转运效率</w:t>
            </w:r>
          </w:p>
        </w:tc>
        <w:tc>
          <w:tcPr>
            <w:tcW w:w="1135" w:type="dxa"/>
            <w:shd w:val="clear" w:color="auto" w:fill="1F3864" w:themeFill="accent1" w:themeFillShade="80"/>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亲和度</w:t>
            </w:r>
          </w:p>
        </w:tc>
        <w:tc>
          <w:tcPr>
            <w:tcW w:w="1152" w:type="dxa"/>
            <w:shd w:val="clear" w:color="auto" w:fill="1F3864" w:themeFill="accent1" w:themeFillShade="80"/>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免疫原性</w:t>
            </w:r>
          </w:p>
        </w:tc>
        <w:tc>
          <w:tcPr>
            <w:tcW w:w="1153" w:type="dxa"/>
            <w:shd w:val="clear" w:color="auto" w:fill="1F3864" w:themeFill="accent1" w:themeFillShade="80"/>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排序指数</w:t>
            </w:r>
          </w:p>
        </w:tc>
      </w:tr>
      <w:tr>
        <w:tblPrEx>
          <w:tblLayout w:type="fixed"/>
          <w:tblCellMar>
            <w:top w:w="0" w:type="dxa"/>
            <w:left w:w="108" w:type="dxa"/>
            <w:bottom w:w="0" w:type="dxa"/>
            <w:right w:w="108" w:type="dxa"/>
          </w:tblCellMar>
        </w:tblPrEx>
        <w:trPr>
          <w:jc w:val="center"/>
        </w:trPr>
        <w:tc>
          <w:tcPr>
            <w:tcW w:w="1169" w:type="dxa"/>
            <w:shd w:val="clear" w:color="auto" w:fill="F1F1F1" w:themeFill="background1" w:themeFillShade="F2"/>
          </w:tcPr>
          <w:p>
            <w:pPr>
              <w:widowControl/>
              <w:jc w:val="left"/>
              <w:rPr>
                <w:rFonts w:ascii="微软雅黑" w:hAnsi="微软雅黑" w:eastAsia="微软雅黑" w:cs="MicrosoftYaHei"/>
                <w:b w:val="0"/>
                <w:bCs/>
                <w:color w:val="00B050"/>
                <w:kern w:val="0"/>
                <w:sz w:val="22"/>
                <w:szCs w:val="18"/>
              </w:rPr>
            </w:pPr>
            <w:r>
              <w:rPr>
                <w:rFonts w:ascii="微软雅黑" w:hAnsi="微软雅黑" w:eastAsia="微软雅黑" w:cs="宋体"/>
                <w:b w:val="0"/>
                <w:bCs/>
                <w:kern w:val="0"/>
                <w:sz w:val="20"/>
                <w:szCs w:val="18"/>
              </w:rPr>
              <w:t>CDx0001</w:t>
            </w:r>
          </w:p>
        </w:tc>
        <w:tc>
          <w:tcPr>
            <w:tcW w:w="1393"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bCs/>
                <w:kern w:val="0"/>
                <w:sz w:val="20"/>
                <w:szCs w:val="18"/>
              </w:rPr>
              <w:t>TVHFSIISV</w:t>
            </w:r>
          </w:p>
        </w:tc>
        <w:tc>
          <w:tcPr>
            <w:tcW w:w="1152"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bCs/>
                <w:kern w:val="0"/>
                <w:sz w:val="20"/>
                <w:szCs w:val="18"/>
              </w:rPr>
              <w:t>0.96517</w:t>
            </w:r>
          </w:p>
        </w:tc>
        <w:tc>
          <w:tcPr>
            <w:tcW w:w="1152"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bCs/>
                <w:kern w:val="0"/>
                <w:sz w:val="20"/>
                <w:szCs w:val="18"/>
              </w:rPr>
              <w:t>0.47000</w:t>
            </w:r>
          </w:p>
        </w:tc>
        <w:tc>
          <w:tcPr>
            <w:tcW w:w="1135"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bCs/>
                <w:kern w:val="0"/>
                <w:sz w:val="20"/>
                <w:szCs w:val="18"/>
              </w:rPr>
              <w:t>112.21</w:t>
            </w:r>
          </w:p>
        </w:tc>
        <w:tc>
          <w:tcPr>
            <w:tcW w:w="1152"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bCs/>
                <w:kern w:val="0"/>
                <w:sz w:val="20"/>
                <w:szCs w:val="18"/>
              </w:rPr>
              <w:t>0.10814</w:t>
            </w:r>
          </w:p>
        </w:tc>
        <w:tc>
          <w:tcPr>
            <w:tcW w:w="1153" w:type="dxa"/>
            <w:shd w:val="clear" w:color="auto" w:fill="F1F1F1" w:themeFill="background1" w:themeFillShade="F2"/>
          </w:tcPr>
          <w:p>
            <w:pPr>
              <w:widowControl/>
              <w:jc w:val="left"/>
              <w:rPr>
                <w:rFonts w:ascii="微软雅黑" w:hAnsi="微软雅黑" w:eastAsia="微软雅黑" w:cs="宋体"/>
                <w:bCs/>
                <w:kern w:val="0"/>
                <w:sz w:val="20"/>
                <w:szCs w:val="18"/>
              </w:rPr>
            </w:pPr>
            <w:r>
              <w:rPr>
                <w:rFonts w:ascii="微软雅黑" w:hAnsi="微软雅黑" w:eastAsia="微软雅黑" w:cs="宋体"/>
                <w:bCs/>
                <w:kern w:val="0"/>
                <w:sz w:val="20"/>
                <w:szCs w:val="18"/>
              </w:rPr>
              <w:t>0.71733</w:t>
            </w:r>
          </w:p>
        </w:tc>
      </w:tr>
      <w:tr>
        <w:tblPrEx>
          <w:tblLayout w:type="fixed"/>
          <w:tblCellMar>
            <w:top w:w="0" w:type="dxa"/>
            <w:left w:w="108" w:type="dxa"/>
            <w:bottom w:w="0" w:type="dxa"/>
            <w:right w:w="108" w:type="dxa"/>
          </w:tblCellMar>
        </w:tblPrEx>
        <w:trPr>
          <w:jc w:val="center"/>
        </w:trPr>
        <w:tc>
          <w:tcPr>
            <w:tcW w:w="1169" w:type="dxa"/>
          </w:tcPr>
          <w:p>
            <w:pPr>
              <w:widowControl/>
              <w:jc w:val="left"/>
              <w:rPr>
                <w:rFonts w:ascii="微软雅黑" w:hAnsi="微软雅黑" w:eastAsia="微软雅黑" w:cs="MicrosoftYaHei"/>
                <w:b w:val="0"/>
                <w:bCs/>
                <w:color w:val="00B050"/>
                <w:kern w:val="0"/>
                <w:sz w:val="22"/>
                <w:szCs w:val="18"/>
              </w:rPr>
            </w:pPr>
            <w:r>
              <w:rPr>
                <w:rFonts w:ascii="微软雅黑" w:hAnsi="微软雅黑" w:eastAsia="微软雅黑" w:cs="宋体"/>
                <w:b w:val="0"/>
                <w:bCs/>
                <w:kern w:val="0"/>
                <w:sz w:val="20"/>
                <w:szCs w:val="18"/>
              </w:rPr>
              <w:t>CDx0002</w:t>
            </w:r>
          </w:p>
        </w:tc>
        <w:tc>
          <w:tcPr>
            <w:tcW w:w="1393"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RSHISSLSS</w:t>
            </w:r>
          </w:p>
        </w:tc>
        <w:tc>
          <w:tcPr>
            <w:tcW w:w="1152"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0.27472</w:t>
            </w:r>
          </w:p>
        </w:tc>
        <w:tc>
          <w:tcPr>
            <w:tcW w:w="1152"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1.87800</w:t>
            </w:r>
          </w:p>
        </w:tc>
        <w:tc>
          <w:tcPr>
            <w:tcW w:w="1135"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22.77</w:t>
            </w:r>
          </w:p>
        </w:tc>
        <w:tc>
          <w:tcPr>
            <w:tcW w:w="1152"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-0.27843</w:t>
            </w:r>
          </w:p>
        </w:tc>
        <w:tc>
          <w:tcPr>
            <w:tcW w:w="1153"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0.71070</w:t>
            </w:r>
          </w:p>
        </w:tc>
      </w:tr>
      <w:tr>
        <w:tblPrEx>
          <w:tblLayout w:type="fixed"/>
          <w:tblCellMar>
            <w:top w:w="0" w:type="dxa"/>
            <w:left w:w="108" w:type="dxa"/>
            <w:bottom w:w="0" w:type="dxa"/>
            <w:right w:w="108" w:type="dxa"/>
          </w:tblCellMar>
        </w:tblPrEx>
        <w:trPr>
          <w:jc w:val="center"/>
        </w:trPr>
        <w:tc>
          <w:tcPr>
            <w:tcW w:w="1169" w:type="dxa"/>
            <w:shd w:val="clear" w:color="auto" w:fill="F1F1F1" w:themeFill="background1" w:themeFillShade="F2"/>
          </w:tcPr>
          <w:p>
            <w:pPr>
              <w:widowControl/>
              <w:jc w:val="left"/>
              <w:rPr>
                <w:rFonts w:ascii="微软雅黑" w:hAnsi="微软雅黑" w:eastAsia="微软雅黑" w:cs="MicrosoftYaHei"/>
                <w:b w:val="0"/>
                <w:bCs/>
                <w:color w:val="00B050"/>
                <w:kern w:val="0"/>
                <w:sz w:val="22"/>
                <w:szCs w:val="18"/>
              </w:rPr>
            </w:pPr>
            <w:r>
              <w:rPr>
                <w:rFonts w:ascii="微软雅黑" w:hAnsi="微软雅黑" w:eastAsia="微软雅黑" w:cs="宋体"/>
                <w:b w:val="0"/>
                <w:bCs/>
                <w:kern w:val="0"/>
                <w:sz w:val="20"/>
                <w:szCs w:val="18"/>
              </w:rPr>
              <w:t>CDx0003</w:t>
            </w:r>
          </w:p>
        </w:tc>
        <w:tc>
          <w:tcPr>
            <w:tcW w:w="1393"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AQKRKSPPK</w:t>
            </w:r>
          </w:p>
        </w:tc>
        <w:tc>
          <w:tcPr>
            <w:tcW w:w="1152"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0.86844</w:t>
            </w:r>
          </w:p>
        </w:tc>
        <w:tc>
          <w:tcPr>
            <w:tcW w:w="1152"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0.93800</w:t>
            </w:r>
          </w:p>
        </w:tc>
        <w:tc>
          <w:tcPr>
            <w:tcW w:w="1135"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5.02</w:t>
            </w:r>
          </w:p>
        </w:tc>
        <w:tc>
          <w:tcPr>
            <w:tcW w:w="1152"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-0.39949</w:t>
            </w:r>
          </w:p>
        </w:tc>
        <w:tc>
          <w:tcPr>
            <w:tcW w:w="1153"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0.70924</w:t>
            </w:r>
          </w:p>
        </w:tc>
      </w:tr>
      <w:tr>
        <w:tblPrEx>
          <w:tblLayout w:type="fixed"/>
          <w:tblCellMar>
            <w:top w:w="0" w:type="dxa"/>
            <w:left w:w="108" w:type="dxa"/>
            <w:bottom w:w="0" w:type="dxa"/>
            <w:right w:w="108" w:type="dxa"/>
          </w:tblCellMar>
        </w:tblPrEx>
        <w:trPr>
          <w:jc w:val="center"/>
        </w:trPr>
        <w:tc>
          <w:tcPr>
            <w:tcW w:w="1169" w:type="dxa"/>
          </w:tcPr>
          <w:p>
            <w:pPr>
              <w:widowControl/>
              <w:jc w:val="left"/>
              <w:rPr>
                <w:rFonts w:ascii="微软雅黑" w:hAnsi="微软雅黑" w:eastAsia="微软雅黑" w:cs="MicrosoftYaHei"/>
                <w:b w:val="0"/>
                <w:bCs/>
                <w:color w:val="00B050"/>
                <w:kern w:val="0"/>
                <w:sz w:val="22"/>
                <w:szCs w:val="18"/>
              </w:rPr>
            </w:pPr>
            <w:r>
              <w:rPr>
                <w:rFonts w:ascii="微软雅黑" w:hAnsi="微软雅黑" w:eastAsia="微软雅黑" w:cs="宋体"/>
                <w:b w:val="0"/>
                <w:bCs/>
                <w:kern w:val="0"/>
                <w:sz w:val="20"/>
                <w:szCs w:val="18"/>
              </w:rPr>
              <w:t>CDx0004</w:t>
            </w:r>
          </w:p>
        </w:tc>
        <w:tc>
          <w:tcPr>
            <w:tcW w:w="1393"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YPDSHLPTV</w:t>
            </w:r>
          </w:p>
        </w:tc>
        <w:tc>
          <w:tcPr>
            <w:tcW w:w="1152"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0.97212</w:t>
            </w:r>
          </w:p>
        </w:tc>
        <w:tc>
          <w:tcPr>
            <w:tcW w:w="1152"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0.76600</w:t>
            </w:r>
          </w:p>
        </w:tc>
        <w:tc>
          <w:tcPr>
            <w:tcW w:w="1135"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54.54</w:t>
            </w:r>
          </w:p>
        </w:tc>
        <w:tc>
          <w:tcPr>
            <w:tcW w:w="1152"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-0.12489</w:t>
            </w:r>
          </w:p>
        </w:tc>
        <w:tc>
          <w:tcPr>
            <w:tcW w:w="1153"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0.70644</w:t>
            </w:r>
          </w:p>
        </w:tc>
      </w:tr>
      <w:tr>
        <w:tblPrEx>
          <w:tblLayout w:type="fixed"/>
          <w:tblCellMar>
            <w:top w:w="0" w:type="dxa"/>
            <w:left w:w="108" w:type="dxa"/>
            <w:bottom w:w="0" w:type="dxa"/>
            <w:right w:w="108" w:type="dxa"/>
          </w:tblCellMar>
        </w:tblPrEx>
        <w:trPr>
          <w:jc w:val="center"/>
        </w:trPr>
        <w:tc>
          <w:tcPr>
            <w:tcW w:w="1169" w:type="dxa"/>
            <w:shd w:val="clear" w:color="auto" w:fill="F1F1F1" w:themeFill="background1" w:themeFillShade="F2"/>
          </w:tcPr>
          <w:p>
            <w:pPr>
              <w:widowControl/>
              <w:jc w:val="left"/>
              <w:rPr>
                <w:rFonts w:ascii="微软雅黑" w:hAnsi="微软雅黑" w:eastAsia="微软雅黑" w:cs="MicrosoftYaHei"/>
                <w:b w:val="0"/>
                <w:bCs/>
                <w:color w:val="00B050"/>
                <w:kern w:val="0"/>
                <w:sz w:val="22"/>
                <w:szCs w:val="18"/>
              </w:rPr>
            </w:pPr>
            <w:r>
              <w:rPr>
                <w:rFonts w:ascii="微软雅黑" w:hAnsi="微软雅黑" w:eastAsia="微软雅黑" w:cs="宋体"/>
                <w:b w:val="0"/>
                <w:bCs/>
                <w:kern w:val="0"/>
                <w:sz w:val="20"/>
                <w:szCs w:val="18"/>
              </w:rPr>
              <w:t>CDx0005</w:t>
            </w:r>
          </w:p>
        </w:tc>
        <w:tc>
          <w:tcPr>
            <w:tcW w:w="1393"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HSKIIIINK</w:t>
            </w:r>
          </w:p>
        </w:tc>
        <w:tc>
          <w:tcPr>
            <w:tcW w:w="1152"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0.92428</w:t>
            </w:r>
          </w:p>
        </w:tc>
        <w:tc>
          <w:tcPr>
            <w:tcW w:w="1152"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0.45800</w:t>
            </w:r>
          </w:p>
        </w:tc>
        <w:tc>
          <w:tcPr>
            <w:tcW w:w="1135"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7.00</w:t>
            </w:r>
          </w:p>
        </w:tc>
        <w:tc>
          <w:tcPr>
            <w:tcW w:w="1152"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0.42734</w:t>
            </w:r>
          </w:p>
        </w:tc>
        <w:tc>
          <w:tcPr>
            <w:tcW w:w="1153"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0.70613</w:t>
            </w:r>
          </w:p>
        </w:tc>
      </w:tr>
    </w:tbl>
    <w:p>
      <w:pPr>
        <w:widowControl/>
        <w:ind w:firstLine="360" w:firstLineChars="200"/>
        <w:jc w:val="left"/>
        <w:rPr>
          <w:rFonts w:ascii="微软雅黑" w:hAnsi="微软雅黑" w:eastAsia="微软雅黑" w:cs="微软雅黑"/>
          <w:kern w:val="0"/>
          <w:sz w:val="18"/>
          <w:szCs w:val="18"/>
        </w:rPr>
      </w:pPr>
      <w:r>
        <w:rPr>
          <w:rFonts w:hint="eastAsia" w:ascii="微软雅黑" w:hAnsi="微软雅黑" w:eastAsia="微软雅黑" w:cs="MicrosoftYaHei"/>
          <w:kern w:val="0"/>
          <w:sz w:val="18"/>
          <w:szCs w:val="18"/>
        </w:rPr>
        <w:t>备注：报告摘要</w:t>
      </w:r>
      <w:r>
        <w:rPr>
          <w:rFonts w:hint="eastAsia" w:ascii="微软雅黑" w:hAnsi="微软雅黑" w:eastAsia="微软雅黑" w:cs="微软雅黑"/>
          <w:kern w:val="0"/>
          <w:sz w:val="18"/>
          <w:szCs w:val="18"/>
        </w:rPr>
        <w:t>部分只展示排序指数前5名</w:t>
      </w:r>
      <w:r>
        <w:rPr>
          <w:rFonts w:hint="eastAsia" w:ascii="微软雅黑" w:hAnsi="微软雅黑" w:eastAsia="微软雅黑" w:cs="MicrosoftYaHei"/>
          <w:kern w:val="0"/>
          <w:sz w:val="18"/>
          <w:szCs w:val="18"/>
        </w:rPr>
        <w:t>的新免疫抗原</w:t>
      </w:r>
      <w:r>
        <w:rPr>
          <w:rFonts w:hint="eastAsia" w:ascii="微软雅黑" w:hAnsi="微软雅黑" w:eastAsia="微软雅黑" w:cs="微软雅黑"/>
          <w:kern w:val="0"/>
          <w:sz w:val="18"/>
          <w:szCs w:val="18"/>
        </w:rPr>
        <w:t>，全部</w:t>
      </w:r>
      <w:r>
        <w:rPr>
          <w:rFonts w:hint="eastAsia" w:ascii="微软雅黑" w:hAnsi="微软雅黑" w:eastAsia="微软雅黑" w:cs="MicrosoftYaHei"/>
          <w:kern w:val="0"/>
          <w:sz w:val="18"/>
          <w:szCs w:val="18"/>
        </w:rPr>
        <w:t>新免疫抗原</w:t>
      </w:r>
      <w:r>
        <w:rPr>
          <w:rFonts w:hint="eastAsia" w:ascii="微软雅黑" w:hAnsi="微软雅黑" w:eastAsia="微软雅黑" w:cs="微软雅黑"/>
          <w:kern w:val="0"/>
          <w:sz w:val="18"/>
          <w:szCs w:val="18"/>
        </w:rPr>
        <w:t>请见结果解读--</w:t>
      </w:r>
      <w:r>
        <w:rPr>
          <w:rFonts w:hint="eastAsia" w:ascii="微软雅黑" w:hAnsi="微软雅黑" w:eastAsia="微软雅黑" w:cs="MicrosoftYaHei"/>
          <w:kern w:val="0"/>
          <w:sz w:val="18"/>
          <w:szCs w:val="18"/>
        </w:rPr>
        <w:t>肿瘤新免疫抗原鉴定结果</w:t>
      </w:r>
      <w:r>
        <w:rPr>
          <w:rFonts w:hint="eastAsia" w:ascii="微软雅黑" w:hAnsi="微软雅黑" w:eastAsia="微软雅黑" w:cs="微软雅黑"/>
          <w:kern w:val="0"/>
          <w:sz w:val="18"/>
          <w:szCs w:val="18"/>
        </w:rPr>
        <w:t>部分</w:t>
      </w:r>
    </w:p>
    <w:p>
      <w:pPr>
        <w:widowControl/>
        <w:jc w:val="left"/>
        <w:rPr>
          <w:rFonts w:ascii="微软雅黑" w:hAnsi="微软雅黑" w:eastAsia="微软雅黑" w:cs="宋体"/>
          <w:kern w:val="0"/>
          <w:sz w:val="20"/>
          <w:szCs w:val="18"/>
        </w:rPr>
      </w:pPr>
    </w:p>
    <w:p>
      <w:pPr>
        <w:widowControl/>
        <w:jc w:val="left"/>
        <w:rPr>
          <w:rFonts w:ascii="微软雅黑" w:hAnsi="微软雅黑" w:eastAsia="微软雅黑" w:cs="宋体"/>
          <w:kern w:val="0"/>
          <w:sz w:val="20"/>
          <w:szCs w:val="18"/>
        </w:rPr>
      </w:pPr>
    </w:p>
    <w:p>
      <w:pPr>
        <w:widowControl/>
        <w:jc w:val="left"/>
        <w:rPr>
          <w:rFonts w:ascii="微软雅黑" w:hAnsi="微软雅黑" w:eastAsia="微软雅黑" w:cs="MicrosoftYaHei"/>
          <w:b/>
          <w:color w:val="00B050"/>
          <w:kern w:val="0"/>
          <w:sz w:val="22"/>
          <w:szCs w:val="18"/>
        </w:rPr>
      </w:pPr>
      <w:r>
        <w:rPr>
          <w:rFonts w:ascii="微软雅黑" w:hAnsi="微软雅黑" w:eastAsia="微软雅黑" w:cs="MicrosoftYaHei"/>
          <w:b/>
          <w:color w:val="00B050"/>
          <w:kern w:val="0"/>
          <w:sz w:val="22"/>
          <w:szCs w:val="18"/>
        </w:rPr>
        <w:br w:type="page"/>
      </w:r>
    </w:p>
    <w:p>
      <w:pPr>
        <w:widowControl/>
        <w:jc w:val="left"/>
        <w:outlineLvl w:val="1"/>
        <w:rPr>
          <w:rFonts w:ascii="微软雅黑" w:hAnsi="微软雅黑" w:eastAsia="微软雅黑" w:cs="MicrosoftYaHei"/>
          <w:b/>
          <w:color w:val="000000" w:themeColor="text1"/>
          <w:kern w:val="0"/>
          <w:sz w:val="28"/>
          <w:szCs w:val="24"/>
          <w14:textFill>
            <w14:solidFill>
              <w14:schemeClr w14:val="tx1"/>
            </w14:solidFill>
          </w14:textFill>
        </w:rPr>
      </w:pPr>
      <w:bookmarkStart w:id="5" w:name="_Toc512352433"/>
      <w:r>
        <w:rPr>
          <w:rFonts w:hint="eastAsia" w:ascii="微软雅黑" w:hAnsi="微软雅黑" w:eastAsia="微软雅黑" w:cs="MicrosoftYaHei"/>
          <w:b/>
          <w:color w:val="000000" w:themeColor="text1"/>
          <w:kern w:val="0"/>
          <w:sz w:val="28"/>
          <w:szCs w:val="24"/>
          <w14:textFill>
            <w14:solidFill>
              <w14:schemeClr w14:val="tx1"/>
            </w14:solidFill>
          </w14:textFill>
        </w:rPr>
        <w:t>化疗药物使用建议</w:t>
      </w:r>
      <w:bookmarkEnd w:id="5"/>
    </w:p>
    <w:p>
      <w:pPr>
        <w:widowControl/>
        <w:ind w:firstLine="480" w:firstLineChars="200"/>
        <w:jc w:val="center"/>
        <w:rPr>
          <w:rFonts w:ascii="微软雅黑" w:hAnsi="微软雅黑" w:eastAsia="微软雅黑" w:cs="MicrosoftYaHei"/>
          <w:b/>
          <w:color w:val="00B050"/>
          <w:kern w:val="0"/>
          <w:sz w:val="24"/>
          <w:szCs w:val="24"/>
        </w:rPr>
      </w:pPr>
      <w:r>
        <w:rPr>
          <w:rFonts w:hint="eastAsia" w:ascii="微软雅黑" w:hAnsi="微软雅黑" w:eastAsia="微软雅黑" w:cs="MicrosoftYaHei"/>
          <w:b/>
          <w:color w:val="00B050"/>
          <w:kern w:val="0"/>
          <w:sz w:val="24"/>
          <w:szCs w:val="24"/>
        </w:rPr>
        <w:t>检测到</w:t>
      </w:r>
      <w:r>
        <w:rPr>
          <w:rFonts w:ascii="微软雅黑" w:hAnsi="微软雅黑" w:eastAsia="微软雅黑" w:cs="MicrosoftYaHei"/>
          <w:b/>
          <w:color w:val="00B050"/>
          <w:kern w:val="0"/>
          <w:sz w:val="24"/>
          <w:szCs w:val="24"/>
        </w:rPr>
        <w:t>2</w:t>
      </w:r>
      <w:r>
        <w:rPr>
          <w:rFonts w:hint="eastAsia" w:ascii="微软雅黑" w:hAnsi="微软雅黑" w:eastAsia="微软雅黑" w:cs="MicrosoftYaHei"/>
          <w:b/>
          <w:color w:val="00B050"/>
          <w:kern w:val="0"/>
          <w:sz w:val="24"/>
          <w:szCs w:val="24"/>
        </w:rPr>
        <w:t>类综合效果优于平均人群的化疗药物使用方案</w:t>
      </w:r>
    </w:p>
    <w:tbl>
      <w:tblPr>
        <w:tblStyle w:val="11"/>
        <w:tblW w:w="8296" w:type="dxa"/>
        <w:tblInd w:w="0" w:type="dxa"/>
        <w:tblLayout w:type="fixed"/>
        <w:tblCellMar>
          <w:top w:w="0" w:type="dxa"/>
          <w:left w:w="108" w:type="dxa"/>
          <w:bottom w:w="0" w:type="dxa"/>
          <w:right w:w="108" w:type="dxa"/>
        </w:tblCellMar>
      </w:tblPr>
      <w:tblGrid>
        <w:gridCol w:w="4148"/>
        <w:gridCol w:w="4148"/>
      </w:tblGrid>
      <w:tr>
        <w:tblPrEx>
          <w:tblLayout w:type="fixed"/>
          <w:tblCellMar>
            <w:top w:w="0" w:type="dxa"/>
            <w:left w:w="108" w:type="dxa"/>
            <w:bottom w:w="0" w:type="dxa"/>
            <w:right w:w="108" w:type="dxa"/>
          </w:tblCellMar>
        </w:tblPrEx>
        <w:tc>
          <w:tcPr>
            <w:tcW w:w="4148" w:type="dxa"/>
            <w:shd w:val="clear" w:color="auto" w:fill="1F3864" w:themeFill="accent1" w:themeFillShade="80"/>
            <w:vAlign w:val="center"/>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化疗药物类别</w:t>
            </w:r>
          </w:p>
        </w:tc>
        <w:tc>
          <w:tcPr>
            <w:tcW w:w="4148" w:type="dxa"/>
            <w:shd w:val="clear" w:color="auto" w:fill="1F3864" w:themeFill="accent1" w:themeFillShade="80"/>
            <w:vAlign w:val="center"/>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化疗药物方案</w:t>
            </w:r>
          </w:p>
        </w:tc>
      </w:tr>
      <w:tr>
        <w:tblPrEx>
          <w:tblLayout w:type="fixed"/>
          <w:tblCellMar>
            <w:top w:w="0" w:type="dxa"/>
            <w:left w:w="108" w:type="dxa"/>
            <w:bottom w:w="0" w:type="dxa"/>
            <w:right w:w="108" w:type="dxa"/>
          </w:tblCellMar>
        </w:tblPrEx>
        <w:tc>
          <w:tcPr>
            <w:tcW w:w="4148" w:type="dxa"/>
            <w:shd w:val="clear" w:color="auto" w:fill="F1F1F1" w:themeFill="background1" w:themeFillShade="F2"/>
            <w:vAlign w:val="center"/>
          </w:tcPr>
          <w:p>
            <w:pPr>
              <w:widowControl/>
              <w:jc w:val="center"/>
              <w:rPr>
                <w:rFonts w:ascii="微软雅黑" w:hAnsi="微软雅黑" w:eastAsia="微软雅黑" w:cs="宋体"/>
                <w:b w:val="0"/>
                <w:bCs w:val="0"/>
                <w:kern w:val="0"/>
                <w:sz w:val="20"/>
                <w:szCs w:val="18"/>
              </w:rPr>
            </w:pPr>
            <w:r>
              <w:rPr>
                <w:rFonts w:hint="eastAsia" w:ascii="微软雅黑" w:hAnsi="微软雅黑" w:eastAsia="微软雅黑" w:cs="宋体"/>
                <w:b w:val="0"/>
                <w:bCs/>
                <w:kern w:val="0"/>
                <w:sz w:val="20"/>
                <w:szCs w:val="18"/>
              </w:rPr>
              <w:t>紫杉类</w:t>
            </w:r>
          </w:p>
        </w:tc>
        <w:tc>
          <w:tcPr>
            <w:tcW w:w="4148" w:type="dxa"/>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紫杉醇联合顺铂</w:t>
            </w:r>
          </w:p>
        </w:tc>
      </w:tr>
      <w:tr>
        <w:tblPrEx>
          <w:tblLayout w:type="fixed"/>
          <w:tblCellMar>
            <w:top w:w="0" w:type="dxa"/>
            <w:left w:w="108" w:type="dxa"/>
            <w:bottom w:w="0" w:type="dxa"/>
            <w:right w:w="108" w:type="dxa"/>
          </w:tblCellMar>
        </w:tblPrEx>
        <w:tc>
          <w:tcPr>
            <w:tcW w:w="4148" w:type="dxa"/>
            <w:vAlign w:val="center"/>
          </w:tcPr>
          <w:p>
            <w:pPr>
              <w:widowControl/>
              <w:jc w:val="center"/>
              <w:rPr>
                <w:rFonts w:ascii="微软雅黑" w:hAnsi="微软雅黑" w:eastAsia="微软雅黑" w:cs="宋体"/>
                <w:b w:val="0"/>
                <w:bCs w:val="0"/>
                <w:kern w:val="0"/>
                <w:sz w:val="20"/>
                <w:szCs w:val="18"/>
              </w:rPr>
            </w:pPr>
            <w:r>
              <w:rPr>
                <w:rFonts w:hint="eastAsia" w:ascii="微软雅黑" w:hAnsi="微软雅黑" w:eastAsia="微软雅黑" w:cs="宋体"/>
                <w:b w:val="0"/>
                <w:bCs/>
                <w:kern w:val="0"/>
                <w:sz w:val="20"/>
                <w:szCs w:val="18"/>
              </w:rPr>
              <w:t>抗代谢类</w:t>
            </w:r>
          </w:p>
        </w:tc>
        <w:tc>
          <w:tcPr>
            <w:tcW w:w="4148" w:type="dxa"/>
            <w:vAlign w:val="center"/>
          </w:tcPr>
          <w:p>
            <w:pPr>
              <w:widowControl/>
              <w:jc w:val="center"/>
              <w:rPr>
                <w:rFonts w:ascii="微软雅黑" w:hAnsi="微软雅黑" w:eastAsia="微软雅黑" w:cs="宋体"/>
                <w:bCs/>
                <w:kern w:val="0"/>
                <w:sz w:val="20"/>
                <w:szCs w:val="18"/>
              </w:rPr>
            </w:pPr>
            <w:r>
              <w:rPr>
                <w:rFonts w:hint="eastAsia" w:ascii="微软雅黑" w:hAnsi="微软雅黑" w:eastAsia="微软雅黑" w:cs="宋体"/>
                <w:bCs/>
                <w:kern w:val="0"/>
                <w:sz w:val="20"/>
                <w:szCs w:val="18"/>
              </w:rPr>
              <w:t>卡培他滨</w:t>
            </w:r>
          </w:p>
        </w:tc>
      </w:tr>
    </w:tbl>
    <w:p>
      <w:pPr>
        <w:widowControl/>
        <w:jc w:val="center"/>
        <w:rPr>
          <w:rFonts w:ascii="微软雅黑" w:hAnsi="微软雅黑" w:eastAsia="微软雅黑" w:cs="宋体"/>
          <w:kern w:val="0"/>
          <w:sz w:val="20"/>
          <w:szCs w:val="18"/>
        </w:rPr>
      </w:pPr>
    </w:p>
    <w:p>
      <w:pPr>
        <w:widowControl/>
        <w:jc w:val="center"/>
        <w:rPr>
          <w:rFonts w:ascii="微软雅黑" w:hAnsi="微软雅黑" w:eastAsia="微软雅黑" w:cs="宋体"/>
          <w:kern w:val="0"/>
          <w:sz w:val="20"/>
          <w:szCs w:val="18"/>
        </w:rPr>
      </w:pPr>
    </w:p>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br w:type="page"/>
      </w:r>
    </w:p>
    <w:p>
      <w:pPr>
        <w:widowControl/>
        <w:jc w:val="center"/>
        <w:outlineLvl w:val="0"/>
        <w:rPr>
          <w:rFonts w:ascii="微软雅黑" w:hAnsi="微软雅黑" w:eastAsia="微软雅黑" w:cs="MicrosoftYaHei"/>
          <w:b/>
          <w:color w:val="000000" w:themeColor="text1"/>
          <w:kern w:val="0"/>
          <w:sz w:val="36"/>
          <w:szCs w:val="24"/>
          <w14:textFill>
            <w14:solidFill>
              <w14:schemeClr w14:val="tx1"/>
            </w14:solidFill>
          </w14:textFill>
        </w:rPr>
      </w:pPr>
      <w:bookmarkStart w:id="6" w:name="_Toc512352434"/>
      <w:r>
        <w:rPr>
          <w:rFonts w:hint="eastAsia" w:ascii="微软雅黑" w:hAnsi="微软雅黑" w:eastAsia="微软雅黑" w:cs="MicrosoftYaHei"/>
          <w:b/>
          <w:color w:val="000000" w:themeColor="text1"/>
          <w:kern w:val="0"/>
          <w:sz w:val="36"/>
          <w:szCs w:val="24"/>
          <w14:textFill>
            <w14:solidFill>
              <w14:schemeClr w14:val="tx1"/>
            </w14:solidFill>
          </w14:textFill>
        </w:rPr>
        <w:t>结果解读</w:t>
      </w:r>
      <w:bookmarkEnd w:id="6"/>
    </w:p>
    <w:p>
      <w:pPr>
        <w:widowControl/>
        <w:jc w:val="left"/>
        <w:outlineLvl w:val="1"/>
        <w:rPr>
          <w:rFonts w:ascii="微软雅黑" w:hAnsi="微软雅黑" w:eastAsia="微软雅黑" w:cs="MicrosoftYaHei"/>
          <w:b/>
          <w:color w:val="000000" w:themeColor="text1"/>
          <w:kern w:val="0"/>
          <w:sz w:val="28"/>
          <w:szCs w:val="24"/>
          <w14:textFill>
            <w14:solidFill>
              <w14:schemeClr w14:val="tx1"/>
            </w14:solidFill>
          </w14:textFill>
        </w:rPr>
      </w:pPr>
      <w:bookmarkStart w:id="7" w:name="_Toc512352435"/>
      <w:r>
        <w:rPr>
          <w:rFonts w:hint="eastAsia" w:ascii="微软雅黑" w:hAnsi="微软雅黑" w:eastAsia="微软雅黑" w:cs="MicrosoftYaHei"/>
          <w:b/>
          <w:color w:val="000000" w:themeColor="text1"/>
          <w:kern w:val="0"/>
          <w:sz w:val="28"/>
          <w:szCs w:val="24"/>
          <w14:textFill>
            <w14:solidFill>
              <w14:schemeClr w14:val="tx1"/>
            </w14:solidFill>
          </w14:textFill>
        </w:rPr>
        <w:t>靶向用药基因检测结果</w:t>
      </w:r>
      <w:bookmarkEnd w:id="7"/>
    </w:p>
    <w:tbl>
      <w:tblPr>
        <w:tblStyle w:val="11"/>
        <w:tblW w:w="8306" w:type="dxa"/>
        <w:tblInd w:w="0" w:type="dxa"/>
        <w:tblLayout w:type="fixed"/>
        <w:tblCellMar>
          <w:top w:w="0" w:type="dxa"/>
          <w:left w:w="108" w:type="dxa"/>
          <w:bottom w:w="0" w:type="dxa"/>
          <w:right w:w="108" w:type="dxa"/>
        </w:tblCellMar>
      </w:tblPr>
      <w:tblGrid>
        <w:gridCol w:w="1471"/>
        <w:gridCol w:w="1551"/>
        <w:gridCol w:w="2256"/>
        <w:gridCol w:w="1548"/>
        <w:gridCol w:w="1480"/>
      </w:tblGrid>
      <w:tr>
        <w:tblPrEx>
          <w:tblLayout w:type="fixed"/>
          <w:tblCellMar>
            <w:top w:w="0" w:type="dxa"/>
            <w:left w:w="108" w:type="dxa"/>
            <w:bottom w:w="0" w:type="dxa"/>
            <w:right w:w="108" w:type="dxa"/>
          </w:tblCellMar>
        </w:tblPrEx>
        <w:tc>
          <w:tcPr>
            <w:tcW w:w="1471" w:type="dxa"/>
            <w:shd w:val="clear" w:color="auto" w:fill="1F3864" w:themeFill="accent1" w:themeFillShade="80"/>
            <w:vAlign w:val="center"/>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基因名称</w:t>
            </w:r>
          </w:p>
        </w:tc>
        <w:tc>
          <w:tcPr>
            <w:tcW w:w="1551" w:type="dxa"/>
            <w:shd w:val="clear" w:color="auto" w:fill="1F3864" w:themeFill="accent1" w:themeFillShade="80"/>
            <w:vAlign w:val="center"/>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变异类型</w:t>
            </w:r>
          </w:p>
        </w:tc>
        <w:tc>
          <w:tcPr>
            <w:tcW w:w="2256" w:type="dxa"/>
            <w:shd w:val="clear" w:color="auto" w:fill="1F3864" w:themeFill="accent1" w:themeFillShade="80"/>
            <w:vAlign w:val="center"/>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靶向药</w:t>
            </w:r>
          </w:p>
        </w:tc>
        <w:tc>
          <w:tcPr>
            <w:tcW w:w="1548" w:type="dxa"/>
            <w:shd w:val="clear" w:color="auto" w:fill="1F3864" w:themeFill="accent1" w:themeFillShade="80"/>
            <w:vAlign w:val="center"/>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适用癌种</w:t>
            </w:r>
          </w:p>
        </w:tc>
        <w:tc>
          <w:tcPr>
            <w:tcW w:w="1480" w:type="dxa"/>
            <w:shd w:val="clear" w:color="auto" w:fill="1F3864" w:themeFill="accent1" w:themeFillShade="80"/>
            <w:vAlign w:val="center"/>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检测结果</w:t>
            </w:r>
          </w:p>
        </w:tc>
      </w:tr>
      <w:tr>
        <w:tblPrEx>
          <w:tblLayout w:type="fixed"/>
          <w:tblCellMar>
            <w:top w:w="0" w:type="dxa"/>
            <w:left w:w="108" w:type="dxa"/>
            <w:bottom w:w="0" w:type="dxa"/>
            <w:right w:w="108" w:type="dxa"/>
          </w:tblCellMar>
        </w:tblPrEx>
        <w:tc>
          <w:tcPr>
            <w:tcW w:w="1471" w:type="dxa"/>
            <w:shd w:val="clear" w:color="auto" w:fill="F1F1F1" w:themeFill="background1" w:themeFillShade="F2"/>
            <w:vAlign w:val="center"/>
          </w:tcPr>
          <w:p>
            <w:pPr>
              <w:widowControl/>
              <w:jc w:val="center"/>
              <w:rPr>
                <w:rFonts w:ascii="微软雅黑" w:hAnsi="微软雅黑" w:eastAsia="微软雅黑" w:cs="宋体"/>
                <w:b w:val="0"/>
                <w:bCs w:val="0"/>
                <w:kern w:val="0"/>
                <w:sz w:val="20"/>
                <w:szCs w:val="18"/>
              </w:rPr>
            </w:pPr>
            <w:r>
              <w:rPr>
                <w:rFonts w:hint="eastAsia" w:ascii="微软雅黑" w:hAnsi="微软雅黑" w:eastAsia="微软雅黑" w:cs="宋体"/>
                <w:b w:val="0"/>
                <w:bCs w:val="0"/>
                <w:kern w:val="0"/>
                <w:sz w:val="20"/>
                <w:szCs w:val="18"/>
              </w:rPr>
              <w:t>A</w:t>
            </w:r>
            <w:r>
              <w:rPr>
                <w:rFonts w:ascii="微软雅黑" w:hAnsi="微软雅黑" w:eastAsia="微软雅黑" w:cs="宋体"/>
                <w:b w:val="0"/>
                <w:bCs w:val="0"/>
                <w:kern w:val="0"/>
                <w:sz w:val="20"/>
                <w:szCs w:val="18"/>
              </w:rPr>
              <w:t>LK</w:t>
            </w:r>
          </w:p>
        </w:tc>
        <w:tc>
          <w:tcPr>
            <w:tcW w:w="1551" w:type="dxa"/>
            <w:shd w:val="clear" w:color="auto" w:fill="F1F1F1" w:themeFill="background1" w:themeFillShade="F2"/>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基因重排</w:t>
            </w:r>
          </w:p>
        </w:tc>
        <w:tc>
          <w:tcPr>
            <w:tcW w:w="2256" w:type="dxa"/>
            <w:shd w:val="clear" w:color="auto" w:fill="F1F1F1" w:themeFill="background1" w:themeFillShade="F2"/>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克挫替尼；色瑞替尼；艾乐替尼；Brrigatinib</w:t>
            </w:r>
          </w:p>
        </w:tc>
        <w:tc>
          <w:tcPr>
            <w:tcW w:w="1548" w:type="dxa"/>
            <w:shd w:val="clear" w:color="auto" w:fill="F1F1F1" w:themeFill="background1" w:themeFillShade="F2"/>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非小细胞肺癌</w:t>
            </w:r>
          </w:p>
        </w:tc>
        <w:tc>
          <w:tcPr>
            <w:tcW w:w="1480" w:type="dxa"/>
            <w:shd w:val="clear" w:color="auto" w:fill="F1F1F1" w:themeFill="background1" w:themeFillShade="F2"/>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color w:val="00B050"/>
                <w:kern w:val="0"/>
                <w:sz w:val="20"/>
                <w:szCs w:val="18"/>
              </w:rPr>
              <w:t>野生型</w:t>
            </w:r>
          </w:p>
        </w:tc>
      </w:tr>
      <w:tr>
        <w:tblPrEx>
          <w:tblLayout w:type="fixed"/>
          <w:tblCellMar>
            <w:top w:w="0" w:type="dxa"/>
            <w:left w:w="108" w:type="dxa"/>
            <w:bottom w:w="0" w:type="dxa"/>
            <w:right w:w="108" w:type="dxa"/>
          </w:tblCellMar>
        </w:tblPrEx>
        <w:trPr>
          <w:trHeight w:val="907" w:hRule="atLeast"/>
        </w:trPr>
        <w:tc>
          <w:tcPr>
            <w:tcW w:w="8306" w:type="dxa"/>
            <w:gridSpan w:val="5"/>
            <w:vAlign w:val="center"/>
          </w:tcPr>
          <w:p>
            <w:pPr>
              <w:widowControl/>
              <w:spacing w:line="400" w:lineRule="exact"/>
              <w:ind w:left="99" w:leftChars="47"/>
              <w:rPr>
                <w:rFonts w:ascii="微软雅黑" w:hAnsi="微软雅黑" w:eastAsia="微软雅黑" w:cs="宋体"/>
                <w:b w:val="0"/>
                <w:bCs w:val="0"/>
                <w:kern w:val="0"/>
                <w:sz w:val="20"/>
                <w:szCs w:val="18"/>
              </w:rPr>
            </w:pPr>
            <w:r>
              <w:rPr>
                <w:rFonts w:ascii="微软雅黑" w:hAnsi="微软雅黑" w:eastAsia="微软雅黑" w:cs="宋体"/>
                <w:b w:val="0"/>
                <w:bCs w:val="0"/>
                <w:kern w:val="0"/>
                <w:sz w:val="20"/>
                <w:szCs w:val="18"/>
              </w:rPr>
              <w:t>ALK，即人类间变性淋巴瘤激酶(anaplastic lymphoma kinase，ALK)，于 1994 年首先发现于间变性大细胞淋巴瘤 AMS3 细胞株中，是由 1620 个氨基酸组成的跨膜蛋白，属于胰岛素受体家族。</w:t>
            </w:r>
          </w:p>
        </w:tc>
      </w:tr>
      <w:tr>
        <w:tblPrEx>
          <w:tblLayout w:type="fixed"/>
          <w:tblCellMar>
            <w:top w:w="0" w:type="dxa"/>
            <w:left w:w="108" w:type="dxa"/>
            <w:bottom w:w="0" w:type="dxa"/>
            <w:right w:w="108" w:type="dxa"/>
          </w:tblCellMar>
        </w:tblPrEx>
        <w:tc>
          <w:tcPr>
            <w:tcW w:w="1471" w:type="dxa"/>
            <w:shd w:val="clear" w:color="auto" w:fill="F1F1F1" w:themeFill="background1" w:themeFillShade="F2"/>
            <w:vAlign w:val="center"/>
          </w:tcPr>
          <w:p>
            <w:pPr>
              <w:widowControl/>
              <w:jc w:val="center"/>
              <w:rPr>
                <w:rFonts w:ascii="微软雅黑" w:hAnsi="微软雅黑" w:eastAsia="微软雅黑" w:cs="宋体"/>
                <w:b w:val="0"/>
                <w:bCs w:val="0"/>
                <w:kern w:val="0"/>
                <w:sz w:val="20"/>
                <w:szCs w:val="18"/>
              </w:rPr>
            </w:pPr>
            <w:r>
              <w:rPr>
                <w:rFonts w:hint="eastAsia" w:ascii="微软雅黑" w:hAnsi="微软雅黑" w:eastAsia="微软雅黑" w:cs="宋体"/>
                <w:b w:val="0"/>
                <w:bCs w:val="0"/>
                <w:kern w:val="0"/>
                <w:sz w:val="20"/>
                <w:szCs w:val="18"/>
              </w:rPr>
              <w:t>B</w:t>
            </w:r>
            <w:r>
              <w:rPr>
                <w:rFonts w:ascii="微软雅黑" w:hAnsi="微软雅黑" w:eastAsia="微软雅黑" w:cs="宋体"/>
                <w:b w:val="0"/>
                <w:bCs w:val="0"/>
                <w:kern w:val="0"/>
                <w:sz w:val="20"/>
                <w:szCs w:val="18"/>
              </w:rPr>
              <w:t>RAF</w:t>
            </w:r>
          </w:p>
        </w:tc>
        <w:tc>
          <w:tcPr>
            <w:tcW w:w="1551" w:type="dxa"/>
            <w:shd w:val="clear" w:color="auto" w:fill="F1F1F1" w:themeFill="background1" w:themeFillShade="F2"/>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V</w:t>
            </w:r>
            <w:r>
              <w:rPr>
                <w:rFonts w:ascii="微软雅黑" w:hAnsi="微软雅黑" w:eastAsia="微软雅黑" w:cs="宋体"/>
                <w:kern w:val="0"/>
                <w:sz w:val="20"/>
                <w:szCs w:val="18"/>
              </w:rPr>
              <w:t>600E</w:t>
            </w:r>
            <w:r>
              <w:rPr>
                <w:rFonts w:hint="eastAsia" w:ascii="微软雅黑" w:hAnsi="微软雅黑" w:eastAsia="微软雅黑" w:cs="宋体"/>
                <w:kern w:val="0"/>
                <w:sz w:val="20"/>
                <w:szCs w:val="18"/>
              </w:rPr>
              <w:t>突变</w:t>
            </w:r>
          </w:p>
        </w:tc>
        <w:tc>
          <w:tcPr>
            <w:tcW w:w="2256" w:type="dxa"/>
            <w:shd w:val="clear" w:color="auto" w:fill="F1F1F1" w:themeFill="background1" w:themeFillShade="F2"/>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维莫非尼；达拉非尼；</w:t>
            </w:r>
          </w:p>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曲美替尼；卡比替尼</w:t>
            </w:r>
          </w:p>
        </w:tc>
        <w:tc>
          <w:tcPr>
            <w:tcW w:w="1548" w:type="dxa"/>
            <w:shd w:val="clear" w:color="auto" w:fill="F1F1F1" w:themeFill="background1" w:themeFillShade="F2"/>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非小细胞癌；黑色素瘤</w:t>
            </w:r>
          </w:p>
        </w:tc>
        <w:tc>
          <w:tcPr>
            <w:tcW w:w="1480" w:type="dxa"/>
            <w:shd w:val="clear" w:color="auto" w:fill="F1F1F1" w:themeFill="background1" w:themeFillShade="F2"/>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color w:val="00B050"/>
                <w:kern w:val="0"/>
                <w:sz w:val="20"/>
                <w:szCs w:val="18"/>
              </w:rPr>
              <w:t>野生型</w:t>
            </w:r>
          </w:p>
        </w:tc>
      </w:tr>
      <w:tr>
        <w:tblPrEx>
          <w:tblLayout w:type="fixed"/>
          <w:tblCellMar>
            <w:top w:w="0" w:type="dxa"/>
            <w:left w:w="108" w:type="dxa"/>
            <w:bottom w:w="0" w:type="dxa"/>
            <w:right w:w="108" w:type="dxa"/>
          </w:tblCellMar>
        </w:tblPrEx>
        <w:tc>
          <w:tcPr>
            <w:tcW w:w="8306" w:type="dxa"/>
            <w:gridSpan w:val="5"/>
            <w:vAlign w:val="center"/>
          </w:tcPr>
          <w:p>
            <w:pPr>
              <w:widowControl/>
              <w:spacing w:line="400" w:lineRule="exact"/>
              <w:ind w:left="99" w:leftChars="47"/>
              <w:rPr>
                <w:rFonts w:ascii="微软雅黑" w:hAnsi="微软雅黑" w:eastAsia="微软雅黑" w:cs="宋体"/>
                <w:b w:val="0"/>
                <w:bCs w:val="0"/>
                <w:kern w:val="0"/>
                <w:sz w:val="20"/>
                <w:szCs w:val="18"/>
              </w:rPr>
            </w:pPr>
            <w:r>
              <w:rPr>
                <w:rFonts w:ascii="微软雅黑" w:hAnsi="微软雅黑" w:eastAsia="微软雅黑" w:cs="宋体"/>
                <w:b w:val="0"/>
                <w:bCs w:val="0"/>
                <w:kern w:val="0"/>
                <w:sz w:val="20"/>
                <w:szCs w:val="18"/>
              </w:rPr>
              <w:t>BRAF主要通过有丝蛋白激酶通路中的丝氨酸苏氨酸蛋白激酶来发挥作用，该酶将细胞表面的受体和RAS 蛋白通过 MEK 和 ERK 与核内的转录因子相连接，启动多种因子参与调控细胞内多种生物学事件，如细胞生长、分化和凋亡。</w:t>
            </w:r>
          </w:p>
        </w:tc>
      </w:tr>
      <w:tr>
        <w:tblPrEx>
          <w:tblLayout w:type="fixed"/>
          <w:tblCellMar>
            <w:top w:w="0" w:type="dxa"/>
            <w:left w:w="108" w:type="dxa"/>
            <w:bottom w:w="0" w:type="dxa"/>
            <w:right w:w="108" w:type="dxa"/>
          </w:tblCellMar>
        </w:tblPrEx>
        <w:tc>
          <w:tcPr>
            <w:tcW w:w="1471" w:type="dxa"/>
            <w:shd w:val="clear" w:color="auto" w:fill="F1F1F1" w:themeFill="background1" w:themeFillShade="F2"/>
            <w:vAlign w:val="center"/>
          </w:tcPr>
          <w:p>
            <w:pPr>
              <w:widowControl/>
              <w:jc w:val="center"/>
              <w:rPr>
                <w:rFonts w:ascii="微软雅黑" w:hAnsi="微软雅黑" w:eastAsia="微软雅黑" w:cs="宋体"/>
                <w:b w:val="0"/>
                <w:bCs w:val="0"/>
                <w:kern w:val="0"/>
                <w:sz w:val="20"/>
                <w:szCs w:val="18"/>
              </w:rPr>
            </w:pPr>
            <w:r>
              <w:rPr>
                <w:rFonts w:hint="eastAsia" w:ascii="微软雅黑" w:hAnsi="微软雅黑" w:eastAsia="微软雅黑" w:cs="宋体"/>
                <w:b w:val="0"/>
                <w:bCs w:val="0"/>
                <w:kern w:val="0"/>
                <w:sz w:val="20"/>
                <w:szCs w:val="18"/>
              </w:rPr>
              <w:t>E</w:t>
            </w:r>
            <w:r>
              <w:rPr>
                <w:rFonts w:ascii="微软雅黑" w:hAnsi="微软雅黑" w:eastAsia="微软雅黑" w:cs="宋体"/>
                <w:b w:val="0"/>
                <w:bCs w:val="0"/>
                <w:kern w:val="0"/>
                <w:sz w:val="20"/>
                <w:szCs w:val="18"/>
              </w:rPr>
              <w:t>GFR</w:t>
            </w:r>
          </w:p>
        </w:tc>
        <w:tc>
          <w:tcPr>
            <w:tcW w:w="1551" w:type="dxa"/>
            <w:shd w:val="clear" w:color="auto" w:fill="F1F1F1" w:themeFill="background1" w:themeFillShade="F2"/>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L</w:t>
            </w:r>
            <w:r>
              <w:rPr>
                <w:rFonts w:ascii="微软雅黑" w:hAnsi="微软雅黑" w:eastAsia="微软雅黑" w:cs="宋体"/>
                <w:kern w:val="0"/>
                <w:sz w:val="20"/>
                <w:szCs w:val="18"/>
              </w:rPr>
              <w:t>858R</w:t>
            </w:r>
            <w:r>
              <w:rPr>
                <w:rFonts w:hint="eastAsia" w:ascii="微软雅黑" w:hAnsi="微软雅黑" w:eastAsia="微软雅黑" w:cs="宋体"/>
                <w:kern w:val="0"/>
                <w:sz w:val="20"/>
                <w:szCs w:val="18"/>
              </w:rPr>
              <w:t>突变；1</w:t>
            </w:r>
            <w:r>
              <w:rPr>
                <w:rFonts w:ascii="微软雅黑" w:hAnsi="微软雅黑" w:eastAsia="微软雅黑" w:cs="宋体"/>
                <w:kern w:val="0"/>
                <w:sz w:val="20"/>
                <w:szCs w:val="18"/>
              </w:rPr>
              <w:t>9</w:t>
            </w:r>
            <w:r>
              <w:rPr>
                <w:rFonts w:hint="eastAsia" w:ascii="微软雅黑" w:hAnsi="微软雅黑" w:eastAsia="微软雅黑" w:cs="宋体"/>
                <w:kern w:val="0"/>
                <w:sz w:val="20"/>
                <w:szCs w:val="18"/>
              </w:rPr>
              <w:t>号外显子缺失突变</w:t>
            </w:r>
          </w:p>
        </w:tc>
        <w:tc>
          <w:tcPr>
            <w:tcW w:w="2256" w:type="dxa"/>
            <w:shd w:val="clear" w:color="auto" w:fill="F1F1F1" w:themeFill="background1" w:themeFillShade="F2"/>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吉非替尼；厄洛替尼；</w:t>
            </w:r>
          </w:p>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阿法替尼</w:t>
            </w:r>
          </w:p>
        </w:tc>
        <w:tc>
          <w:tcPr>
            <w:tcW w:w="1548" w:type="dxa"/>
            <w:shd w:val="clear" w:color="auto" w:fill="F1F1F1" w:themeFill="background1" w:themeFillShade="F2"/>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非小细胞癌</w:t>
            </w:r>
          </w:p>
        </w:tc>
        <w:tc>
          <w:tcPr>
            <w:tcW w:w="1480" w:type="dxa"/>
            <w:shd w:val="clear" w:color="auto" w:fill="F1F1F1" w:themeFill="background1" w:themeFillShade="F2"/>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color w:val="00B050"/>
                <w:kern w:val="0"/>
                <w:sz w:val="20"/>
                <w:szCs w:val="18"/>
              </w:rPr>
              <w:t>野生型</w:t>
            </w:r>
          </w:p>
        </w:tc>
      </w:tr>
      <w:tr>
        <w:tblPrEx>
          <w:tblLayout w:type="fixed"/>
          <w:tblCellMar>
            <w:top w:w="0" w:type="dxa"/>
            <w:left w:w="108" w:type="dxa"/>
            <w:bottom w:w="0" w:type="dxa"/>
            <w:right w:w="108" w:type="dxa"/>
          </w:tblCellMar>
        </w:tblPrEx>
        <w:tc>
          <w:tcPr>
            <w:tcW w:w="8306" w:type="dxa"/>
            <w:gridSpan w:val="5"/>
            <w:vAlign w:val="center"/>
          </w:tcPr>
          <w:p>
            <w:pPr>
              <w:widowControl/>
              <w:spacing w:line="400" w:lineRule="exact"/>
              <w:ind w:left="99" w:leftChars="47"/>
              <w:rPr>
                <w:rFonts w:ascii="微软雅黑" w:hAnsi="微软雅黑" w:eastAsia="微软雅黑" w:cs="宋体"/>
                <w:b/>
                <w:bCs/>
                <w:kern w:val="0"/>
                <w:sz w:val="20"/>
                <w:szCs w:val="18"/>
              </w:rPr>
            </w:pPr>
            <w:r>
              <w:rPr>
                <w:rFonts w:ascii="微软雅黑" w:hAnsi="微软雅黑" w:eastAsia="微软雅黑" w:cs="宋体"/>
                <w:b w:val="0"/>
                <w:bCs w:val="0"/>
                <w:kern w:val="0"/>
                <w:sz w:val="20"/>
                <w:szCs w:val="18"/>
              </w:rPr>
              <w:t>表皮生长因子受体（EGFR）属于受体酪氨酸激酶（RTKs）家族，与配体如表皮生长因子（EGF）的结合，诱导其构象变化而更有利于受体的同源或异源二聚体的形成，由此导致 EGFR 酪氨酸激酶的激活。</w:t>
            </w:r>
          </w:p>
        </w:tc>
      </w:tr>
      <w:tr>
        <w:tblPrEx>
          <w:tblLayout w:type="fixed"/>
          <w:tblCellMar>
            <w:top w:w="0" w:type="dxa"/>
            <w:left w:w="108" w:type="dxa"/>
            <w:bottom w:w="0" w:type="dxa"/>
            <w:right w:w="108" w:type="dxa"/>
          </w:tblCellMar>
        </w:tblPrEx>
        <w:tc>
          <w:tcPr>
            <w:tcW w:w="1471" w:type="dxa"/>
            <w:shd w:val="clear" w:color="auto" w:fill="F1F1F1" w:themeFill="background1" w:themeFillShade="F2"/>
            <w:vAlign w:val="center"/>
          </w:tcPr>
          <w:p>
            <w:pPr>
              <w:widowControl/>
              <w:jc w:val="center"/>
              <w:rPr>
                <w:rFonts w:ascii="微软雅黑" w:hAnsi="微软雅黑" w:eastAsia="微软雅黑" w:cs="宋体"/>
                <w:b w:val="0"/>
                <w:bCs w:val="0"/>
                <w:kern w:val="0"/>
                <w:sz w:val="20"/>
                <w:szCs w:val="18"/>
              </w:rPr>
            </w:pPr>
            <w:r>
              <w:rPr>
                <w:rFonts w:hint="eastAsia" w:ascii="微软雅黑" w:hAnsi="微软雅黑" w:eastAsia="微软雅黑" w:cs="宋体"/>
                <w:b w:val="0"/>
                <w:bCs w:val="0"/>
                <w:kern w:val="0"/>
                <w:sz w:val="20"/>
                <w:szCs w:val="18"/>
              </w:rPr>
              <w:t>E</w:t>
            </w:r>
            <w:r>
              <w:rPr>
                <w:rFonts w:ascii="微软雅黑" w:hAnsi="微软雅黑" w:eastAsia="微软雅黑" w:cs="宋体"/>
                <w:b w:val="0"/>
                <w:bCs w:val="0"/>
                <w:kern w:val="0"/>
                <w:sz w:val="20"/>
                <w:szCs w:val="18"/>
              </w:rPr>
              <w:t>GFR</w:t>
            </w:r>
          </w:p>
        </w:tc>
        <w:tc>
          <w:tcPr>
            <w:tcW w:w="1551" w:type="dxa"/>
            <w:shd w:val="clear" w:color="auto" w:fill="F1F1F1" w:themeFill="background1" w:themeFillShade="F2"/>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T</w:t>
            </w:r>
            <w:r>
              <w:rPr>
                <w:rFonts w:ascii="微软雅黑" w:hAnsi="微软雅黑" w:eastAsia="微软雅黑" w:cs="宋体"/>
                <w:kern w:val="0"/>
                <w:sz w:val="20"/>
                <w:szCs w:val="18"/>
              </w:rPr>
              <w:t>790M</w:t>
            </w:r>
            <w:r>
              <w:rPr>
                <w:rFonts w:hint="eastAsia" w:ascii="微软雅黑" w:hAnsi="微软雅黑" w:eastAsia="微软雅黑" w:cs="宋体"/>
                <w:kern w:val="0"/>
                <w:sz w:val="20"/>
                <w:szCs w:val="18"/>
              </w:rPr>
              <w:t>突变</w:t>
            </w:r>
          </w:p>
        </w:tc>
        <w:tc>
          <w:tcPr>
            <w:tcW w:w="2256" w:type="dxa"/>
            <w:shd w:val="clear" w:color="auto" w:fill="F1F1F1" w:themeFill="background1" w:themeFillShade="F2"/>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奥希替尼</w:t>
            </w:r>
          </w:p>
        </w:tc>
        <w:tc>
          <w:tcPr>
            <w:tcW w:w="1548" w:type="dxa"/>
            <w:shd w:val="clear" w:color="auto" w:fill="F1F1F1" w:themeFill="background1" w:themeFillShade="F2"/>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非小细胞癌</w:t>
            </w:r>
          </w:p>
        </w:tc>
        <w:tc>
          <w:tcPr>
            <w:tcW w:w="1480" w:type="dxa"/>
            <w:shd w:val="clear" w:color="auto" w:fill="F1F1F1" w:themeFill="background1" w:themeFillShade="F2"/>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color w:val="FF0000"/>
                <w:kern w:val="0"/>
                <w:sz w:val="20"/>
                <w:szCs w:val="18"/>
              </w:rPr>
              <w:t>突变型</w:t>
            </w:r>
          </w:p>
        </w:tc>
      </w:tr>
      <w:tr>
        <w:tblPrEx>
          <w:tblLayout w:type="fixed"/>
          <w:tblCellMar>
            <w:top w:w="0" w:type="dxa"/>
            <w:left w:w="108" w:type="dxa"/>
            <w:bottom w:w="0" w:type="dxa"/>
            <w:right w:w="108" w:type="dxa"/>
          </w:tblCellMar>
        </w:tblPrEx>
        <w:tc>
          <w:tcPr>
            <w:tcW w:w="8306" w:type="dxa"/>
            <w:gridSpan w:val="5"/>
            <w:vAlign w:val="center"/>
          </w:tcPr>
          <w:p>
            <w:pPr>
              <w:widowControl/>
              <w:spacing w:line="400" w:lineRule="exact"/>
              <w:ind w:left="99" w:leftChars="47"/>
              <w:rPr>
                <w:rFonts w:ascii="微软雅黑" w:hAnsi="微软雅黑" w:eastAsia="微软雅黑" w:cs="宋体"/>
                <w:b/>
                <w:bCs/>
                <w:kern w:val="0"/>
                <w:sz w:val="20"/>
                <w:szCs w:val="18"/>
              </w:rPr>
            </w:pPr>
            <w:r>
              <w:rPr>
                <w:rFonts w:ascii="微软雅黑" w:hAnsi="微软雅黑" w:eastAsia="微软雅黑" w:cs="宋体"/>
                <w:b w:val="0"/>
                <w:bCs w:val="0"/>
                <w:kern w:val="0"/>
                <w:sz w:val="20"/>
                <w:szCs w:val="18"/>
              </w:rPr>
              <w:t>表皮生长因子受体（EGFR）属于受体酪氨酸激酶（RTKs）家族，与配体如表皮生长因子（EGF）的结合，诱导其构象变化而更有利于受体的同源或异源二聚体的形成，由此导致 EGFR 酪氨酸激酶的激活。</w:t>
            </w:r>
          </w:p>
        </w:tc>
      </w:tr>
      <w:tr>
        <w:tblPrEx>
          <w:tblLayout w:type="fixed"/>
          <w:tblCellMar>
            <w:top w:w="0" w:type="dxa"/>
            <w:left w:w="108" w:type="dxa"/>
            <w:bottom w:w="0" w:type="dxa"/>
            <w:right w:w="108" w:type="dxa"/>
          </w:tblCellMar>
        </w:tblPrEx>
        <w:tc>
          <w:tcPr>
            <w:tcW w:w="1471" w:type="dxa"/>
            <w:shd w:val="clear" w:color="auto" w:fill="F1F1F1" w:themeFill="background1" w:themeFillShade="F2"/>
            <w:vAlign w:val="center"/>
          </w:tcPr>
          <w:p>
            <w:pPr>
              <w:widowControl/>
              <w:jc w:val="center"/>
              <w:rPr>
                <w:rFonts w:ascii="微软雅黑" w:hAnsi="微软雅黑" w:eastAsia="微软雅黑" w:cs="宋体"/>
                <w:b w:val="0"/>
                <w:bCs w:val="0"/>
                <w:kern w:val="0"/>
                <w:sz w:val="20"/>
                <w:szCs w:val="18"/>
              </w:rPr>
            </w:pPr>
            <w:r>
              <w:rPr>
                <w:rFonts w:hint="eastAsia" w:ascii="微软雅黑" w:hAnsi="微软雅黑" w:eastAsia="微软雅黑" w:cs="宋体"/>
                <w:b w:val="0"/>
                <w:bCs w:val="0"/>
                <w:kern w:val="0"/>
                <w:sz w:val="20"/>
                <w:szCs w:val="18"/>
              </w:rPr>
              <w:t>E</w:t>
            </w:r>
            <w:r>
              <w:rPr>
                <w:rFonts w:ascii="微软雅黑" w:hAnsi="微软雅黑" w:eastAsia="微软雅黑" w:cs="宋体"/>
                <w:b w:val="0"/>
                <w:bCs w:val="0"/>
                <w:kern w:val="0"/>
                <w:sz w:val="20"/>
                <w:szCs w:val="18"/>
              </w:rPr>
              <w:t>RBB2(HER2)</w:t>
            </w:r>
          </w:p>
        </w:tc>
        <w:tc>
          <w:tcPr>
            <w:tcW w:w="1551" w:type="dxa"/>
            <w:shd w:val="clear" w:color="auto" w:fill="F1F1F1" w:themeFill="background1" w:themeFillShade="F2"/>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基因突变</w:t>
            </w:r>
          </w:p>
        </w:tc>
        <w:tc>
          <w:tcPr>
            <w:tcW w:w="2256" w:type="dxa"/>
            <w:shd w:val="clear" w:color="auto" w:fill="F1F1F1" w:themeFill="background1" w:themeFillShade="F2"/>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曲妥珠单抗；阿法替尼</w:t>
            </w:r>
          </w:p>
        </w:tc>
        <w:tc>
          <w:tcPr>
            <w:tcW w:w="1548" w:type="dxa"/>
            <w:shd w:val="clear" w:color="auto" w:fill="F1F1F1" w:themeFill="background1" w:themeFillShade="F2"/>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非小细胞肺癌</w:t>
            </w:r>
          </w:p>
        </w:tc>
        <w:tc>
          <w:tcPr>
            <w:tcW w:w="1480" w:type="dxa"/>
            <w:shd w:val="clear" w:color="auto" w:fill="F1F1F1" w:themeFill="background1" w:themeFillShade="F2"/>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color w:val="00B050"/>
                <w:kern w:val="0"/>
                <w:sz w:val="20"/>
                <w:szCs w:val="18"/>
              </w:rPr>
              <w:t>野生型</w:t>
            </w:r>
          </w:p>
        </w:tc>
      </w:tr>
      <w:tr>
        <w:tblPrEx>
          <w:tblLayout w:type="fixed"/>
          <w:tblCellMar>
            <w:top w:w="0" w:type="dxa"/>
            <w:left w:w="108" w:type="dxa"/>
            <w:bottom w:w="0" w:type="dxa"/>
            <w:right w:w="108" w:type="dxa"/>
          </w:tblCellMar>
        </w:tblPrEx>
        <w:tc>
          <w:tcPr>
            <w:tcW w:w="8306" w:type="dxa"/>
            <w:gridSpan w:val="5"/>
            <w:vAlign w:val="center"/>
          </w:tcPr>
          <w:p>
            <w:pPr>
              <w:widowControl/>
              <w:spacing w:line="400" w:lineRule="exact"/>
              <w:ind w:left="99" w:leftChars="47"/>
              <w:rPr>
                <w:rFonts w:ascii="微软雅黑" w:hAnsi="微软雅黑" w:eastAsia="微软雅黑" w:cs="宋体"/>
                <w:b/>
                <w:bCs/>
                <w:kern w:val="0"/>
                <w:sz w:val="20"/>
                <w:szCs w:val="18"/>
              </w:rPr>
            </w:pPr>
            <w:r>
              <w:rPr>
                <w:rFonts w:ascii="微软雅黑" w:hAnsi="微软雅黑" w:eastAsia="微软雅黑" w:cs="宋体"/>
                <w:b w:val="0"/>
                <w:bCs w:val="0"/>
                <w:kern w:val="0"/>
                <w:sz w:val="20"/>
                <w:szCs w:val="18"/>
              </w:rPr>
              <w:t>HER2的编码基因位于人类17号染色体上。有研究报道，在多种癌症鉴定到基因拷贝数增加</w:t>
            </w:r>
            <w:r>
              <w:rPr>
                <w:rFonts w:hint="eastAsia" w:ascii="微软雅黑" w:hAnsi="微软雅黑" w:eastAsia="微软雅黑" w:cs="宋体"/>
                <w:b w:val="0"/>
                <w:bCs w:val="0"/>
                <w:kern w:val="0"/>
                <w:sz w:val="20"/>
                <w:szCs w:val="18"/>
              </w:rPr>
              <w:t>，</w:t>
            </w:r>
            <w:r>
              <w:rPr>
                <w:rFonts w:ascii="微软雅黑" w:hAnsi="微软雅黑" w:eastAsia="微软雅黑" w:cs="宋体"/>
                <w:b w:val="0"/>
                <w:bCs w:val="0"/>
                <w:kern w:val="0"/>
                <w:sz w:val="20"/>
                <w:szCs w:val="18"/>
              </w:rPr>
              <w:t>HER2基因扩增被认为促进了肿瘤发生进程，参与几种癌症的发病机制 。</w:t>
            </w:r>
          </w:p>
        </w:tc>
      </w:tr>
      <w:tr>
        <w:tblPrEx>
          <w:tblLayout w:type="fixed"/>
          <w:tblCellMar>
            <w:top w:w="0" w:type="dxa"/>
            <w:left w:w="108" w:type="dxa"/>
            <w:bottom w:w="0" w:type="dxa"/>
            <w:right w:w="108" w:type="dxa"/>
          </w:tblCellMar>
        </w:tblPrEx>
        <w:tc>
          <w:tcPr>
            <w:tcW w:w="1471" w:type="dxa"/>
            <w:shd w:val="clear" w:color="auto" w:fill="F1F1F1" w:themeFill="background1" w:themeFillShade="F2"/>
            <w:vAlign w:val="center"/>
          </w:tcPr>
          <w:p>
            <w:pPr>
              <w:widowControl/>
              <w:jc w:val="center"/>
              <w:rPr>
                <w:rFonts w:ascii="微软雅黑" w:hAnsi="微软雅黑" w:eastAsia="微软雅黑" w:cs="宋体"/>
                <w:b w:val="0"/>
                <w:bCs w:val="0"/>
                <w:kern w:val="0"/>
                <w:sz w:val="20"/>
                <w:szCs w:val="18"/>
              </w:rPr>
            </w:pPr>
            <w:r>
              <w:rPr>
                <w:rFonts w:hint="eastAsia" w:ascii="微软雅黑" w:hAnsi="微软雅黑" w:eastAsia="微软雅黑" w:cs="宋体"/>
                <w:b w:val="0"/>
                <w:bCs w:val="0"/>
                <w:kern w:val="0"/>
                <w:sz w:val="20"/>
                <w:szCs w:val="18"/>
              </w:rPr>
              <w:t>K</w:t>
            </w:r>
            <w:r>
              <w:rPr>
                <w:rFonts w:ascii="微软雅黑" w:hAnsi="微软雅黑" w:eastAsia="微软雅黑" w:cs="宋体"/>
                <w:b w:val="0"/>
                <w:bCs w:val="0"/>
                <w:kern w:val="0"/>
                <w:sz w:val="20"/>
                <w:szCs w:val="18"/>
              </w:rPr>
              <w:t>RAS</w:t>
            </w:r>
          </w:p>
        </w:tc>
        <w:tc>
          <w:tcPr>
            <w:tcW w:w="1551" w:type="dxa"/>
            <w:shd w:val="clear" w:color="auto" w:fill="F1F1F1" w:themeFill="background1" w:themeFillShade="F2"/>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野生型</w:t>
            </w:r>
          </w:p>
        </w:tc>
        <w:tc>
          <w:tcPr>
            <w:tcW w:w="2256" w:type="dxa"/>
            <w:shd w:val="clear" w:color="auto" w:fill="F1F1F1" w:themeFill="background1" w:themeFillShade="F2"/>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西妥昔单抗；帕尼单抗</w:t>
            </w:r>
          </w:p>
        </w:tc>
        <w:tc>
          <w:tcPr>
            <w:tcW w:w="1548" w:type="dxa"/>
            <w:shd w:val="clear" w:color="auto" w:fill="F1F1F1" w:themeFill="background1" w:themeFillShade="F2"/>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结直肠癌</w:t>
            </w:r>
          </w:p>
        </w:tc>
        <w:tc>
          <w:tcPr>
            <w:tcW w:w="1480" w:type="dxa"/>
            <w:shd w:val="clear" w:color="auto" w:fill="F1F1F1" w:themeFill="background1" w:themeFillShade="F2"/>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color w:val="00B050"/>
                <w:kern w:val="0"/>
                <w:sz w:val="20"/>
                <w:szCs w:val="18"/>
              </w:rPr>
              <w:t>野生型</w:t>
            </w:r>
          </w:p>
        </w:tc>
      </w:tr>
      <w:tr>
        <w:tblPrEx>
          <w:tblLayout w:type="fixed"/>
          <w:tblCellMar>
            <w:top w:w="0" w:type="dxa"/>
            <w:left w:w="108" w:type="dxa"/>
            <w:bottom w:w="0" w:type="dxa"/>
            <w:right w:w="108" w:type="dxa"/>
          </w:tblCellMar>
        </w:tblPrEx>
        <w:tc>
          <w:tcPr>
            <w:tcW w:w="8306" w:type="dxa"/>
            <w:gridSpan w:val="5"/>
            <w:vAlign w:val="center"/>
          </w:tcPr>
          <w:p>
            <w:pPr>
              <w:widowControl/>
              <w:spacing w:line="400" w:lineRule="exact"/>
              <w:ind w:left="99" w:leftChars="47"/>
              <w:rPr>
                <w:rFonts w:ascii="微软雅黑" w:hAnsi="微软雅黑" w:eastAsia="微软雅黑" w:cs="宋体"/>
                <w:b/>
                <w:bCs/>
                <w:kern w:val="0"/>
                <w:sz w:val="20"/>
                <w:szCs w:val="18"/>
              </w:rPr>
            </w:pPr>
            <w:r>
              <w:rPr>
                <w:rFonts w:hint="eastAsia" w:ascii="微软雅黑" w:hAnsi="微软雅黑" w:eastAsia="微软雅黑" w:cs="宋体"/>
                <w:b w:val="0"/>
                <w:bCs w:val="0"/>
                <w:kern w:val="0"/>
                <w:sz w:val="20"/>
                <w:szCs w:val="18"/>
              </w:rPr>
              <w:t>K</w:t>
            </w:r>
            <w:r>
              <w:rPr>
                <w:rFonts w:ascii="微软雅黑" w:hAnsi="微软雅黑" w:eastAsia="微软雅黑" w:cs="宋体"/>
                <w:b w:val="0"/>
                <w:bCs w:val="0"/>
                <w:kern w:val="0"/>
                <w:sz w:val="20"/>
                <w:szCs w:val="18"/>
              </w:rPr>
              <w:t>RAS</w:t>
            </w:r>
            <w:r>
              <w:rPr>
                <w:rFonts w:hint="eastAsia" w:ascii="微软雅黑" w:hAnsi="微软雅黑" w:eastAsia="微软雅黑" w:cs="宋体"/>
                <w:b w:val="0"/>
                <w:bCs w:val="0"/>
                <w:kern w:val="0"/>
                <w:sz w:val="20"/>
                <w:szCs w:val="18"/>
              </w:rPr>
              <w:t>是一种鼠类肉瘤病毒癌基因，</w:t>
            </w:r>
            <w:r>
              <w:rPr>
                <w:rFonts w:ascii="微软雅黑" w:hAnsi="微软雅黑" w:eastAsia="微软雅黑" w:cs="宋体"/>
                <w:b w:val="0"/>
                <w:bCs w:val="0"/>
                <w:kern w:val="0"/>
                <w:sz w:val="20"/>
                <w:szCs w:val="18"/>
              </w:rPr>
              <w:t>哺乳动物基因组中普遍存在三种 RAS 癌基因家族成员：H-RAS、K-RAS、N-RAS，RAS 被发现可在多种癌症的发病中起作用。RAS 基因的激活性突变，在缺乏生长因子信号输入的情况下亦能保持 RAS 的 GTP 酶活性持续存在，结果转化为细胞不断增殖的信号。KRAS基因突变特别常见于结肠癌，肺癌和胰腺癌 。</w:t>
            </w:r>
          </w:p>
        </w:tc>
      </w:tr>
      <w:tr>
        <w:tblPrEx>
          <w:tblLayout w:type="fixed"/>
          <w:tblCellMar>
            <w:top w:w="0" w:type="dxa"/>
            <w:left w:w="108" w:type="dxa"/>
            <w:bottom w:w="0" w:type="dxa"/>
            <w:right w:w="108" w:type="dxa"/>
          </w:tblCellMar>
        </w:tblPrEx>
        <w:tc>
          <w:tcPr>
            <w:tcW w:w="1471" w:type="dxa"/>
            <w:shd w:val="clear" w:color="auto" w:fill="002060"/>
            <w:vAlign w:val="center"/>
          </w:tcPr>
          <w:p>
            <w:pPr>
              <w:widowControl/>
              <w:jc w:val="center"/>
              <w:rPr>
                <w:rFonts w:ascii="微软雅黑" w:hAnsi="微软雅黑" w:eastAsia="微软雅黑" w:cs="宋体"/>
                <w:b/>
                <w:bCs w:val="0"/>
                <w:kern w:val="0"/>
                <w:sz w:val="20"/>
                <w:szCs w:val="18"/>
              </w:rPr>
            </w:pPr>
            <w:r>
              <w:rPr>
                <w:rFonts w:hint="eastAsia" w:ascii="微软雅黑" w:hAnsi="微软雅黑" w:eastAsia="微软雅黑" w:cs="MicrosoftYaHei"/>
                <w:b/>
                <w:bCs/>
                <w:kern w:val="0"/>
                <w:sz w:val="22"/>
              </w:rPr>
              <w:t>基因名称</w:t>
            </w:r>
          </w:p>
        </w:tc>
        <w:tc>
          <w:tcPr>
            <w:tcW w:w="1551" w:type="dxa"/>
            <w:shd w:val="clear" w:color="auto" w:fill="002060"/>
            <w:vAlign w:val="center"/>
          </w:tcPr>
          <w:p>
            <w:pPr>
              <w:widowControl/>
              <w:spacing w:line="400" w:lineRule="exact"/>
              <w:jc w:val="center"/>
              <w:rPr>
                <w:rFonts w:ascii="微软雅黑" w:hAnsi="微软雅黑" w:eastAsia="微软雅黑" w:cs="宋体"/>
                <w:b/>
                <w:kern w:val="0"/>
                <w:sz w:val="20"/>
                <w:szCs w:val="18"/>
              </w:rPr>
            </w:pPr>
            <w:r>
              <w:rPr>
                <w:rFonts w:hint="eastAsia" w:ascii="微软雅黑" w:hAnsi="微软雅黑" w:eastAsia="微软雅黑" w:cs="MicrosoftYaHei"/>
                <w:b/>
                <w:kern w:val="0"/>
                <w:sz w:val="22"/>
              </w:rPr>
              <w:t>变异类型</w:t>
            </w:r>
          </w:p>
        </w:tc>
        <w:tc>
          <w:tcPr>
            <w:tcW w:w="2256" w:type="dxa"/>
            <w:shd w:val="clear" w:color="auto" w:fill="002060"/>
            <w:vAlign w:val="center"/>
          </w:tcPr>
          <w:p>
            <w:pPr>
              <w:widowControl/>
              <w:spacing w:line="400" w:lineRule="exact"/>
              <w:jc w:val="center"/>
              <w:rPr>
                <w:rFonts w:ascii="微软雅黑" w:hAnsi="微软雅黑" w:eastAsia="微软雅黑" w:cs="宋体"/>
                <w:b/>
                <w:kern w:val="0"/>
                <w:sz w:val="20"/>
                <w:szCs w:val="18"/>
              </w:rPr>
            </w:pPr>
            <w:r>
              <w:rPr>
                <w:rFonts w:hint="eastAsia" w:ascii="微软雅黑" w:hAnsi="微软雅黑" w:eastAsia="微软雅黑" w:cs="MicrosoftYaHei"/>
                <w:b/>
                <w:kern w:val="0"/>
                <w:sz w:val="22"/>
              </w:rPr>
              <w:t>靶向药</w:t>
            </w:r>
          </w:p>
        </w:tc>
        <w:tc>
          <w:tcPr>
            <w:tcW w:w="1548" w:type="dxa"/>
            <w:shd w:val="clear" w:color="auto" w:fill="002060"/>
            <w:vAlign w:val="center"/>
          </w:tcPr>
          <w:p>
            <w:pPr>
              <w:widowControl/>
              <w:jc w:val="center"/>
              <w:rPr>
                <w:rFonts w:ascii="微软雅黑" w:hAnsi="微软雅黑" w:eastAsia="微软雅黑" w:cs="宋体"/>
                <w:b/>
                <w:kern w:val="0"/>
                <w:sz w:val="20"/>
                <w:szCs w:val="18"/>
              </w:rPr>
            </w:pPr>
            <w:r>
              <w:rPr>
                <w:rFonts w:hint="eastAsia" w:ascii="微软雅黑" w:hAnsi="微软雅黑" w:eastAsia="微软雅黑" w:cs="MicrosoftYaHei"/>
                <w:b/>
                <w:kern w:val="0"/>
                <w:sz w:val="22"/>
              </w:rPr>
              <w:t>适用癌种</w:t>
            </w:r>
          </w:p>
        </w:tc>
        <w:tc>
          <w:tcPr>
            <w:tcW w:w="1480" w:type="dxa"/>
            <w:shd w:val="clear" w:color="auto" w:fill="002060"/>
            <w:vAlign w:val="center"/>
          </w:tcPr>
          <w:p>
            <w:pPr>
              <w:widowControl/>
              <w:jc w:val="center"/>
              <w:rPr>
                <w:rFonts w:ascii="微软雅黑" w:hAnsi="微软雅黑" w:eastAsia="微软雅黑" w:cs="宋体"/>
                <w:b/>
                <w:kern w:val="0"/>
                <w:sz w:val="20"/>
                <w:szCs w:val="18"/>
              </w:rPr>
            </w:pPr>
            <w:r>
              <w:rPr>
                <w:rFonts w:hint="eastAsia" w:ascii="微软雅黑" w:hAnsi="微软雅黑" w:eastAsia="微软雅黑" w:cs="MicrosoftYaHei"/>
                <w:b/>
                <w:kern w:val="0"/>
                <w:sz w:val="22"/>
              </w:rPr>
              <w:t>检测结果</w:t>
            </w:r>
          </w:p>
        </w:tc>
      </w:tr>
      <w:tr>
        <w:tblPrEx>
          <w:tblLayout w:type="fixed"/>
          <w:tblCellMar>
            <w:top w:w="0" w:type="dxa"/>
            <w:left w:w="108" w:type="dxa"/>
            <w:bottom w:w="0" w:type="dxa"/>
            <w:right w:w="108" w:type="dxa"/>
          </w:tblCellMar>
        </w:tblPrEx>
        <w:tc>
          <w:tcPr>
            <w:tcW w:w="1471" w:type="dxa"/>
            <w:vAlign w:val="center"/>
          </w:tcPr>
          <w:p>
            <w:pPr>
              <w:widowControl/>
              <w:jc w:val="center"/>
              <w:rPr>
                <w:rFonts w:ascii="微软雅黑" w:hAnsi="微软雅黑" w:eastAsia="微软雅黑" w:cs="宋体"/>
                <w:b w:val="0"/>
                <w:bCs w:val="0"/>
                <w:kern w:val="0"/>
                <w:sz w:val="20"/>
                <w:szCs w:val="18"/>
              </w:rPr>
            </w:pPr>
            <w:r>
              <w:rPr>
                <w:rFonts w:hint="eastAsia" w:ascii="微软雅黑" w:hAnsi="微软雅黑" w:eastAsia="微软雅黑" w:cs="宋体"/>
                <w:b w:val="0"/>
                <w:bCs w:val="0"/>
                <w:kern w:val="0"/>
                <w:sz w:val="20"/>
                <w:szCs w:val="18"/>
              </w:rPr>
              <w:t>M</w:t>
            </w:r>
            <w:r>
              <w:rPr>
                <w:rFonts w:ascii="微软雅黑" w:hAnsi="微软雅黑" w:eastAsia="微软雅黑" w:cs="宋体"/>
                <w:b w:val="0"/>
                <w:bCs w:val="0"/>
                <w:kern w:val="0"/>
                <w:sz w:val="20"/>
                <w:szCs w:val="18"/>
              </w:rPr>
              <w:t>ET</w:t>
            </w:r>
          </w:p>
        </w:tc>
        <w:tc>
          <w:tcPr>
            <w:tcW w:w="1551" w:type="dxa"/>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基因扩增；1</w:t>
            </w:r>
            <w:r>
              <w:rPr>
                <w:rFonts w:ascii="微软雅黑" w:hAnsi="微软雅黑" w:eastAsia="微软雅黑" w:cs="宋体"/>
                <w:kern w:val="0"/>
                <w:sz w:val="20"/>
                <w:szCs w:val="18"/>
              </w:rPr>
              <w:t>4</w:t>
            </w:r>
            <w:r>
              <w:rPr>
                <w:rFonts w:hint="eastAsia" w:ascii="微软雅黑" w:hAnsi="微软雅黑" w:eastAsia="微软雅黑" w:cs="宋体"/>
                <w:kern w:val="0"/>
                <w:sz w:val="20"/>
                <w:szCs w:val="18"/>
              </w:rPr>
              <w:t>号外显子跳跃</w:t>
            </w:r>
          </w:p>
        </w:tc>
        <w:tc>
          <w:tcPr>
            <w:tcW w:w="2256" w:type="dxa"/>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克挫替尼</w:t>
            </w:r>
          </w:p>
        </w:tc>
        <w:tc>
          <w:tcPr>
            <w:tcW w:w="1548" w:type="dxa"/>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非小细胞肺癌</w:t>
            </w:r>
          </w:p>
        </w:tc>
        <w:tc>
          <w:tcPr>
            <w:tcW w:w="1480" w:type="dxa"/>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color w:val="00B050"/>
                <w:kern w:val="0"/>
                <w:sz w:val="20"/>
                <w:szCs w:val="18"/>
              </w:rPr>
              <w:t>野生型</w:t>
            </w:r>
          </w:p>
        </w:tc>
      </w:tr>
      <w:tr>
        <w:tblPrEx>
          <w:tblLayout w:type="fixed"/>
          <w:tblCellMar>
            <w:top w:w="0" w:type="dxa"/>
            <w:left w:w="108" w:type="dxa"/>
            <w:bottom w:w="0" w:type="dxa"/>
            <w:right w:w="108" w:type="dxa"/>
          </w:tblCellMar>
        </w:tblPrEx>
        <w:tc>
          <w:tcPr>
            <w:tcW w:w="8306" w:type="dxa"/>
            <w:gridSpan w:val="5"/>
            <w:shd w:val="clear" w:color="auto" w:fill="F1F1F1" w:themeFill="background1" w:themeFillShade="F2"/>
            <w:vAlign w:val="center"/>
          </w:tcPr>
          <w:p>
            <w:pPr>
              <w:widowControl/>
              <w:spacing w:line="400" w:lineRule="exact"/>
              <w:ind w:left="99" w:leftChars="47"/>
              <w:rPr>
                <w:rFonts w:ascii="微软雅黑" w:hAnsi="微软雅黑" w:eastAsia="微软雅黑" w:cs="宋体"/>
                <w:b/>
                <w:bCs/>
                <w:kern w:val="0"/>
                <w:sz w:val="20"/>
                <w:szCs w:val="18"/>
              </w:rPr>
            </w:pPr>
            <w:r>
              <w:rPr>
                <w:rFonts w:ascii="微软雅黑" w:hAnsi="微软雅黑" w:eastAsia="微软雅黑" w:cs="宋体"/>
                <w:b w:val="0"/>
                <w:bCs w:val="0"/>
                <w:kern w:val="0"/>
                <w:sz w:val="20"/>
                <w:szCs w:val="18"/>
              </w:rPr>
              <w:t>MET 基因编码一种受体酪氨酸激酶（RTK）</w:t>
            </w:r>
            <w:r>
              <w:rPr>
                <w:rFonts w:hint="eastAsia" w:ascii="微软雅黑" w:hAnsi="微软雅黑" w:eastAsia="微软雅黑" w:cs="宋体"/>
                <w:b w:val="0"/>
                <w:bCs w:val="0"/>
                <w:kern w:val="0"/>
                <w:sz w:val="20"/>
                <w:szCs w:val="18"/>
              </w:rPr>
              <w:t>,</w:t>
            </w:r>
            <w:r>
              <w:rPr>
                <w:rFonts w:ascii="微软雅黑" w:hAnsi="微软雅黑" w:eastAsia="微软雅黑" w:cs="宋体"/>
                <w:b w:val="0"/>
                <w:bCs w:val="0"/>
                <w:kern w:val="0"/>
                <w:sz w:val="20"/>
                <w:szCs w:val="18"/>
              </w:rPr>
              <w:t>与其配体肝细胞生长因子（HG）的结合，诱导 MET 受体的构象变化，由此磷酸化和激活。活化的 MET 接着磷酸化其底物，从而激活下游多个途径，包括涉及细胞存活的 PI3K-AKT-mTOR 途径，参与细胞增殖的 RAS-RAF-MEK-ERK 通路。</w:t>
            </w:r>
          </w:p>
        </w:tc>
      </w:tr>
      <w:tr>
        <w:tblPrEx>
          <w:tblLayout w:type="fixed"/>
          <w:tblCellMar>
            <w:top w:w="0" w:type="dxa"/>
            <w:left w:w="108" w:type="dxa"/>
            <w:bottom w:w="0" w:type="dxa"/>
            <w:right w:w="108" w:type="dxa"/>
          </w:tblCellMar>
        </w:tblPrEx>
        <w:tc>
          <w:tcPr>
            <w:tcW w:w="1471" w:type="dxa"/>
            <w:vAlign w:val="center"/>
          </w:tcPr>
          <w:p>
            <w:pPr>
              <w:widowControl/>
              <w:jc w:val="center"/>
              <w:rPr>
                <w:rFonts w:ascii="微软雅黑" w:hAnsi="微软雅黑" w:eastAsia="微软雅黑" w:cs="宋体"/>
                <w:b w:val="0"/>
                <w:bCs w:val="0"/>
                <w:kern w:val="0"/>
                <w:sz w:val="20"/>
                <w:szCs w:val="18"/>
              </w:rPr>
            </w:pPr>
            <w:r>
              <w:rPr>
                <w:rFonts w:hint="eastAsia" w:ascii="微软雅黑" w:hAnsi="微软雅黑" w:eastAsia="微软雅黑" w:cs="宋体"/>
                <w:b w:val="0"/>
                <w:bCs w:val="0"/>
                <w:kern w:val="0"/>
                <w:sz w:val="20"/>
                <w:szCs w:val="18"/>
              </w:rPr>
              <w:t>R</w:t>
            </w:r>
            <w:r>
              <w:rPr>
                <w:rFonts w:ascii="微软雅黑" w:hAnsi="微软雅黑" w:eastAsia="微软雅黑" w:cs="宋体"/>
                <w:b w:val="0"/>
                <w:bCs w:val="0"/>
                <w:kern w:val="0"/>
                <w:sz w:val="20"/>
                <w:szCs w:val="18"/>
              </w:rPr>
              <w:t>ET</w:t>
            </w:r>
          </w:p>
        </w:tc>
        <w:tc>
          <w:tcPr>
            <w:tcW w:w="1551" w:type="dxa"/>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基因重排</w:t>
            </w:r>
          </w:p>
        </w:tc>
        <w:tc>
          <w:tcPr>
            <w:tcW w:w="2256" w:type="dxa"/>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卡博替尼；凡德他尼</w:t>
            </w:r>
          </w:p>
        </w:tc>
        <w:tc>
          <w:tcPr>
            <w:tcW w:w="1548" w:type="dxa"/>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非小细胞肺癌</w:t>
            </w:r>
          </w:p>
        </w:tc>
        <w:tc>
          <w:tcPr>
            <w:tcW w:w="1480" w:type="dxa"/>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color w:val="00B050"/>
                <w:kern w:val="0"/>
                <w:sz w:val="20"/>
                <w:szCs w:val="18"/>
              </w:rPr>
              <w:t>野生型</w:t>
            </w:r>
          </w:p>
        </w:tc>
      </w:tr>
      <w:tr>
        <w:tblPrEx>
          <w:tblLayout w:type="fixed"/>
          <w:tblCellMar>
            <w:top w:w="0" w:type="dxa"/>
            <w:left w:w="108" w:type="dxa"/>
            <w:bottom w:w="0" w:type="dxa"/>
            <w:right w:w="108" w:type="dxa"/>
          </w:tblCellMar>
        </w:tblPrEx>
        <w:tc>
          <w:tcPr>
            <w:tcW w:w="8306" w:type="dxa"/>
            <w:gridSpan w:val="5"/>
            <w:shd w:val="clear" w:color="auto" w:fill="F1F1F1" w:themeFill="background1" w:themeFillShade="F2"/>
            <w:vAlign w:val="center"/>
          </w:tcPr>
          <w:p>
            <w:pPr>
              <w:widowControl/>
              <w:spacing w:line="400" w:lineRule="exact"/>
              <w:ind w:left="99" w:leftChars="47"/>
              <w:rPr>
                <w:rFonts w:ascii="微软雅黑" w:hAnsi="微软雅黑" w:eastAsia="微软雅黑" w:cs="宋体"/>
                <w:b/>
                <w:bCs/>
                <w:kern w:val="0"/>
                <w:sz w:val="20"/>
                <w:szCs w:val="18"/>
              </w:rPr>
            </w:pPr>
            <w:r>
              <w:rPr>
                <w:rFonts w:ascii="微软雅黑" w:hAnsi="微软雅黑" w:eastAsia="微软雅黑" w:cs="宋体"/>
                <w:b w:val="0"/>
                <w:bCs w:val="0"/>
                <w:kern w:val="0"/>
                <w:sz w:val="20"/>
                <w:szCs w:val="18"/>
              </w:rPr>
              <w:t>RET基因位于10号染色体上，编码一种受体酪氨酸激酶（RTK），属于RTK的 RET 家庭。RET 基因在神经嵴发育中起到至关重要的作用</w:t>
            </w:r>
            <w:r>
              <w:rPr>
                <w:rFonts w:hint="eastAsia" w:ascii="微软雅黑" w:hAnsi="微软雅黑" w:eastAsia="微软雅黑" w:cs="宋体"/>
                <w:b w:val="0"/>
                <w:bCs w:val="0"/>
                <w:kern w:val="0"/>
                <w:sz w:val="20"/>
                <w:szCs w:val="18"/>
              </w:rPr>
              <w:t>，</w:t>
            </w:r>
            <w:r>
              <w:rPr>
                <w:rFonts w:ascii="微软雅黑" w:hAnsi="微软雅黑" w:eastAsia="微软雅黑" w:cs="宋体"/>
                <w:b w:val="0"/>
                <w:bCs w:val="0"/>
                <w:kern w:val="0"/>
                <w:sz w:val="20"/>
                <w:szCs w:val="18"/>
              </w:rPr>
              <w:t>与带有胞外信号分子的胶质细胞源性神经营养因子（GDNF）配体家族 2 的结合，诱导受体磷酸化和激活。活化的 RET 进一步磷酸化其底物，最终激活多个下游的细胞通路 3。</w:t>
            </w:r>
          </w:p>
        </w:tc>
      </w:tr>
      <w:tr>
        <w:tblPrEx>
          <w:tblLayout w:type="fixed"/>
          <w:tblCellMar>
            <w:top w:w="0" w:type="dxa"/>
            <w:left w:w="108" w:type="dxa"/>
            <w:bottom w:w="0" w:type="dxa"/>
            <w:right w:w="108" w:type="dxa"/>
          </w:tblCellMar>
        </w:tblPrEx>
        <w:tc>
          <w:tcPr>
            <w:tcW w:w="1471" w:type="dxa"/>
            <w:vAlign w:val="center"/>
          </w:tcPr>
          <w:p>
            <w:pPr>
              <w:widowControl/>
              <w:jc w:val="center"/>
              <w:rPr>
                <w:rFonts w:ascii="微软雅黑" w:hAnsi="微软雅黑" w:eastAsia="微软雅黑" w:cs="宋体"/>
                <w:b w:val="0"/>
                <w:bCs w:val="0"/>
                <w:kern w:val="0"/>
                <w:sz w:val="20"/>
                <w:szCs w:val="18"/>
              </w:rPr>
            </w:pPr>
            <w:r>
              <w:rPr>
                <w:rFonts w:hint="eastAsia" w:ascii="微软雅黑" w:hAnsi="微软雅黑" w:eastAsia="微软雅黑" w:cs="宋体"/>
                <w:b w:val="0"/>
                <w:bCs w:val="0"/>
                <w:kern w:val="0"/>
                <w:sz w:val="20"/>
                <w:szCs w:val="18"/>
              </w:rPr>
              <w:t>R</w:t>
            </w:r>
            <w:r>
              <w:rPr>
                <w:rFonts w:ascii="微软雅黑" w:hAnsi="微软雅黑" w:eastAsia="微软雅黑" w:cs="宋体"/>
                <w:b w:val="0"/>
                <w:bCs w:val="0"/>
                <w:kern w:val="0"/>
                <w:sz w:val="20"/>
                <w:szCs w:val="18"/>
              </w:rPr>
              <w:t>OS1</w:t>
            </w:r>
          </w:p>
        </w:tc>
        <w:tc>
          <w:tcPr>
            <w:tcW w:w="1551" w:type="dxa"/>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基因重排</w:t>
            </w:r>
          </w:p>
        </w:tc>
        <w:tc>
          <w:tcPr>
            <w:tcW w:w="2256" w:type="dxa"/>
            <w:vAlign w:val="center"/>
          </w:tcPr>
          <w:p>
            <w:pPr>
              <w:widowControl/>
              <w:spacing w:line="400" w:lineRule="exact"/>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克挫替尼</w:t>
            </w:r>
          </w:p>
        </w:tc>
        <w:tc>
          <w:tcPr>
            <w:tcW w:w="1548" w:type="dxa"/>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kern w:val="0"/>
                <w:sz w:val="20"/>
                <w:szCs w:val="18"/>
              </w:rPr>
              <w:t>非小细胞肺癌</w:t>
            </w:r>
          </w:p>
        </w:tc>
        <w:tc>
          <w:tcPr>
            <w:tcW w:w="1480" w:type="dxa"/>
            <w:vAlign w:val="center"/>
          </w:tcPr>
          <w:p>
            <w:pPr>
              <w:widowControl/>
              <w:jc w:val="center"/>
              <w:rPr>
                <w:rFonts w:ascii="微软雅黑" w:hAnsi="微软雅黑" w:eastAsia="微软雅黑" w:cs="宋体"/>
                <w:kern w:val="0"/>
                <w:sz w:val="20"/>
                <w:szCs w:val="18"/>
              </w:rPr>
            </w:pPr>
            <w:r>
              <w:rPr>
                <w:rFonts w:hint="eastAsia" w:ascii="微软雅黑" w:hAnsi="微软雅黑" w:eastAsia="微软雅黑" w:cs="宋体"/>
                <w:color w:val="00B050"/>
                <w:kern w:val="0"/>
                <w:sz w:val="20"/>
                <w:szCs w:val="18"/>
              </w:rPr>
              <w:t>野生型</w:t>
            </w:r>
          </w:p>
        </w:tc>
      </w:tr>
      <w:tr>
        <w:tblPrEx>
          <w:tblLayout w:type="fixed"/>
          <w:tblCellMar>
            <w:top w:w="0" w:type="dxa"/>
            <w:left w:w="108" w:type="dxa"/>
            <w:bottom w:w="0" w:type="dxa"/>
            <w:right w:w="108" w:type="dxa"/>
          </w:tblCellMar>
        </w:tblPrEx>
        <w:tc>
          <w:tcPr>
            <w:tcW w:w="8306" w:type="dxa"/>
            <w:gridSpan w:val="5"/>
            <w:shd w:val="clear" w:color="auto" w:fill="F1F1F1" w:themeFill="background1" w:themeFillShade="F2"/>
            <w:vAlign w:val="center"/>
          </w:tcPr>
          <w:p>
            <w:pPr>
              <w:widowControl/>
              <w:spacing w:line="400" w:lineRule="exact"/>
              <w:ind w:left="99" w:leftChars="47"/>
              <w:rPr>
                <w:rFonts w:ascii="微软雅黑" w:hAnsi="微软雅黑" w:eastAsia="微软雅黑" w:cs="宋体"/>
                <w:b/>
                <w:bCs/>
                <w:kern w:val="0"/>
                <w:sz w:val="20"/>
                <w:szCs w:val="18"/>
              </w:rPr>
            </w:pPr>
            <w:r>
              <w:rPr>
                <w:rFonts w:ascii="微软雅黑" w:hAnsi="微软雅黑" w:eastAsia="微软雅黑" w:cs="宋体"/>
                <w:b w:val="0"/>
                <w:bCs w:val="0"/>
                <w:kern w:val="0"/>
                <w:sz w:val="20"/>
                <w:szCs w:val="18"/>
              </w:rPr>
              <w:t>ROS1是一种受体酪氨酸激酶（RTK），属于胰岛素受体家族。最早在胶质母细胞瘤发现了涉及 ROS1基因的染色体重排如 FIG-ROS1，在染色体的6q22位置。最近，ROS1 融合被确定为非小细胞肺癌和胆管癌的一个潜在驱动突变基因</w:t>
            </w:r>
            <w:r>
              <w:rPr>
                <w:rFonts w:hint="eastAsia" w:ascii="微软雅黑" w:hAnsi="微软雅黑" w:eastAsia="微软雅黑" w:cs="宋体"/>
                <w:b w:val="0"/>
                <w:bCs w:val="0"/>
                <w:kern w:val="0"/>
                <w:sz w:val="20"/>
                <w:szCs w:val="18"/>
              </w:rPr>
              <w:t>。</w:t>
            </w:r>
          </w:p>
        </w:tc>
      </w:tr>
    </w:tbl>
    <w:p>
      <w:pPr>
        <w:widowControl/>
        <w:jc w:val="left"/>
        <w:rPr>
          <w:rFonts w:ascii="微软雅黑" w:hAnsi="微软雅黑" w:eastAsia="微软雅黑" w:cs="MicrosoftYaHei"/>
          <w:b/>
          <w:color w:val="000000" w:themeColor="text1"/>
          <w:kern w:val="0"/>
          <w:sz w:val="36"/>
          <w:szCs w:val="24"/>
          <w14:textFill>
            <w14:solidFill>
              <w14:schemeClr w14:val="tx1"/>
            </w14:solidFill>
          </w14:textFill>
        </w:rPr>
      </w:pPr>
    </w:p>
    <w:p>
      <w:pPr>
        <w:widowControl/>
        <w:jc w:val="left"/>
        <w:rPr>
          <w:rFonts w:ascii="微软雅黑" w:hAnsi="微软雅黑" w:eastAsia="微软雅黑" w:cs="MicrosoftYaHei"/>
          <w:b/>
          <w:color w:val="000000" w:themeColor="text1"/>
          <w:kern w:val="0"/>
          <w:sz w:val="36"/>
          <w:szCs w:val="24"/>
          <w14:textFill>
            <w14:solidFill>
              <w14:schemeClr w14:val="tx1"/>
            </w14:solidFill>
          </w14:textFill>
        </w:rPr>
      </w:pPr>
    </w:p>
    <w:p>
      <w:pPr>
        <w:widowControl/>
        <w:jc w:val="left"/>
        <w:rPr>
          <w:rFonts w:ascii="微软雅黑" w:hAnsi="微软雅黑" w:eastAsia="微软雅黑" w:cs="MicrosoftYaHei"/>
          <w:b/>
          <w:color w:val="000000" w:themeColor="text1"/>
          <w:kern w:val="0"/>
          <w:sz w:val="36"/>
          <w:szCs w:val="24"/>
          <w14:textFill>
            <w14:solidFill>
              <w14:schemeClr w14:val="tx1"/>
            </w14:solidFill>
          </w14:textFill>
        </w:rPr>
      </w:pPr>
    </w:p>
    <w:p>
      <w:pPr>
        <w:widowControl/>
        <w:jc w:val="left"/>
        <w:rPr>
          <w:rFonts w:ascii="微软雅黑" w:hAnsi="微软雅黑" w:eastAsia="微软雅黑" w:cs="MicrosoftYaHei"/>
          <w:b/>
          <w:color w:val="000000" w:themeColor="text1"/>
          <w:kern w:val="0"/>
          <w:sz w:val="36"/>
          <w:szCs w:val="24"/>
          <w14:textFill>
            <w14:solidFill>
              <w14:schemeClr w14:val="tx1"/>
            </w14:solidFill>
          </w14:textFill>
        </w:rPr>
      </w:pPr>
    </w:p>
    <w:p>
      <w:pPr>
        <w:widowControl/>
        <w:jc w:val="left"/>
        <w:rPr>
          <w:rFonts w:ascii="微软雅黑" w:hAnsi="微软雅黑" w:eastAsia="微软雅黑" w:cs="MicrosoftYaHei"/>
          <w:b/>
          <w:color w:val="000000" w:themeColor="text1"/>
          <w:kern w:val="0"/>
          <w:sz w:val="36"/>
          <w:szCs w:val="24"/>
          <w14:textFill>
            <w14:solidFill>
              <w14:schemeClr w14:val="tx1"/>
            </w14:solidFill>
          </w14:textFill>
        </w:rPr>
      </w:pPr>
      <w:r>
        <w:rPr>
          <w:rFonts w:ascii="微软雅黑" w:hAnsi="微软雅黑" w:eastAsia="微软雅黑" w:cs="MicrosoftYaHei"/>
          <w:b/>
          <w:color w:val="000000" w:themeColor="text1"/>
          <w:kern w:val="0"/>
          <w:sz w:val="36"/>
          <w:szCs w:val="24"/>
          <w14:textFill>
            <w14:solidFill>
              <w14:schemeClr w14:val="tx1"/>
            </w14:solidFill>
          </w14:textFill>
        </w:rPr>
        <w:br w:type="page"/>
      </w:r>
    </w:p>
    <w:p>
      <w:pPr>
        <w:widowControl/>
        <w:jc w:val="left"/>
        <w:outlineLvl w:val="1"/>
        <w:rPr>
          <w:rFonts w:ascii="微软雅黑" w:hAnsi="微软雅黑" w:eastAsia="微软雅黑" w:cs="MicrosoftYaHei"/>
          <w:b/>
          <w:color w:val="000000" w:themeColor="text1"/>
          <w:kern w:val="0"/>
          <w:sz w:val="28"/>
          <w:szCs w:val="24"/>
          <w14:textFill>
            <w14:solidFill>
              <w14:schemeClr w14:val="tx1"/>
            </w14:solidFill>
          </w14:textFill>
        </w:rPr>
      </w:pPr>
      <w:bookmarkStart w:id="8" w:name="_Toc512352436"/>
      <w:r>
        <w:rPr>
          <w:rFonts w:hint="eastAsia" w:ascii="微软雅黑" w:hAnsi="微软雅黑" w:eastAsia="微软雅黑" w:cs="MicrosoftYaHei"/>
          <w:b/>
          <w:color w:val="000000" w:themeColor="text1"/>
          <w:kern w:val="0"/>
          <w:sz w:val="28"/>
          <w:szCs w:val="24"/>
          <w14:textFill>
            <w14:solidFill>
              <w14:schemeClr w14:val="tx1"/>
            </w14:solidFill>
          </w14:textFill>
        </w:rPr>
        <w:t>免疫用药基因检测结果</w:t>
      </w:r>
      <w:bookmarkEnd w:id="8"/>
    </w:p>
    <w:p>
      <w:pPr>
        <w:widowControl/>
        <w:numPr>
          <w:ilvl w:val="0"/>
          <w:numId w:val="1"/>
        </w:numPr>
        <w:jc w:val="left"/>
        <w:rPr>
          <w:rFonts w:ascii="微软雅黑" w:hAnsi="微软雅黑" w:eastAsia="微软雅黑" w:cs="MicrosoftYaHei"/>
          <w:b/>
          <w:color w:val="203864" w:themeColor="accent1" w:themeShade="80"/>
          <w:kern w:val="0"/>
          <w:sz w:val="24"/>
          <w:szCs w:val="24"/>
        </w:rPr>
      </w:pPr>
      <w:r>
        <w:rPr>
          <w:rFonts w:hint="eastAsia" w:ascii="微软雅黑" w:hAnsi="微软雅黑" w:eastAsia="微软雅黑" w:cs="MicrosoftYaHei"/>
          <w:b/>
          <w:color w:val="203864" w:themeColor="accent1" w:themeShade="80"/>
          <w:kern w:val="0"/>
          <w:sz w:val="24"/>
          <w:szCs w:val="24"/>
        </w:rPr>
        <w:t>肿瘤突变负荷（T</w:t>
      </w:r>
      <w:r>
        <w:rPr>
          <w:rFonts w:ascii="微软雅黑" w:hAnsi="微软雅黑" w:eastAsia="微软雅黑" w:cs="MicrosoftYaHei"/>
          <w:b/>
          <w:color w:val="203864" w:themeColor="accent1" w:themeShade="80"/>
          <w:kern w:val="0"/>
          <w:sz w:val="24"/>
          <w:szCs w:val="24"/>
        </w:rPr>
        <w:t>MB</w:t>
      </w:r>
      <w:r>
        <w:rPr>
          <w:rFonts w:hint="eastAsia" w:ascii="微软雅黑" w:hAnsi="微软雅黑" w:eastAsia="微软雅黑" w:cs="MicrosoftYaHei"/>
          <w:b/>
          <w:color w:val="203864" w:themeColor="accent1" w:themeShade="80"/>
          <w:kern w:val="0"/>
          <w:sz w:val="24"/>
          <w:szCs w:val="24"/>
        </w:rPr>
        <w:t>）评估</w:t>
      </w:r>
    </w:p>
    <w:tbl>
      <w:tblPr>
        <w:tblStyle w:val="11"/>
        <w:tblW w:w="8306" w:type="dxa"/>
        <w:tblInd w:w="0" w:type="dxa"/>
        <w:shd w:val="clear" w:color="auto" w:fill="DADADA" w:themeFill="accent3" w:themeFillTint="66"/>
        <w:tblLayout w:type="fixed"/>
        <w:tblCellMar>
          <w:top w:w="0" w:type="dxa"/>
          <w:left w:w="108" w:type="dxa"/>
          <w:bottom w:w="0" w:type="dxa"/>
          <w:right w:w="108" w:type="dxa"/>
        </w:tblCellMar>
      </w:tblPr>
      <w:tblGrid>
        <w:gridCol w:w="8306"/>
      </w:tblGrid>
      <w:tr>
        <w:tblPrEx>
          <w:tblLayout w:type="fixed"/>
          <w:tblCellMar>
            <w:top w:w="0" w:type="dxa"/>
            <w:left w:w="108" w:type="dxa"/>
            <w:bottom w:w="0" w:type="dxa"/>
            <w:right w:w="108" w:type="dxa"/>
          </w:tblCellMar>
        </w:tblPrEx>
        <w:tc>
          <w:tcPr>
            <w:tcW w:w="8306" w:type="dxa"/>
            <w:shd w:val="clear" w:color="auto" w:fill="DADADA" w:themeFill="accent3" w:themeFillTint="66"/>
          </w:tcPr>
          <w:p>
            <w:pPr>
              <w:widowControl/>
              <w:jc w:val="left"/>
              <w:rPr>
                <w:rFonts w:ascii="微软雅黑" w:hAnsi="微软雅黑" w:eastAsia="微软雅黑" w:cs="MicrosoftYaHei"/>
                <w:b w:val="0"/>
                <w:bCs/>
                <w:color w:val="000000" w:themeColor="text1"/>
                <w:kern w:val="0"/>
                <w:sz w:val="28"/>
                <w:szCs w:val="24"/>
                <w14:textFill>
                  <w14:solidFill>
                    <w14:schemeClr w14:val="tx1"/>
                  </w14:solidFill>
                </w14:textFill>
              </w:rPr>
            </w:pPr>
            <w:r>
              <w:rPr>
                <w:rFonts w:hint="eastAsia" w:ascii="微软雅黑" w:hAnsi="微软雅黑" w:eastAsia="微软雅黑" w:cs="MicrosoftYaHei"/>
                <w:b w:val="0"/>
                <w:bCs/>
                <w:kern w:val="0"/>
                <w:sz w:val="24"/>
                <w:szCs w:val="24"/>
              </w:rPr>
              <w:t>突变负荷（</w:t>
            </w:r>
            <w:r>
              <w:rPr>
                <w:rFonts w:ascii="微软雅黑" w:hAnsi="微软雅黑" w:eastAsia="微软雅黑" w:cs="TimesNewRomanPS-BoldMT"/>
                <w:b w:val="0"/>
                <w:bCs w:val="0"/>
                <w:kern w:val="0"/>
                <w:sz w:val="24"/>
                <w:szCs w:val="24"/>
              </w:rPr>
              <w:t>TMB; Non-synonymous Mutations per Mb</w:t>
            </w:r>
            <w:r>
              <w:rPr>
                <w:rFonts w:hint="eastAsia" w:ascii="微软雅黑" w:hAnsi="微软雅黑" w:eastAsia="微软雅黑" w:cs="MicrosoftYaHei"/>
                <w:b w:val="0"/>
                <w:bCs/>
                <w:kern w:val="0"/>
                <w:sz w:val="24"/>
                <w:szCs w:val="24"/>
              </w:rPr>
              <w:t>）</w:t>
            </w:r>
            <w:r>
              <w:rPr>
                <w:rFonts w:ascii="微软雅黑" w:hAnsi="微软雅黑" w:eastAsia="微软雅黑" w:cs="TimesNewRomanPS-BoldMT"/>
                <w:b w:val="0"/>
                <w:bCs w:val="0"/>
                <w:kern w:val="0"/>
                <w:sz w:val="24"/>
                <w:szCs w:val="24"/>
              </w:rPr>
              <w:t>: 3.314</w:t>
            </w:r>
          </w:p>
        </w:tc>
      </w:tr>
      <w:tr>
        <w:tblPrEx>
          <w:tblLayout w:type="fixed"/>
          <w:tblCellMar>
            <w:top w:w="0" w:type="dxa"/>
            <w:left w:w="108" w:type="dxa"/>
            <w:bottom w:w="0" w:type="dxa"/>
            <w:right w:w="108" w:type="dxa"/>
          </w:tblCellMar>
        </w:tblPrEx>
        <w:tc>
          <w:tcPr>
            <w:tcW w:w="8306" w:type="dxa"/>
            <w:shd w:val="clear" w:color="auto" w:fill="DADADA" w:themeFill="accent3" w:themeFillTint="66"/>
          </w:tcPr>
          <w:p>
            <w:pPr>
              <w:widowControl/>
              <w:jc w:val="left"/>
              <w:rPr>
                <w:rFonts w:ascii="微软雅黑" w:hAnsi="微软雅黑" w:eastAsia="微软雅黑" w:cs="MicrosoftYaHei"/>
                <w:b w:val="0"/>
                <w:bCs/>
                <w:color w:val="000000" w:themeColor="text1"/>
                <w:kern w:val="0"/>
                <w:sz w:val="24"/>
                <w:szCs w:val="24"/>
                <w14:textFill>
                  <w14:solidFill>
                    <w14:schemeClr w14:val="tx1"/>
                  </w14:solidFill>
                </w14:textFill>
              </w:rPr>
            </w:pPr>
            <w:r>
              <w:rPr>
                <w:rFonts w:hint="eastAsia" w:ascii="微软雅黑" w:hAnsi="微软雅黑" w:eastAsia="微软雅黑" w:cs="MicrosoftYaHei"/>
                <w:b w:val="0"/>
                <w:bCs/>
                <w:kern w:val="0"/>
                <w:sz w:val="24"/>
                <w:szCs w:val="24"/>
              </w:rPr>
              <w:t>突变负荷在该癌种患者人群中的</w:t>
            </w:r>
            <w:r>
              <w:rPr>
                <w:rFonts w:ascii="微软雅黑" w:hAnsi="微软雅黑" w:eastAsia="微软雅黑" w:cs="MicrosoftYaHei"/>
                <w:b w:val="0"/>
                <w:bCs/>
                <w:kern w:val="0"/>
                <w:sz w:val="24"/>
                <w:szCs w:val="24"/>
              </w:rPr>
              <w:t>Percentile Rank</w:t>
            </w:r>
            <w:r>
              <w:rPr>
                <w:rFonts w:hint="eastAsia" w:ascii="微软雅黑" w:hAnsi="微软雅黑" w:eastAsia="微软雅黑" w:cs="MicrosoftYaHei"/>
                <w:b w:val="0"/>
                <w:bCs/>
                <w:kern w:val="0"/>
                <w:sz w:val="24"/>
                <w:szCs w:val="24"/>
              </w:rPr>
              <w:t>：</w:t>
            </w:r>
            <w:r>
              <w:rPr>
                <w:rFonts w:ascii="微软雅黑" w:hAnsi="微软雅黑" w:eastAsia="微软雅黑" w:cs="MicrosoftYaHei"/>
                <w:b w:val="0"/>
                <w:bCs/>
                <w:kern w:val="0"/>
                <w:sz w:val="24"/>
                <w:szCs w:val="24"/>
              </w:rPr>
              <w:t>94.29</w:t>
            </w:r>
          </w:p>
        </w:tc>
      </w:tr>
      <w:tr>
        <w:tblPrEx>
          <w:tblLayout w:type="fixed"/>
          <w:tblCellMar>
            <w:top w:w="0" w:type="dxa"/>
            <w:left w:w="108" w:type="dxa"/>
            <w:bottom w:w="0" w:type="dxa"/>
            <w:right w:w="108" w:type="dxa"/>
          </w:tblCellMar>
        </w:tblPrEx>
        <w:tc>
          <w:tcPr>
            <w:tcW w:w="8306" w:type="dxa"/>
            <w:shd w:val="clear" w:color="auto" w:fill="DADADA" w:themeFill="accent3" w:themeFillTint="66"/>
          </w:tcPr>
          <w:p>
            <w:pPr>
              <w:autoSpaceDE w:val="0"/>
              <w:autoSpaceDN w:val="0"/>
              <w:adjustRightInd w:val="0"/>
              <w:jc w:val="left"/>
              <w:rPr>
                <w:rFonts w:ascii="微软雅黑" w:hAnsi="微软雅黑" w:eastAsia="微软雅黑" w:cs="MicrosoftYaHei"/>
                <w:b w:val="0"/>
                <w:bCs/>
                <w:color w:val="00B050"/>
                <w:kern w:val="0"/>
                <w:sz w:val="24"/>
                <w:szCs w:val="24"/>
              </w:rPr>
            </w:pPr>
            <w:r>
              <w:rPr>
                <w:rFonts w:hint="eastAsia" w:ascii="微软雅黑" w:hAnsi="微软雅黑" w:eastAsia="微软雅黑" w:cs="MicrosoftYaHei"/>
                <w:b w:val="0"/>
                <w:bCs/>
                <w:kern w:val="0"/>
                <w:sz w:val="24"/>
                <w:szCs w:val="24"/>
              </w:rPr>
              <w:t>免疫检查点抑制剂疗效评估：</w:t>
            </w:r>
            <w:r>
              <w:rPr>
                <w:rFonts w:hint="eastAsia" w:ascii="微软雅黑" w:hAnsi="微软雅黑" w:eastAsia="微软雅黑" w:cs="MicrosoftYaHei"/>
                <w:b w:val="0"/>
                <w:bCs/>
                <w:color w:val="00B050"/>
                <w:kern w:val="0"/>
                <w:sz w:val="24"/>
                <w:szCs w:val="24"/>
              </w:rPr>
              <w:t>该患者的</w:t>
            </w:r>
            <w:r>
              <w:rPr>
                <w:rFonts w:ascii="微软雅黑" w:hAnsi="微软雅黑" w:eastAsia="微软雅黑" w:cs="MicrosoftYaHei"/>
                <w:b w:val="0"/>
                <w:bCs/>
                <w:color w:val="00B050"/>
                <w:kern w:val="0"/>
                <w:sz w:val="24"/>
                <w:szCs w:val="24"/>
              </w:rPr>
              <w:t xml:space="preserve">TMB </w:t>
            </w:r>
            <w:r>
              <w:rPr>
                <w:rFonts w:hint="eastAsia" w:ascii="微软雅黑" w:hAnsi="微软雅黑" w:eastAsia="微软雅黑" w:cs="MicrosoftYaHei"/>
                <w:b w:val="0"/>
                <w:bCs/>
                <w:color w:val="00B050"/>
                <w:kern w:val="0"/>
                <w:sz w:val="24"/>
                <w:szCs w:val="24"/>
              </w:rPr>
              <w:t>高于该癌种患者人群的中位数，所以该患者很有可能从免疫检查点抑制剂疗效中获益</w:t>
            </w:r>
          </w:p>
        </w:tc>
      </w:tr>
    </w:tbl>
    <w:p>
      <w:pPr>
        <w:autoSpaceDE w:val="0"/>
        <w:autoSpaceDN w:val="0"/>
        <w:adjustRightInd w:val="0"/>
        <w:jc w:val="left"/>
        <w:rPr>
          <w:rFonts w:ascii="微软雅黑" w:hAnsi="微软雅黑" w:eastAsia="微软雅黑" w:cs="MicrosoftYaHei"/>
          <w:b/>
          <w:bCs/>
          <w:kern w:val="0"/>
          <w:sz w:val="22"/>
        </w:rPr>
      </w:pPr>
    </w:p>
    <w:p>
      <w:pPr>
        <w:autoSpaceDE w:val="0"/>
        <w:autoSpaceDN w:val="0"/>
        <w:adjustRightInd w:val="0"/>
        <w:jc w:val="left"/>
        <w:rPr>
          <w:rFonts w:ascii="微软雅黑" w:hAnsi="微软雅黑" w:eastAsia="微软雅黑" w:cs="MicrosoftYaHei"/>
          <w:b/>
          <w:bCs/>
          <w:kern w:val="0"/>
          <w:sz w:val="22"/>
        </w:rPr>
      </w:pPr>
      <w:r>
        <w:rPr>
          <w:rFonts w:hint="eastAsia" w:ascii="微软雅黑" w:hAnsi="微软雅黑" w:eastAsia="微软雅黑" w:cs="MicrosoftYaHei"/>
          <w:b/>
          <w:bCs/>
          <w:kern w:val="0"/>
          <w:sz w:val="22"/>
        </w:rPr>
        <w:t>下图显示了该患者的T</w:t>
      </w:r>
      <w:r>
        <w:rPr>
          <w:rFonts w:ascii="微软雅黑" w:hAnsi="微软雅黑" w:eastAsia="微软雅黑" w:cs="MicrosoftYaHei"/>
          <w:b/>
          <w:bCs/>
          <w:kern w:val="0"/>
          <w:sz w:val="22"/>
        </w:rPr>
        <w:t>MB</w:t>
      </w:r>
      <w:r>
        <w:rPr>
          <w:rFonts w:hint="eastAsia" w:ascii="微软雅黑" w:hAnsi="微软雅黑" w:eastAsia="微软雅黑" w:cs="MicrosoftYaHei"/>
          <w:b/>
          <w:bCs/>
          <w:kern w:val="0"/>
          <w:sz w:val="22"/>
        </w:rPr>
        <w:t>（红线所在位置）在该癌种患者人群T</w:t>
      </w:r>
      <w:r>
        <w:rPr>
          <w:rFonts w:ascii="微软雅黑" w:hAnsi="微软雅黑" w:eastAsia="微软雅黑" w:cs="MicrosoftYaHei"/>
          <w:b/>
          <w:bCs/>
          <w:kern w:val="0"/>
          <w:sz w:val="22"/>
        </w:rPr>
        <w:t>MB</w:t>
      </w:r>
      <w:r>
        <w:rPr>
          <w:rFonts w:hint="eastAsia" w:ascii="微软雅黑" w:hAnsi="微软雅黑" w:eastAsia="微软雅黑" w:cs="MicrosoftYaHei"/>
          <w:b/>
          <w:bCs/>
          <w:kern w:val="0"/>
          <w:sz w:val="22"/>
        </w:rPr>
        <w:t>分布中的位置。</w:t>
      </w:r>
    </w:p>
    <w:p>
      <w:pPr>
        <w:autoSpaceDE w:val="0"/>
        <w:autoSpaceDN w:val="0"/>
        <w:adjustRightInd w:val="0"/>
        <w:jc w:val="left"/>
        <w:rPr>
          <w:rFonts w:ascii="微软雅黑" w:hAnsi="微软雅黑" w:eastAsia="微软雅黑" w:cs="MicrosoftYaHei"/>
          <w:b/>
          <w:bCs/>
          <w:kern w:val="0"/>
          <w:sz w:val="22"/>
        </w:rPr>
      </w:pPr>
      <w:r>
        <w:rPr>
          <w:rFonts w:hint="eastAsia" w:ascii="微软雅黑" w:hAnsi="微软雅黑" w:eastAsia="微软雅黑" w:cs="MicrosoftYaHei"/>
          <w:b/>
          <w:bCs/>
          <w:kern w:val="0"/>
          <w:sz w:val="22"/>
        </w:rPr>
        <w:drawing>
          <wp:inline distT="0" distB="0" distL="0" distR="0">
            <wp:extent cx="5274310" cy="3397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397885"/>
                    </a:xfrm>
                    <a:prstGeom prst="rect">
                      <a:avLst/>
                    </a:prstGeom>
                  </pic:spPr>
                </pic:pic>
              </a:graphicData>
            </a:graphic>
          </wp:inline>
        </w:drawing>
      </w:r>
    </w:p>
    <w:p>
      <w:pPr>
        <w:autoSpaceDE w:val="0"/>
        <w:autoSpaceDN w:val="0"/>
        <w:adjustRightInd w:val="0"/>
        <w:jc w:val="left"/>
        <w:rPr>
          <w:rFonts w:ascii="微软雅黑" w:hAnsi="微软雅黑" w:eastAsia="微软雅黑" w:cs="MicrosoftYaHei"/>
          <w:b/>
          <w:bCs/>
          <w:kern w:val="0"/>
          <w:sz w:val="22"/>
        </w:rPr>
      </w:pPr>
    </w:p>
    <w:p>
      <w:pPr>
        <w:widowControl/>
        <w:jc w:val="left"/>
        <w:rPr>
          <w:rFonts w:ascii="微软雅黑" w:hAnsi="微软雅黑" w:eastAsia="微软雅黑" w:cs="MicrosoftYaHei"/>
          <w:b/>
          <w:bCs/>
          <w:kern w:val="0"/>
          <w:sz w:val="22"/>
        </w:rPr>
      </w:pPr>
      <w:r>
        <w:rPr>
          <w:rFonts w:ascii="微软雅黑" w:hAnsi="微软雅黑" w:eastAsia="微软雅黑" w:cs="MicrosoftYaHei"/>
          <w:b/>
          <w:bCs/>
          <w:kern w:val="0"/>
          <w:sz w:val="22"/>
        </w:rPr>
        <w:br w:type="page"/>
      </w:r>
    </w:p>
    <w:p>
      <w:pPr>
        <w:widowControl/>
        <w:numPr>
          <w:ilvl w:val="0"/>
          <w:numId w:val="1"/>
        </w:numPr>
        <w:jc w:val="left"/>
        <w:rPr>
          <w:rFonts w:ascii="微软雅黑" w:hAnsi="微软雅黑" w:eastAsia="微软雅黑" w:cs="MicrosoftYaHei"/>
          <w:b/>
          <w:color w:val="203864" w:themeColor="accent1" w:themeShade="80"/>
          <w:kern w:val="0"/>
          <w:sz w:val="24"/>
          <w:szCs w:val="24"/>
        </w:rPr>
      </w:pPr>
      <w:r>
        <w:rPr>
          <w:rFonts w:hint="eastAsia" w:ascii="微软雅黑" w:hAnsi="微软雅黑" w:eastAsia="微软雅黑" w:cs="MicrosoftYaHei"/>
          <w:b/>
          <w:color w:val="203864" w:themeColor="accent1" w:themeShade="80"/>
          <w:kern w:val="0"/>
          <w:sz w:val="24"/>
          <w:szCs w:val="24"/>
        </w:rPr>
        <w:t>错配修复基因缺陷(dMMR）检测</w:t>
      </w:r>
    </w:p>
    <w:p>
      <w:pPr>
        <w:widowControl/>
        <w:ind w:left="420"/>
        <w:jc w:val="left"/>
        <w:rPr>
          <w:rFonts w:ascii="微软雅黑" w:hAnsi="微软雅黑" w:eastAsia="微软雅黑" w:cs="MicrosoftYaHei"/>
          <w:b/>
          <w:color w:val="203864" w:themeColor="accent1" w:themeShade="80"/>
          <w:kern w:val="0"/>
          <w:sz w:val="28"/>
          <w:szCs w:val="24"/>
        </w:rPr>
      </w:pPr>
    </w:p>
    <w:tbl>
      <w:tblPr>
        <w:tblStyle w:val="11"/>
        <w:tblW w:w="7886" w:type="dxa"/>
        <w:tblInd w:w="420" w:type="dxa"/>
        <w:tblLayout w:type="fixed"/>
        <w:tblCellMar>
          <w:top w:w="0" w:type="dxa"/>
          <w:left w:w="108" w:type="dxa"/>
          <w:bottom w:w="0" w:type="dxa"/>
          <w:right w:w="108" w:type="dxa"/>
        </w:tblCellMar>
      </w:tblPr>
      <w:tblGrid>
        <w:gridCol w:w="1281"/>
        <w:gridCol w:w="3544"/>
        <w:gridCol w:w="1418"/>
        <w:gridCol w:w="1643"/>
      </w:tblGrid>
      <w:tr>
        <w:tblPrEx>
          <w:tblLayout w:type="fixed"/>
          <w:tblCellMar>
            <w:top w:w="0" w:type="dxa"/>
            <w:left w:w="108" w:type="dxa"/>
            <w:bottom w:w="0" w:type="dxa"/>
            <w:right w:w="108" w:type="dxa"/>
          </w:tblCellMar>
        </w:tblPrEx>
        <w:tc>
          <w:tcPr>
            <w:tcW w:w="1281"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基因</w:t>
            </w:r>
          </w:p>
        </w:tc>
        <w:tc>
          <w:tcPr>
            <w:tcW w:w="3544"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突变</w:t>
            </w:r>
          </w:p>
        </w:tc>
        <w:tc>
          <w:tcPr>
            <w:tcW w:w="1418"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D</w:t>
            </w:r>
            <w:r>
              <w:rPr>
                <w:rFonts w:ascii="微软雅黑" w:hAnsi="微软雅黑" w:eastAsia="微软雅黑" w:cs="MicrosoftYaHei"/>
                <w:b/>
                <w:bCs/>
                <w:kern w:val="0"/>
                <w:sz w:val="22"/>
              </w:rPr>
              <w:t>NA</w:t>
            </w:r>
            <w:r>
              <w:rPr>
                <w:rFonts w:hint="eastAsia" w:ascii="微软雅黑" w:hAnsi="微软雅黑" w:eastAsia="微软雅黑" w:cs="MicrosoftYaHei"/>
                <w:b/>
                <w:bCs/>
                <w:kern w:val="0"/>
                <w:sz w:val="22"/>
              </w:rPr>
              <w:t>频率</w:t>
            </w:r>
          </w:p>
        </w:tc>
        <w:tc>
          <w:tcPr>
            <w:tcW w:w="1643"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突变类型</w:t>
            </w:r>
          </w:p>
        </w:tc>
      </w:tr>
      <w:tr>
        <w:tblPrEx>
          <w:tblLayout w:type="fixed"/>
          <w:tblCellMar>
            <w:top w:w="0" w:type="dxa"/>
            <w:left w:w="108" w:type="dxa"/>
            <w:bottom w:w="0" w:type="dxa"/>
            <w:right w:w="108" w:type="dxa"/>
          </w:tblCellMar>
        </w:tblPrEx>
        <w:tc>
          <w:tcPr>
            <w:tcW w:w="1281" w:type="dxa"/>
            <w:shd w:val="clear" w:color="auto" w:fill="F1F1F1" w:themeFill="background1" w:themeFillShade="F2"/>
            <w:vAlign w:val="center"/>
          </w:tcPr>
          <w:p>
            <w:pPr>
              <w:jc w:val="center"/>
              <w:rPr>
                <w:rFonts w:ascii="微软雅黑" w:hAnsi="微软雅黑" w:eastAsia="微软雅黑" w:cs="MicrosoftYaHei"/>
                <w:b w:val="0"/>
                <w:bCs/>
                <w:kern w:val="0"/>
                <w:sz w:val="22"/>
                <w:szCs w:val="24"/>
              </w:rPr>
            </w:pPr>
            <w:r>
              <w:rPr>
                <w:rFonts w:hint="eastAsia" w:ascii="微软雅黑" w:hAnsi="微软雅黑" w:eastAsia="微软雅黑" w:cs="MicrosoftYaHei"/>
                <w:b w:val="0"/>
                <w:bCs/>
                <w:kern w:val="0"/>
                <w:sz w:val="22"/>
                <w:szCs w:val="24"/>
              </w:rPr>
              <w:t>P</w:t>
            </w:r>
            <w:r>
              <w:rPr>
                <w:rFonts w:ascii="微软雅黑" w:hAnsi="微软雅黑" w:eastAsia="微软雅黑" w:cs="MicrosoftYaHei"/>
                <w:b w:val="0"/>
                <w:bCs/>
                <w:kern w:val="0"/>
                <w:sz w:val="22"/>
                <w:szCs w:val="24"/>
              </w:rPr>
              <w:t>OLE</w:t>
            </w:r>
          </w:p>
        </w:tc>
        <w:tc>
          <w:tcPr>
            <w:tcW w:w="3544" w:type="dxa"/>
            <w:shd w:val="clear" w:color="auto" w:fill="F1F1F1" w:themeFill="background1" w:themeFillShade="F2"/>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未检测到相关基因突变</w:t>
            </w:r>
          </w:p>
        </w:tc>
        <w:tc>
          <w:tcPr>
            <w:tcW w:w="1418" w:type="dxa"/>
            <w:shd w:val="clear" w:color="auto" w:fill="F1F1F1" w:themeFill="background1" w:themeFillShade="F2"/>
            <w:vAlign w:val="center"/>
          </w:tcPr>
          <w:p>
            <w:pPr>
              <w:jc w:val="center"/>
              <w:rPr>
                <w:rFonts w:ascii="微软雅黑" w:hAnsi="微软雅黑" w:eastAsia="微软雅黑" w:cs="MicrosoftYaHei"/>
                <w:kern w:val="0"/>
                <w:sz w:val="22"/>
                <w:szCs w:val="24"/>
              </w:rPr>
            </w:pPr>
          </w:p>
        </w:tc>
        <w:tc>
          <w:tcPr>
            <w:tcW w:w="1643" w:type="dxa"/>
            <w:shd w:val="clear" w:color="auto" w:fill="F1F1F1" w:themeFill="background1" w:themeFillShade="F2"/>
            <w:vAlign w:val="center"/>
          </w:tcPr>
          <w:p>
            <w:pPr>
              <w:jc w:val="center"/>
              <w:rPr>
                <w:rFonts w:ascii="微软雅黑" w:hAnsi="微软雅黑" w:eastAsia="微软雅黑" w:cs="MicrosoftYaHei"/>
                <w:kern w:val="0"/>
                <w:sz w:val="22"/>
                <w:szCs w:val="24"/>
              </w:rPr>
            </w:pPr>
          </w:p>
        </w:tc>
      </w:tr>
      <w:tr>
        <w:tblPrEx>
          <w:tblLayout w:type="fixed"/>
          <w:tblCellMar>
            <w:top w:w="0" w:type="dxa"/>
            <w:left w:w="108" w:type="dxa"/>
            <w:bottom w:w="0" w:type="dxa"/>
            <w:right w:w="108" w:type="dxa"/>
          </w:tblCellMar>
        </w:tblPrEx>
        <w:tc>
          <w:tcPr>
            <w:tcW w:w="1281" w:type="dxa"/>
            <w:vAlign w:val="center"/>
          </w:tcPr>
          <w:p>
            <w:pPr>
              <w:jc w:val="center"/>
              <w:rPr>
                <w:rFonts w:ascii="微软雅黑" w:hAnsi="微软雅黑" w:eastAsia="微软雅黑" w:cs="MicrosoftYaHei"/>
                <w:b w:val="0"/>
                <w:bCs/>
                <w:kern w:val="0"/>
                <w:sz w:val="22"/>
                <w:szCs w:val="24"/>
              </w:rPr>
            </w:pPr>
            <w:r>
              <w:rPr>
                <w:rFonts w:hint="eastAsia" w:ascii="微软雅黑" w:hAnsi="微软雅黑" w:eastAsia="微软雅黑" w:cs="MicrosoftYaHei"/>
                <w:b w:val="0"/>
                <w:bCs/>
                <w:kern w:val="0"/>
                <w:sz w:val="22"/>
                <w:szCs w:val="24"/>
              </w:rPr>
              <w:t>M</w:t>
            </w:r>
            <w:r>
              <w:rPr>
                <w:rFonts w:ascii="微软雅黑" w:hAnsi="微软雅黑" w:eastAsia="微软雅黑" w:cs="MicrosoftYaHei"/>
                <w:b w:val="0"/>
                <w:bCs/>
                <w:kern w:val="0"/>
                <w:sz w:val="22"/>
                <w:szCs w:val="24"/>
              </w:rPr>
              <w:t>LH1</w:t>
            </w:r>
          </w:p>
        </w:tc>
        <w:tc>
          <w:tcPr>
            <w:tcW w:w="3544" w:type="dxa"/>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未检测到相关基因突变</w:t>
            </w:r>
          </w:p>
        </w:tc>
        <w:tc>
          <w:tcPr>
            <w:tcW w:w="1418" w:type="dxa"/>
            <w:vAlign w:val="center"/>
          </w:tcPr>
          <w:p>
            <w:pPr>
              <w:jc w:val="center"/>
              <w:rPr>
                <w:rFonts w:ascii="微软雅黑" w:hAnsi="微软雅黑" w:eastAsia="微软雅黑" w:cs="MicrosoftYaHei"/>
                <w:kern w:val="0"/>
                <w:sz w:val="22"/>
                <w:szCs w:val="24"/>
              </w:rPr>
            </w:pPr>
          </w:p>
        </w:tc>
        <w:tc>
          <w:tcPr>
            <w:tcW w:w="1643" w:type="dxa"/>
            <w:vAlign w:val="center"/>
          </w:tcPr>
          <w:p>
            <w:pPr>
              <w:jc w:val="center"/>
              <w:rPr>
                <w:rFonts w:ascii="微软雅黑" w:hAnsi="微软雅黑" w:eastAsia="微软雅黑" w:cs="MicrosoftYaHei"/>
                <w:kern w:val="0"/>
                <w:sz w:val="22"/>
                <w:szCs w:val="24"/>
              </w:rPr>
            </w:pPr>
          </w:p>
        </w:tc>
      </w:tr>
      <w:tr>
        <w:tblPrEx>
          <w:tblLayout w:type="fixed"/>
          <w:tblCellMar>
            <w:top w:w="0" w:type="dxa"/>
            <w:left w:w="108" w:type="dxa"/>
            <w:bottom w:w="0" w:type="dxa"/>
            <w:right w:w="108" w:type="dxa"/>
          </w:tblCellMar>
        </w:tblPrEx>
        <w:tc>
          <w:tcPr>
            <w:tcW w:w="1281" w:type="dxa"/>
            <w:shd w:val="clear" w:color="auto" w:fill="F1F1F1" w:themeFill="background1" w:themeFillShade="F2"/>
            <w:vAlign w:val="center"/>
          </w:tcPr>
          <w:p>
            <w:pPr>
              <w:jc w:val="center"/>
              <w:rPr>
                <w:rFonts w:ascii="微软雅黑" w:hAnsi="微软雅黑" w:eastAsia="微软雅黑" w:cs="MicrosoftYaHei"/>
                <w:b w:val="0"/>
                <w:bCs/>
                <w:kern w:val="0"/>
                <w:sz w:val="22"/>
                <w:szCs w:val="24"/>
              </w:rPr>
            </w:pPr>
            <w:r>
              <w:rPr>
                <w:rFonts w:hint="eastAsia" w:ascii="微软雅黑" w:hAnsi="微软雅黑" w:eastAsia="微软雅黑" w:cs="MicrosoftYaHei"/>
                <w:b w:val="0"/>
                <w:bCs/>
                <w:kern w:val="0"/>
                <w:sz w:val="22"/>
                <w:szCs w:val="24"/>
              </w:rPr>
              <w:t>M</w:t>
            </w:r>
            <w:r>
              <w:rPr>
                <w:rFonts w:ascii="微软雅黑" w:hAnsi="微软雅黑" w:eastAsia="微软雅黑" w:cs="MicrosoftYaHei"/>
                <w:b w:val="0"/>
                <w:bCs/>
                <w:kern w:val="0"/>
                <w:sz w:val="22"/>
                <w:szCs w:val="24"/>
              </w:rPr>
              <w:t>SH2</w:t>
            </w:r>
          </w:p>
        </w:tc>
        <w:tc>
          <w:tcPr>
            <w:tcW w:w="3544" w:type="dxa"/>
            <w:shd w:val="clear" w:color="auto" w:fill="F1F1F1" w:themeFill="background1" w:themeFillShade="F2"/>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未检测到相关基因突变</w:t>
            </w:r>
          </w:p>
        </w:tc>
        <w:tc>
          <w:tcPr>
            <w:tcW w:w="1418" w:type="dxa"/>
            <w:shd w:val="clear" w:color="auto" w:fill="F1F1F1" w:themeFill="background1" w:themeFillShade="F2"/>
            <w:vAlign w:val="center"/>
          </w:tcPr>
          <w:p>
            <w:pPr>
              <w:jc w:val="center"/>
              <w:rPr>
                <w:rFonts w:ascii="微软雅黑" w:hAnsi="微软雅黑" w:eastAsia="微软雅黑" w:cs="MicrosoftYaHei"/>
                <w:kern w:val="0"/>
                <w:sz w:val="22"/>
                <w:szCs w:val="24"/>
              </w:rPr>
            </w:pPr>
          </w:p>
        </w:tc>
        <w:tc>
          <w:tcPr>
            <w:tcW w:w="1643" w:type="dxa"/>
            <w:shd w:val="clear" w:color="auto" w:fill="F1F1F1" w:themeFill="background1" w:themeFillShade="F2"/>
            <w:vAlign w:val="center"/>
          </w:tcPr>
          <w:p>
            <w:pPr>
              <w:jc w:val="center"/>
              <w:rPr>
                <w:rFonts w:ascii="微软雅黑" w:hAnsi="微软雅黑" w:eastAsia="微软雅黑" w:cs="MicrosoftYaHei"/>
                <w:kern w:val="0"/>
                <w:sz w:val="22"/>
                <w:szCs w:val="24"/>
              </w:rPr>
            </w:pPr>
          </w:p>
        </w:tc>
      </w:tr>
      <w:tr>
        <w:tblPrEx>
          <w:tblLayout w:type="fixed"/>
          <w:tblCellMar>
            <w:top w:w="0" w:type="dxa"/>
            <w:left w:w="108" w:type="dxa"/>
            <w:bottom w:w="0" w:type="dxa"/>
            <w:right w:w="108" w:type="dxa"/>
          </w:tblCellMar>
        </w:tblPrEx>
        <w:tc>
          <w:tcPr>
            <w:tcW w:w="1281" w:type="dxa"/>
            <w:vAlign w:val="center"/>
          </w:tcPr>
          <w:p>
            <w:pPr>
              <w:jc w:val="center"/>
              <w:rPr>
                <w:rFonts w:ascii="微软雅黑" w:hAnsi="微软雅黑" w:eastAsia="微软雅黑" w:cs="MicrosoftYaHei"/>
                <w:b w:val="0"/>
                <w:bCs/>
                <w:kern w:val="0"/>
                <w:sz w:val="22"/>
                <w:szCs w:val="24"/>
              </w:rPr>
            </w:pPr>
            <w:r>
              <w:rPr>
                <w:rFonts w:hint="eastAsia" w:ascii="微软雅黑" w:hAnsi="微软雅黑" w:eastAsia="微软雅黑" w:cs="MicrosoftYaHei"/>
                <w:b w:val="0"/>
                <w:bCs/>
                <w:kern w:val="0"/>
                <w:sz w:val="22"/>
                <w:szCs w:val="24"/>
              </w:rPr>
              <w:t>M</w:t>
            </w:r>
            <w:r>
              <w:rPr>
                <w:rFonts w:ascii="微软雅黑" w:hAnsi="微软雅黑" w:eastAsia="微软雅黑" w:cs="MicrosoftYaHei"/>
                <w:b w:val="0"/>
                <w:bCs/>
                <w:kern w:val="0"/>
                <w:sz w:val="22"/>
                <w:szCs w:val="24"/>
              </w:rPr>
              <w:t>SH6</w:t>
            </w:r>
          </w:p>
        </w:tc>
        <w:tc>
          <w:tcPr>
            <w:tcW w:w="3544" w:type="dxa"/>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未检测到相关基因突变</w:t>
            </w:r>
          </w:p>
        </w:tc>
        <w:tc>
          <w:tcPr>
            <w:tcW w:w="1418" w:type="dxa"/>
            <w:vAlign w:val="center"/>
          </w:tcPr>
          <w:p>
            <w:pPr>
              <w:jc w:val="center"/>
              <w:rPr>
                <w:rFonts w:ascii="微软雅黑" w:hAnsi="微软雅黑" w:eastAsia="微软雅黑" w:cs="MicrosoftYaHei"/>
                <w:kern w:val="0"/>
                <w:sz w:val="22"/>
                <w:szCs w:val="24"/>
              </w:rPr>
            </w:pPr>
          </w:p>
        </w:tc>
        <w:tc>
          <w:tcPr>
            <w:tcW w:w="1643" w:type="dxa"/>
            <w:vAlign w:val="center"/>
          </w:tcPr>
          <w:p>
            <w:pPr>
              <w:jc w:val="center"/>
              <w:rPr>
                <w:rFonts w:ascii="微软雅黑" w:hAnsi="微软雅黑" w:eastAsia="微软雅黑" w:cs="MicrosoftYaHei"/>
                <w:kern w:val="0"/>
                <w:sz w:val="22"/>
                <w:szCs w:val="24"/>
              </w:rPr>
            </w:pPr>
          </w:p>
        </w:tc>
      </w:tr>
      <w:tr>
        <w:tblPrEx>
          <w:tblLayout w:type="fixed"/>
          <w:tblCellMar>
            <w:top w:w="0" w:type="dxa"/>
            <w:left w:w="108" w:type="dxa"/>
            <w:bottom w:w="0" w:type="dxa"/>
            <w:right w:w="108" w:type="dxa"/>
          </w:tblCellMar>
        </w:tblPrEx>
        <w:tc>
          <w:tcPr>
            <w:tcW w:w="1281" w:type="dxa"/>
            <w:shd w:val="clear" w:color="auto" w:fill="F1F1F1" w:themeFill="background1" w:themeFillShade="F2"/>
            <w:vAlign w:val="center"/>
          </w:tcPr>
          <w:p>
            <w:pPr>
              <w:jc w:val="center"/>
              <w:rPr>
                <w:rFonts w:ascii="微软雅黑" w:hAnsi="微软雅黑" w:eastAsia="微软雅黑" w:cs="MicrosoftYaHei"/>
                <w:b w:val="0"/>
                <w:bCs/>
                <w:kern w:val="0"/>
                <w:sz w:val="22"/>
                <w:szCs w:val="24"/>
              </w:rPr>
            </w:pPr>
            <w:r>
              <w:rPr>
                <w:rFonts w:hint="eastAsia" w:ascii="微软雅黑" w:hAnsi="微软雅黑" w:eastAsia="微软雅黑" w:cs="MicrosoftYaHei"/>
                <w:b w:val="0"/>
                <w:bCs/>
                <w:kern w:val="0"/>
                <w:sz w:val="22"/>
                <w:szCs w:val="24"/>
              </w:rPr>
              <w:t>P</w:t>
            </w:r>
            <w:r>
              <w:rPr>
                <w:rFonts w:ascii="微软雅黑" w:hAnsi="微软雅黑" w:eastAsia="微软雅黑" w:cs="MicrosoftYaHei"/>
                <w:b w:val="0"/>
                <w:bCs/>
                <w:kern w:val="0"/>
                <w:sz w:val="22"/>
                <w:szCs w:val="24"/>
              </w:rPr>
              <w:t>MS2</w:t>
            </w:r>
          </w:p>
        </w:tc>
        <w:tc>
          <w:tcPr>
            <w:tcW w:w="3544" w:type="dxa"/>
            <w:shd w:val="clear" w:color="auto" w:fill="F1F1F1" w:themeFill="background1" w:themeFillShade="F2"/>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未检测到相关基因突变</w:t>
            </w:r>
          </w:p>
        </w:tc>
        <w:tc>
          <w:tcPr>
            <w:tcW w:w="1418" w:type="dxa"/>
            <w:shd w:val="clear" w:color="auto" w:fill="F1F1F1" w:themeFill="background1" w:themeFillShade="F2"/>
            <w:vAlign w:val="center"/>
          </w:tcPr>
          <w:p>
            <w:pPr>
              <w:jc w:val="center"/>
              <w:rPr>
                <w:rFonts w:ascii="微软雅黑" w:hAnsi="微软雅黑" w:eastAsia="微软雅黑" w:cs="MicrosoftYaHei"/>
                <w:kern w:val="0"/>
                <w:sz w:val="22"/>
                <w:szCs w:val="24"/>
              </w:rPr>
            </w:pPr>
          </w:p>
        </w:tc>
        <w:tc>
          <w:tcPr>
            <w:tcW w:w="1643" w:type="dxa"/>
            <w:shd w:val="clear" w:color="auto" w:fill="F1F1F1" w:themeFill="background1" w:themeFillShade="F2"/>
            <w:vAlign w:val="center"/>
          </w:tcPr>
          <w:p>
            <w:pPr>
              <w:jc w:val="center"/>
              <w:rPr>
                <w:rFonts w:ascii="微软雅黑" w:hAnsi="微软雅黑" w:eastAsia="微软雅黑" w:cs="MicrosoftYaHei"/>
                <w:kern w:val="0"/>
                <w:sz w:val="22"/>
                <w:szCs w:val="24"/>
              </w:rPr>
            </w:pPr>
          </w:p>
        </w:tc>
      </w:tr>
    </w:tbl>
    <w:p>
      <w:pPr>
        <w:widowControl/>
        <w:ind w:left="420"/>
        <w:jc w:val="left"/>
        <w:rPr>
          <w:rFonts w:ascii="微软雅黑" w:hAnsi="微软雅黑" w:eastAsia="微软雅黑" w:cs="MicrosoftYaHei"/>
          <w:b/>
          <w:color w:val="203864" w:themeColor="accent1" w:themeShade="80"/>
          <w:kern w:val="0"/>
          <w:sz w:val="28"/>
          <w:szCs w:val="24"/>
        </w:rPr>
      </w:pPr>
    </w:p>
    <w:p>
      <w:pPr>
        <w:widowControl/>
        <w:numPr>
          <w:ilvl w:val="0"/>
          <w:numId w:val="2"/>
        </w:numPr>
        <w:jc w:val="left"/>
        <w:rPr>
          <w:rFonts w:ascii="微软雅黑" w:hAnsi="微软雅黑" w:eastAsia="微软雅黑" w:cs="MicrosoftYaHei"/>
          <w:b/>
          <w:kern w:val="0"/>
          <w:sz w:val="22"/>
          <w:szCs w:val="24"/>
        </w:rPr>
      </w:pPr>
      <w:r>
        <w:rPr>
          <w:rFonts w:hint="eastAsia" w:ascii="微软雅黑" w:hAnsi="微软雅黑" w:eastAsia="微软雅黑" w:cs="MicrosoftYaHei"/>
          <w:b/>
          <w:kern w:val="0"/>
          <w:sz w:val="22"/>
          <w:szCs w:val="24"/>
        </w:rPr>
        <w:t>P</w:t>
      </w:r>
      <w:r>
        <w:rPr>
          <w:rFonts w:ascii="微软雅黑" w:hAnsi="微软雅黑" w:eastAsia="微软雅黑" w:cs="MicrosoftYaHei"/>
          <w:b/>
          <w:kern w:val="0"/>
          <w:sz w:val="22"/>
          <w:szCs w:val="24"/>
        </w:rPr>
        <w:t>OLE</w:t>
      </w:r>
    </w:p>
    <w:p>
      <w:pPr>
        <w:spacing w:line="400" w:lineRule="exact"/>
        <w:ind w:left="630" w:leftChars="300"/>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D</w:t>
      </w:r>
      <w:r>
        <w:rPr>
          <w:rFonts w:ascii="微软雅黑" w:hAnsi="微软雅黑" w:eastAsia="微软雅黑" w:cs="MicrosoftYaHei"/>
          <w:kern w:val="0"/>
          <w:sz w:val="22"/>
          <w:szCs w:val="24"/>
        </w:rPr>
        <w:t>NA</w:t>
      </w:r>
      <w:r>
        <w:rPr>
          <w:rFonts w:hint="eastAsia" w:ascii="微软雅黑" w:hAnsi="微软雅黑" w:eastAsia="微软雅黑" w:cs="MicrosoftYaHei"/>
          <w:kern w:val="0"/>
          <w:sz w:val="22"/>
          <w:szCs w:val="24"/>
        </w:rPr>
        <w:t>聚合酶E（D</w:t>
      </w:r>
      <w:r>
        <w:rPr>
          <w:rFonts w:ascii="微软雅黑" w:hAnsi="微软雅黑" w:eastAsia="微软雅黑" w:cs="MicrosoftYaHei"/>
          <w:kern w:val="0"/>
          <w:sz w:val="22"/>
          <w:szCs w:val="24"/>
        </w:rPr>
        <w:t>NA polymerase epsilon</w:t>
      </w:r>
      <w:r>
        <w:rPr>
          <w:rFonts w:hint="eastAsia" w:ascii="微软雅黑" w:hAnsi="微软雅黑" w:eastAsia="微软雅黑" w:cs="MicrosoftYaHei"/>
          <w:kern w:val="0"/>
          <w:sz w:val="22"/>
          <w:szCs w:val="24"/>
        </w:rPr>
        <w:t>）是在真核生物中发现的D</w:t>
      </w:r>
      <w:r>
        <w:rPr>
          <w:rFonts w:ascii="微软雅黑" w:hAnsi="微软雅黑" w:eastAsia="微软雅黑" w:cs="MicrosoftYaHei"/>
          <w:kern w:val="0"/>
          <w:sz w:val="22"/>
          <w:szCs w:val="24"/>
        </w:rPr>
        <w:t>NA</w:t>
      </w:r>
      <w:r>
        <w:rPr>
          <w:rFonts w:hint="eastAsia" w:ascii="微软雅黑" w:hAnsi="微软雅黑" w:eastAsia="微软雅黑" w:cs="MicrosoftYaHei"/>
          <w:kern w:val="0"/>
          <w:sz w:val="22"/>
          <w:szCs w:val="24"/>
        </w:rPr>
        <w:t>聚合酶家族的成员。它由以下四个亚基组成：P</w:t>
      </w:r>
      <w:r>
        <w:rPr>
          <w:rFonts w:ascii="微软雅黑" w:hAnsi="微软雅黑" w:eastAsia="微软雅黑" w:cs="MicrosoftYaHei"/>
          <w:kern w:val="0"/>
          <w:sz w:val="22"/>
          <w:szCs w:val="24"/>
        </w:rPr>
        <w:t>OLE</w:t>
      </w:r>
      <w:r>
        <w:rPr>
          <w:rFonts w:hint="eastAsia" w:ascii="微软雅黑" w:hAnsi="微软雅黑" w:eastAsia="微软雅黑" w:cs="MicrosoftYaHei"/>
          <w:kern w:val="0"/>
          <w:sz w:val="22"/>
          <w:szCs w:val="24"/>
        </w:rPr>
        <w:t>（中心催化单元），P</w:t>
      </w:r>
      <w:r>
        <w:rPr>
          <w:rFonts w:ascii="微软雅黑" w:hAnsi="微软雅黑" w:eastAsia="微软雅黑" w:cs="MicrosoftYaHei"/>
          <w:kern w:val="0"/>
          <w:sz w:val="22"/>
          <w:szCs w:val="24"/>
        </w:rPr>
        <w:t>OLE2</w:t>
      </w:r>
      <w:r>
        <w:rPr>
          <w:rFonts w:hint="eastAsia" w:ascii="微软雅黑" w:hAnsi="微软雅黑" w:eastAsia="微软雅黑" w:cs="MicrosoftYaHei"/>
          <w:kern w:val="0"/>
          <w:sz w:val="22"/>
          <w:szCs w:val="24"/>
        </w:rPr>
        <w:t>（亚基2），P</w:t>
      </w:r>
      <w:r>
        <w:rPr>
          <w:rFonts w:ascii="微软雅黑" w:hAnsi="微软雅黑" w:eastAsia="微软雅黑" w:cs="MicrosoftYaHei"/>
          <w:kern w:val="0"/>
          <w:sz w:val="22"/>
          <w:szCs w:val="24"/>
        </w:rPr>
        <w:t>OLE3</w:t>
      </w:r>
      <w:r>
        <w:rPr>
          <w:rFonts w:hint="eastAsia" w:ascii="微软雅黑" w:hAnsi="微软雅黑" w:eastAsia="微软雅黑" w:cs="MicrosoftYaHei"/>
          <w:kern w:val="0"/>
          <w:sz w:val="22"/>
          <w:szCs w:val="24"/>
        </w:rPr>
        <w:t>（亚基3）和P</w:t>
      </w:r>
      <w:r>
        <w:rPr>
          <w:rFonts w:ascii="微软雅黑" w:hAnsi="微软雅黑" w:eastAsia="微软雅黑" w:cs="MicrosoftYaHei"/>
          <w:kern w:val="0"/>
          <w:sz w:val="22"/>
          <w:szCs w:val="24"/>
        </w:rPr>
        <w:t>OLE4</w:t>
      </w:r>
      <w:r>
        <w:rPr>
          <w:rFonts w:hint="eastAsia" w:ascii="微软雅黑" w:hAnsi="微软雅黑" w:eastAsia="微软雅黑" w:cs="MicrosoftYaHei"/>
          <w:kern w:val="0"/>
          <w:sz w:val="22"/>
          <w:szCs w:val="24"/>
        </w:rPr>
        <w:t>（亚基4）。最近的证据表明，它在引导D</w:t>
      </w:r>
      <w:r>
        <w:rPr>
          <w:rFonts w:ascii="微软雅黑" w:hAnsi="微软雅黑" w:eastAsia="微软雅黑" w:cs="MicrosoftYaHei"/>
          <w:kern w:val="0"/>
          <w:sz w:val="22"/>
          <w:szCs w:val="24"/>
        </w:rPr>
        <w:t>NA</w:t>
      </w:r>
      <w:r>
        <w:rPr>
          <w:rFonts w:hint="eastAsia" w:ascii="微软雅黑" w:hAnsi="微软雅黑" w:eastAsia="微软雅黑" w:cs="MicrosoftYaHei"/>
          <w:kern w:val="0"/>
          <w:sz w:val="22"/>
          <w:szCs w:val="24"/>
        </w:rPr>
        <w:t>合成、核苷酸及碱基切除修复中起主要作用。P</w:t>
      </w:r>
      <w:r>
        <w:rPr>
          <w:rFonts w:ascii="微软雅黑" w:hAnsi="微软雅黑" w:eastAsia="微软雅黑" w:cs="MicrosoftYaHei"/>
          <w:kern w:val="0"/>
          <w:sz w:val="22"/>
          <w:szCs w:val="24"/>
        </w:rPr>
        <w:t>OLE</w:t>
      </w:r>
      <w:r>
        <w:rPr>
          <w:rFonts w:hint="eastAsia" w:ascii="微软雅黑" w:hAnsi="微软雅黑" w:eastAsia="微软雅黑" w:cs="MicrosoftYaHei"/>
          <w:kern w:val="0"/>
          <w:sz w:val="22"/>
          <w:szCs w:val="24"/>
        </w:rPr>
        <w:t>突变会导致D</w:t>
      </w:r>
      <w:r>
        <w:rPr>
          <w:rFonts w:ascii="微软雅黑" w:hAnsi="微软雅黑" w:eastAsia="微软雅黑" w:cs="MicrosoftYaHei"/>
          <w:kern w:val="0"/>
          <w:sz w:val="22"/>
          <w:szCs w:val="24"/>
        </w:rPr>
        <w:t>NA</w:t>
      </w:r>
      <w:r>
        <w:rPr>
          <w:rFonts w:hint="eastAsia" w:ascii="微软雅黑" w:hAnsi="微软雅黑" w:eastAsia="微软雅黑" w:cs="MicrosoftYaHei"/>
          <w:kern w:val="0"/>
          <w:sz w:val="22"/>
          <w:szCs w:val="24"/>
        </w:rPr>
        <w:t>突变的累积。</w:t>
      </w:r>
    </w:p>
    <w:p>
      <w:pPr>
        <w:spacing w:line="400" w:lineRule="exact"/>
        <w:ind w:left="630" w:leftChars="300"/>
        <w:rPr>
          <w:rFonts w:ascii="微软雅黑" w:hAnsi="微软雅黑" w:eastAsia="微软雅黑" w:cs="MicrosoftYaHei"/>
          <w:kern w:val="0"/>
          <w:sz w:val="22"/>
          <w:szCs w:val="24"/>
        </w:rPr>
      </w:pPr>
    </w:p>
    <w:p>
      <w:pPr>
        <w:widowControl/>
        <w:numPr>
          <w:ilvl w:val="0"/>
          <w:numId w:val="2"/>
        </w:numPr>
        <w:spacing w:line="400" w:lineRule="exact"/>
        <w:jc w:val="left"/>
        <w:rPr>
          <w:rFonts w:ascii="微软雅黑" w:hAnsi="微软雅黑" w:eastAsia="微软雅黑" w:cs="MicrosoftYaHei"/>
          <w:b/>
          <w:kern w:val="0"/>
          <w:sz w:val="22"/>
          <w:szCs w:val="24"/>
        </w:rPr>
      </w:pPr>
      <w:r>
        <w:rPr>
          <w:rFonts w:hint="eastAsia" w:ascii="微软雅黑" w:hAnsi="微软雅黑" w:eastAsia="微软雅黑" w:cs="MicrosoftYaHei"/>
          <w:b/>
          <w:kern w:val="0"/>
          <w:sz w:val="22"/>
          <w:szCs w:val="24"/>
        </w:rPr>
        <w:t>错配修复系统</w:t>
      </w:r>
    </w:p>
    <w:p>
      <w:pPr>
        <w:spacing w:line="400" w:lineRule="exact"/>
        <w:ind w:left="630" w:leftChars="300"/>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人体细胞中存在一类能修复</w:t>
      </w:r>
      <w:r>
        <w:rPr>
          <w:rFonts w:ascii="微软雅黑" w:hAnsi="微软雅黑" w:eastAsia="微软雅黑" w:cs="MicrosoftYaHei"/>
          <w:kern w:val="0"/>
          <w:sz w:val="22"/>
          <w:szCs w:val="24"/>
        </w:rPr>
        <w:t>DNA</w:t>
      </w:r>
      <w:r>
        <w:rPr>
          <w:rFonts w:hint="eastAsia" w:ascii="微软雅黑" w:hAnsi="微软雅黑" w:eastAsia="微软雅黑" w:cs="MicrosoftYaHei"/>
          <w:kern w:val="0"/>
          <w:sz w:val="22"/>
          <w:szCs w:val="24"/>
        </w:rPr>
        <w:t>碱基错配的安全保障体系，称之为D</w:t>
      </w:r>
      <w:r>
        <w:rPr>
          <w:rFonts w:ascii="微软雅黑" w:hAnsi="微软雅黑" w:eastAsia="微软雅黑" w:cs="MicrosoftYaHei"/>
          <w:kern w:val="0"/>
          <w:sz w:val="22"/>
          <w:szCs w:val="24"/>
        </w:rPr>
        <w:t>NA</w:t>
      </w:r>
      <w:r>
        <w:rPr>
          <w:rFonts w:hint="eastAsia" w:ascii="微软雅黑" w:hAnsi="微软雅黑" w:eastAsia="微软雅黑" w:cs="MicrosoftYaHei"/>
          <w:kern w:val="0"/>
          <w:sz w:val="22"/>
          <w:szCs w:val="24"/>
        </w:rPr>
        <w:t>错配修复（m</w:t>
      </w:r>
      <w:r>
        <w:rPr>
          <w:rFonts w:ascii="微软雅黑" w:hAnsi="微软雅黑" w:eastAsia="微软雅黑" w:cs="MicrosoftYaHei"/>
          <w:kern w:val="0"/>
          <w:sz w:val="22"/>
          <w:szCs w:val="24"/>
        </w:rPr>
        <w:t>is-match repair, MMR</w:t>
      </w:r>
      <w:r>
        <w:rPr>
          <w:rFonts w:hint="eastAsia" w:ascii="微软雅黑" w:hAnsi="微软雅黑" w:eastAsia="微软雅黑" w:cs="MicrosoftYaHei"/>
          <w:kern w:val="0"/>
          <w:sz w:val="22"/>
          <w:szCs w:val="24"/>
        </w:rPr>
        <w:t>）系统，对保持遗传物质的完整性、稳定性及避免遗传突变的产生具有重要左右，主要的M</w:t>
      </w:r>
      <w:r>
        <w:rPr>
          <w:rFonts w:ascii="微软雅黑" w:hAnsi="微软雅黑" w:eastAsia="微软雅黑" w:cs="MicrosoftYaHei"/>
          <w:kern w:val="0"/>
          <w:sz w:val="22"/>
          <w:szCs w:val="24"/>
        </w:rPr>
        <w:t>MR</w:t>
      </w:r>
      <w:r>
        <w:rPr>
          <w:rFonts w:hint="eastAsia" w:ascii="微软雅黑" w:hAnsi="微软雅黑" w:eastAsia="微软雅黑" w:cs="MicrosoftYaHei"/>
          <w:kern w:val="0"/>
          <w:sz w:val="22"/>
          <w:szCs w:val="24"/>
        </w:rPr>
        <w:t>基因有M</w:t>
      </w:r>
      <w:r>
        <w:rPr>
          <w:rFonts w:ascii="微软雅黑" w:hAnsi="微软雅黑" w:eastAsia="微软雅黑" w:cs="MicrosoftYaHei"/>
          <w:kern w:val="0"/>
          <w:sz w:val="22"/>
          <w:szCs w:val="24"/>
        </w:rPr>
        <w:t>LH1</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MSH2</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MSH6</w:t>
      </w:r>
      <w:r>
        <w:rPr>
          <w:rFonts w:hint="eastAsia" w:ascii="微软雅黑" w:hAnsi="微软雅黑" w:eastAsia="微软雅黑" w:cs="MicrosoftYaHei"/>
          <w:kern w:val="0"/>
          <w:sz w:val="22"/>
          <w:szCs w:val="24"/>
        </w:rPr>
        <w:t>、P</w:t>
      </w:r>
      <w:r>
        <w:rPr>
          <w:rFonts w:ascii="微软雅黑" w:hAnsi="微软雅黑" w:eastAsia="微软雅黑" w:cs="MicrosoftYaHei"/>
          <w:kern w:val="0"/>
          <w:sz w:val="22"/>
          <w:szCs w:val="24"/>
        </w:rPr>
        <w:t>MS2</w:t>
      </w:r>
      <w:r>
        <w:rPr>
          <w:rFonts w:hint="eastAsia" w:ascii="微软雅黑" w:hAnsi="微软雅黑" w:eastAsia="微软雅黑" w:cs="MicrosoftYaHei"/>
          <w:kern w:val="0"/>
          <w:sz w:val="22"/>
          <w:szCs w:val="24"/>
        </w:rPr>
        <w:t>等。M</w:t>
      </w:r>
      <w:r>
        <w:rPr>
          <w:rFonts w:ascii="微软雅黑" w:hAnsi="微软雅黑" w:eastAsia="微软雅黑" w:cs="MicrosoftYaHei"/>
          <w:kern w:val="0"/>
          <w:sz w:val="22"/>
          <w:szCs w:val="24"/>
        </w:rPr>
        <w:t>MR</w:t>
      </w:r>
      <w:r>
        <w:rPr>
          <w:rFonts w:hint="eastAsia" w:ascii="微软雅黑" w:hAnsi="微软雅黑" w:eastAsia="微软雅黑" w:cs="MicrosoftYaHei"/>
          <w:kern w:val="0"/>
          <w:sz w:val="22"/>
          <w:szCs w:val="24"/>
        </w:rPr>
        <w:t>系统出现缺陷会导致D</w:t>
      </w:r>
      <w:r>
        <w:rPr>
          <w:rFonts w:ascii="微软雅黑" w:hAnsi="微软雅黑" w:eastAsia="微软雅黑" w:cs="MicrosoftYaHei"/>
          <w:kern w:val="0"/>
          <w:sz w:val="22"/>
          <w:szCs w:val="24"/>
        </w:rPr>
        <w:t>NA</w:t>
      </w:r>
      <w:r>
        <w:rPr>
          <w:rFonts w:hint="eastAsia" w:ascii="微软雅黑" w:hAnsi="微软雅黑" w:eastAsia="微软雅黑" w:cs="MicrosoftYaHei"/>
          <w:kern w:val="0"/>
          <w:sz w:val="22"/>
          <w:szCs w:val="24"/>
        </w:rPr>
        <w:t>突变累积，并形成微卫星不稳定。</w:t>
      </w:r>
    </w:p>
    <w:p>
      <w:pPr>
        <w:widowControl/>
        <w:ind w:left="420"/>
        <w:jc w:val="left"/>
        <w:rPr>
          <w:rFonts w:ascii="微软雅黑" w:hAnsi="微软雅黑" w:eastAsia="微软雅黑" w:cs="MicrosoftYaHei"/>
          <w:b/>
          <w:color w:val="203864" w:themeColor="accent1" w:themeShade="80"/>
          <w:kern w:val="0"/>
          <w:sz w:val="28"/>
          <w:szCs w:val="24"/>
        </w:rPr>
      </w:pPr>
    </w:p>
    <w:p>
      <w:pPr>
        <w:widowControl/>
        <w:jc w:val="left"/>
        <w:rPr>
          <w:rFonts w:ascii="微软雅黑" w:hAnsi="微软雅黑" w:eastAsia="微软雅黑" w:cs="MicrosoftYaHei"/>
          <w:b/>
          <w:color w:val="203864" w:themeColor="accent1" w:themeShade="80"/>
          <w:kern w:val="0"/>
          <w:sz w:val="28"/>
          <w:szCs w:val="24"/>
        </w:rPr>
      </w:pPr>
      <w:r>
        <w:rPr>
          <w:rFonts w:ascii="微软雅黑" w:hAnsi="微软雅黑" w:eastAsia="微软雅黑" w:cs="MicrosoftYaHei"/>
          <w:b/>
          <w:color w:val="203864" w:themeColor="accent1" w:themeShade="80"/>
          <w:kern w:val="0"/>
          <w:sz w:val="28"/>
          <w:szCs w:val="24"/>
        </w:rPr>
        <w:br w:type="page"/>
      </w:r>
    </w:p>
    <w:p>
      <w:pPr>
        <w:widowControl/>
        <w:numPr>
          <w:ilvl w:val="0"/>
          <w:numId w:val="1"/>
        </w:numPr>
        <w:jc w:val="left"/>
        <w:rPr>
          <w:rFonts w:ascii="微软雅黑" w:hAnsi="微软雅黑" w:eastAsia="微软雅黑" w:cs="MicrosoftYaHei"/>
          <w:b/>
          <w:color w:val="203864" w:themeColor="accent1" w:themeShade="80"/>
          <w:kern w:val="0"/>
          <w:sz w:val="24"/>
          <w:szCs w:val="24"/>
        </w:rPr>
      </w:pPr>
      <w:r>
        <w:rPr>
          <w:rFonts w:hint="eastAsia" w:ascii="微软雅黑" w:hAnsi="微软雅黑" w:eastAsia="微软雅黑" w:cs="MicrosoftYaHei"/>
          <w:b/>
          <w:color w:val="203864" w:themeColor="accent1" w:themeShade="80"/>
          <w:kern w:val="0"/>
          <w:sz w:val="24"/>
          <w:szCs w:val="24"/>
        </w:rPr>
        <w:t>微卫星不稳定性（M</w:t>
      </w:r>
      <w:r>
        <w:rPr>
          <w:rFonts w:ascii="微软雅黑" w:hAnsi="微软雅黑" w:eastAsia="微软雅黑" w:cs="MicrosoftYaHei"/>
          <w:b/>
          <w:color w:val="203864" w:themeColor="accent1" w:themeShade="80"/>
          <w:kern w:val="0"/>
          <w:sz w:val="24"/>
          <w:szCs w:val="24"/>
        </w:rPr>
        <w:t>SI</w:t>
      </w:r>
      <w:r>
        <w:rPr>
          <w:rFonts w:hint="eastAsia" w:ascii="微软雅黑" w:hAnsi="微软雅黑" w:eastAsia="微软雅黑" w:cs="MicrosoftYaHei"/>
          <w:b/>
          <w:color w:val="203864" w:themeColor="accent1" w:themeShade="80"/>
          <w:kern w:val="0"/>
          <w:sz w:val="24"/>
          <w:szCs w:val="24"/>
        </w:rPr>
        <w:t>）数目</w:t>
      </w:r>
    </w:p>
    <w:p>
      <w:pPr>
        <w:widowControl/>
        <w:ind w:left="420"/>
        <w:jc w:val="left"/>
        <w:rPr>
          <w:rFonts w:ascii="微软雅黑" w:hAnsi="微软雅黑" w:eastAsia="微软雅黑" w:cs="MicrosoftYaHei"/>
          <w:b/>
          <w:color w:val="203864" w:themeColor="accent1" w:themeShade="80"/>
          <w:kern w:val="0"/>
          <w:sz w:val="28"/>
          <w:szCs w:val="24"/>
        </w:rPr>
      </w:pPr>
    </w:p>
    <w:tbl>
      <w:tblPr>
        <w:tblStyle w:val="11"/>
        <w:tblW w:w="7886" w:type="dxa"/>
        <w:tblInd w:w="420" w:type="dxa"/>
        <w:tblLayout w:type="fixed"/>
        <w:tblCellMar>
          <w:top w:w="0" w:type="dxa"/>
          <w:left w:w="108" w:type="dxa"/>
          <w:bottom w:w="0" w:type="dxa"/>
          <w:right w:w="108" w:type="dxa"/>
        </w:tblCellMar>
      </w:tblPr>
      <w:tblGrid>
        <w:gridCol w:w="1971"/>
        <w:gridCol w:w="2287"/>
        <w:gridCol w:w="1276"/>
        <w:gridCol w:w="2352"/>
      </w:tblGrid>
      <w:tr>
        <w:tblPrEx>
          <w:tblLayout w:type="fixed"/>
          <w:tblCellMar>
            <w:top w:w="0" w:type="dxa"/>
            <w:left w:w="108" w:type="dxa"/>
            <w:bottom w:w="0" w:type="dxa"/>
            <w:right w:w="108" w:type="dxa"/>
          </w:tblCellMar>
        </w:tblPrEx>
        <w:tc>
          <w:tcPr>
            <w:tcW w:w="1971"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检测微卫星数目</w:t>
            </w:r>
          </w:p>
        </w:tc>
        <w:tc>
          <w:tcPr>
            <w:tcW w:w="2287"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微卫星不稳定性分值</w:t>
            </w:r>
          </w:p>
        </w:tc>
        <w:tc>
          <w:tcPr>
            <w:tcW w:w="1276"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参考阈值</w:t>
            </w:r>
          </w:p>
        </w:tc>
        <w:tc>
          <w:tcPr>
            <w:tcW w:w="2352"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微卫星不稳定性评级</w:t>
            </w:r>
          </w:p>
        </w:tc>
      </w:tr>
      <w:tr>
        <w:tblPrEx>
          <w:tblLayout w:type="fixed"/>
          <w:tblCellMar>
            <w:top w:w="0" w:type="dxa"/>
            <w:left w:w="108" w:type="dxa"/>
            <w:bottom w:w="0" w:type="dxa"/>
            <w:right w:w="108" w:type="dxa"/>
          </w:tblCellMar>
        </w:tblPrEx>
        <w:tc>
          <w:tcPr>
            <w:tcW w:w="1971" w:type="dxa"/>
            <w:shd w:val="clear" w:color="auto" w:fill="F1F1F1" w:themeFill="background1" w:themeFillShade="F2"/>
            <w:vAlign w:val="center"/>
          </w:tcPr>
          <w:p>
            <w:pPr>
              <w:jc w:val="center"/>
              <w:rPr>
                <w:rFonts w:ascii="微软雅黑" w:hAnsi="微软雅黑" w:eastAsia="微软雅黑" w:cs="MicrosoftYaHei"/>
                <w:b w:val="0"/>
                <w:bCs/>
                <w:kern w:val="0"/>
                <w:sz w:val="22"/>
                <w:szCs w:val="24"/>
              </w:rPr>
            </w:pPr>
            <w:r>
              <w:rPr>
                <w:rFonts w:hint="eastAsia" w:ascii="微软雅黑" w:hAnsi="微软雅黑" w:eastAsia="微软雅黑" w:cs="MicrosoftYaHei"/>
                <w:b w:val="0"/>
                <w:bCs/>
                <w:kern w:val="0"/>
                <w:sz w:val="22"/>
                <w:szCs w:val="24"/>
              </w:rPr>
              <w:t>1</w:t>
            </w:r>
            <w:r>
              <w:rPr>
                <w:rFonts w:ascii="微软雅黑" w:hAnsi="微软雅黑" w:eastAsia="微软雅黑" w:cs="MicrosoftYaHei"/>
                <w:b w:val="0"/>
                <w:bCs/>
                <w:kern w:val="0"/>
                <w:sz w:val="22"/>
                <w:szCs w:val="24"/>
              </w:rPr>
              <w:t>100</w:t>
            </w:r>
          </w:p>
        </w:tc>
        <w:tc>
          <w:tcPr>
            <w:tcW w:w="2287" w:type="dxa"/>
            <w:shd w:val="clear" w:color="auto" w:fill="F1F1F1" w:themeFill="background1" w:themeFillShade="F2"/>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0</w:t>
            </w:r>
            <w:r>
              <w:rPr>
                <w:rFonts w:ascii="微软雅黑" w:hAnsi="微软雅黑" w:eastAsia="微软雅黑" w:cs="MicrosoftYaHei"/>
                <w:kern w:val="0"/>
                <w:sz w:val="22"/>
                <w:szCs w:val="24"/>
              </w:rPr>
              <w:t>.2928</w:t>
            </w:r>
          </w:p>
        </w:tc>
        <w:tc>
          <w:tcPr>
            <w:tcW w:w="1276" w:type="dxa"/>
            <w:shd w:val="clear" w:color="auto" w:fill="F1F1F1" w:themeFill="background1" w:themeFillShade="F2"/>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0</w:t>
            </w:r>
            <w:r>
              <w:rPr>
                <w:rFonts w:ascii="微软雅黑" w:hAnsi="微软雅黑" w:eastAsia="微软雅黑" w:cs="MicrosoftYaHei"/>
                <w:kern w:val="0"/>
                <w:sz w:val="22"/>
                <w:szCs w:val="24"/>
              </w:rPr>
              <w:t>.4</w:t>
            </w:r>
          </w:p>
        </w:tc>
        <w:tc>
          <w:tcPr>
            <w:tcW w:w="2352" w:type="dxa"/>
            <w:shd w:val="clear" w:color="auto" w:fill="F1F1F1" w:themeFill="background1" w:themeFillShade="F2"/>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M</w:t>
            </w:r>
            <w:r>
              <w:rPr>
                <w:rFonts w:ascii="微软雅黑" w:hAnsi="微软雅黑" w:eastAsia="微软雅黑" w:cs="MicrosoftYaHei"/>
                <w:kern w:val="0"/>
                <w:sz w:val="22"/>
                <w:szCs w:val="24"/>
              </w:rPr>
              <w:t>SI-H</w:t>
            </w:r>
          </w:p>
        </w:tc>
      </w:tr>
    </w:tbl>
    <w:p>
      <w:pPr>
        <w:widowControl/>
        <w:ind w:left="420"/>
        <w:jc w:val="left"/>
        <w:rPr>
          <w:rFonts w:ascii="微软雅黑" w:hAnsi="微软雅黑" w:eastAsia="微软雅黑" w:cs="MicrosoftYaHei"/>
          <w:b/>
          <w:color w:val="203864" w:themeColor="accent1" w:themeShade="80"/>
          <w:kern w:val="0"/>
          <w:sz w:val="28"/>
          <w:szCs w:val="24"/>
        </w:rPr>
      </w:pPr>
    </w:p>
    <w:p>
      <w:pPr>
        <w:widowControl/>
        <w:numPr>
          <w:ilvl w:val="0"/>
          <w:numId w:val="2"/>
        </w:numPr>
        <w:spacing w:line="400" w:lineRule="exact"/>
        <w:jc w:val="left"/>
        <w:rPr>
          <w:rFonts w:ascii="微软雅黑" w:hAnsi="微软雅黑" w:eastAsia="微软雅黑" w:cs="MicrosoftYaHei"/>
          <w:b/>
          <w:kern w:val="0"/>
          <w:sz w:val="22"/>
          <w:szCs w:val="24"/>
        </w:rPr>
      </w:pPr>
      <w:r>
        <w:rPr>
          <w:rFonts w:hint="eastAsia" w:ascii="微软雅黑" w:hAnsi="微软雅黑" w:eastAsia="微软雅黑" w:cs="MicrosoftYaHei"/>
          <w:b/>
          <w:kern w:val="0"/>
          <w:sz w:val="22"/>
          <w:szCs w:val="24"/>
        </w:rPr>
        <w:t>微卫星</w:t>
      </w:r>
    </w:p>
    <w:p>
      <w:pPr>
        <w:spacing w:line="400" w:lineRule="exact"/>
        <w:ind w:left="630" w:leftChars="300"/>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是指分布在人类基因组里的简单重复序列，包含单核苷酸、双核苷酸或高位核苷酸的重复（小于1</w:t>
      </w:r>
      <w:r>
        <w:rPr>
          <w:rFonts w:ascii="微软雅黑" w:hAnsi="微软雅黑" w:eastAsia="微软雅黑" w:cs="MicrosoftYaHei"/>
          <w:kern w:val="0"/>
          <w:sz w:val="22"/>
          <w:szCs w:val="24"/>
        </w:rPr>
        <w:t>0</w:t>
      </w:r>
      <w:r>
        <w:rPr>
          <w:rFonts w:hint="eastAsia" w:ascii="微软雅黑" w:hAnsi="微软雅黑" w:eastAsia="微软雅黑" w:cs="MicrosoftYaHei"/>
          <w:kern w:val="0"/>
          <w:sz w:val="22"/>
          <w:szCs w:val="24"/>
        </w:rPr>
        <w:t>个），如（A）n或（C</w:t>
      </w:r>
      <w:r>
        <w:rPr>
          <w:rFonts w:ascii="微软雅黑" w:hAnsi="微软雅黑" w:eastAsia="微软雅黑" w:cs="MicrosoftYaHei"/>
          <w:kern w:val="0"/>
          <w:sz w:val="22"/>
          <w:szCs w:val="24"/>
        </w:rPr>
        <w:t>A</w:t>
      </w:r>
      <w:r>
        <w:rPr>
          <w:rFonts w:hint="eastAsia" w:ascii="微软雅黑" w:hAnsi="微软雅黑" w:eastAsia="微软雅黑" w:cs="MicrosoftYaHei"/>
          <w:kern w:val="0"/>
          <w:sz w:val="22"/>
          <w:szCs w:val="24"/>
        </w:rPr>
        <w:t>）n。重复次数n一般为1</w:t>
      </w:r>
      <w:r>
        <w:rPr>
          <w:rFonts w:ascii="微软雅黑" w:hAnsi="微软雅黑" w:eastAsia="微软雅黑" w:cs="MicrosoftYaHei"/>
          <w:kern w:val="0"/>
          <w:sz w:val="22"/>
          <w:szCs w:val="24"/>
        </w:rPr>
        <w:t>0</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50</w:t>
      </w:r>
      <w:r>
        <w:rPr>
          <w:rFonts w:hint="eastAsia" w:ascii="微软雅黑" w:hAnsi="微软雅黑" w:eastAsia="微软雅黑" w:cs="MicrosoftYaHei"/>
          <w:kern w:val="0"/>
          <w:sz w:val="22"/>
          <w:szCs w:val="24"/>
        </w:rPr>
        <w:t>次。在肿瘤样本中，如果重复次数相对于自身对照样本发生变化即为微卫星不稳定（M</w:t>
      </w:r>
      <w:r>
        <w:rPr>
          <w:rFonts w:ascii="微软雅黑" w:hAnsi="微软雅黑" w:eastAsia="微软雅黑" w:cs="MicrosoftYaHei"/>
          <w:kern w:val="0"/>
          <w:sz w:val="22"/>
          <w:szCs w:val="24"/>
        </w:rPr>
        <w:t>SI</w:t>
      </w:r>
      <w:r>
        <w:rPr>
          <w:rFonts w:hint="eastAsia" w:ascii="微软雅黑" w:hAnsi="微软雅黑" w:eastAsia="微软雅黑" w:cs="MicrosoftYaHei"/>
          <w:kern w:val="0"/>
          <w:sz w:val="22"/>
          <w:szCs w:val="24"/>
        </w:rPr>
        <w:t>）。微卫星不稳定性分值如果超过0</w:t>
      </w:r>
      <w:r>
        <w:rPr>
          <w:rFonts w:ascii="微软雅黑" w:hAnsi="微软雅黑" w:eastAsia="微软雅黑" w:cs="MicrosoftYaHei"/>
          <w:kern w:val="0"/>
          <w:sz w:val="22"/>
          <w:szCs w:val="24"/>
        </w:rPr>
        <w:t>.4</w:t>
      </w:r>
      <w:r>
        <w:rPr>
          <w:rFonts w:hint="eastAsia" w:ascii="微软雅黑" w:hAnsi="微软雅黑" w:eastAsia="微软雅黑" w:cs="MicrosoftYaHei"/>
          <w:kern w:val="0"/>
          <w:sz w:val="22"/>
          <w:szCs w:val="24"/>
        </w:rPr>
        <w:t>，那么微卫星不稳定性评级为高（M</w:t>
      </w:r>
      <w:r>
        <w:rPr>
          <w:rFonts w:ascii="微软雅黑" w:hAnsi="微软雅黑" w:eastAsia="微软雅黑" w:cs="MicrosoftYaHei"/>
          <w:kern w:val="0"/>
          <w:sz w:val="22"/>
          <w:szCs w:val="24"/>
        </w:rPr>
        <w:t>SI-H</w:t>
      </w:r>
      <w:r>
        <w:rPr>
          <w:rFonts w:hint="eastAsia" w:ascii="微软雅黑" w:hAnsi="微软雅黑" w:eastAsia="微软雅黑" w:cs="MicrosoftYaHei"/>
          <w:kern w:val="0"/>
          <w:sz w:val="22"/>
          <w:szCs w:val="24"/>
        </w:rPr>
        <w:t>），否则评价为非高（M</w:t>
      </w:r>
      <w:r>
        <w:rPr>
          <w:rFonts w:ascii="微软雅黑" w:hAnsi="微软雅黑" w:eastAsia="微软雅黑" w:cs="MicrosoftYaHei"/>
          <w:kern w:val="0"/>
          <w:sz w:val="22"/>
          <w:szCs w:val="24"/>
        </w:rPr>
        <w:t>SI-L/MSS</w:t>
      </w:r>
      <w:r>
        <w:rPr>
          <w:rFonts w:hint="eastAsia" w:ascii="微软雅黑" w:hAnsi="微软雅黑" w:eastAsia="微软雅黑" w:cs="MicrosoftYaHei"/>
          <w:kern w:val="0"/>
          <w:sz w:val="22"/>
          <w:szCs w:val="24"/>
        </w:rPr>
        <w:t>）。</w:t>
      </w:r>
    </w:p>
    <w:p>
      <w:pPr>
        <w:widowControl/>
        <w:ind w:left="420"/>
        <w:jc w:val="left"/>
        <w:rPr>
          <w:rFonts w:ascii="微软雅黑" w:hAnsi="微软雅黑" w:eastAsia="微软雅黑" w:cs="MicrosoftYaHei"/>
          <w:b/>
          <w:color w:val="203864" w:themeColor="accent1" w:themeShade="80"/>
          <w:kern w:val="0"/>
          <w:sz w:val="28"/>
          <w:szCs w:val="24"/>
        </w:rPr>
      </w:pPr>
    </w:p>
    <w:p>
      <w:pPr>
        <w:widowControl/>
        <w:ind w:left="420"/>
        <w:jc w:val="left"/>
        <w:rPr>
          <w:rFonts w:ascii="微软雅黑" w:hAnsi="微软雅黑" w:eastAsia="微软雅黑" w:cs="MicrosoftYaHei"/>
          <w:b/>
          <w:color w:val="203864" w:themeColor="accent1" w:themeShade="80"/>
          <w:kern w:val="0"/>
          <w:sz w:val="28"/>
          <w:szCs w:val="24"/>
        </w:rPr>
      </w:pPr>
    </w:p>
    <w:p>
      <w:pPr>
        <w:widowControl/>
        <w:numPr>
          <w:ilvl w:val="0"/>
          <w:numId w:val="1"/>
        </w:numPr>
        <w:jc w:val="left"/>
        <w:rPr>
          <w:rFonts w:ascii="微软雅黑" w:hAnsi="微软雅黑" w:eastAsia="微软雅黑" w:cs="MicrosoftYaHei"/>
          <w:b/>
          <w:color w:val="203864" w:themeColor="accent1" w:themeShade="80"/>
          <w:kern w:val="0"/>
          <w:sz w:val="28"/>
          <w:szCs w:val="24"/>
        </w:rPr>
      </w:pPr>
      <w:r>
        <w:rPr>
          <w:rFonts w:ascii="微软雅黑" w:hAnsi="微软雅黑" w:eastAsia="微软雅黑" w:cs="MicrosoftYaHei"/>
          <w:b/>
          <w:color w:val="203864" w:themeColor="accent1" w:themeShade="80"/>
          <w:kern w:val="0"/>
          <w:sz w:val="28"/>
          <w:szCs w:val="24"/>
        </w:rPr>
        <w:br w:type="page"/>
      </w:r>
    </w:p>
    <w:p>
      <w:pPr>
        <w:widowControl/>
        <w:numPr>
          <w:ilvl w:val="0"/>
          <w:numId w:val="1"/>
        </w:numPr>
        <w:jc w:val="left"/>
        <w:rPr>
          <w:rFonts w:ascii="微软雅黑" w:hAnsi="微软雅黑" w:eastAsia="微软雅黑" w:cs="MicrosoftYaHei"/>
          <w:b/>
          <w:color w:val="203864" w:themeColor="accent1" w:themeShade="80"/>
          <w:kern w:val="0"/>
          <w:sz w:val="24"/>
          <w:szCs w:val="24"/>
        </w:rPr>
      </w:pPr>
      <w:r>
        <w:rPr>
          <w:rFonts w:hint="eastAsia" w:ascii="微软雅黑" w:hAnsi="微软雅黑" w:eastAsia="微软雅黑" w:cs="MicrosoftYaHei"/>
          <w:b/>
          <w:color w:val="203864" w:themeColor="accent1" w:themeShade="80"/>
          <w:kern w:val="0"/>
          <w:sz w:val="24"/>
          <w:szCs w:val="24"/>
        </w:rPr>
        <w:t>免疫检测点抑制剂使用风险检测</w:t>
      </w:r>
    </w:p>
    <w:p>
      <w:pPr>
        <w:widowControl/>
        <w:jc w:val="left"/>
        <w:rPr>
          <w:rFonts w:ascii="微软雅黑" w:hAnsi="微软雅黑" w:eastAsia="微软雅黑" w:cs="MicrosoftYaHei"/>
          <w:b/>
          <w:color w:val="203864" w:themeColor="accent1" w:themeShade="80"/>
          <w:kern w:val="0"/>
          <w:sz w:val="28"/>
          <w:szCs w:val="24"/>
        </w:rPr>
      </w:pPr>
    </w:p>
    <w:tbl>
      <w:tblPr>
        <w:tblStyle w:val="11"/>
        <w:tblW w:w="7880" w:type="dxa"/>
        <w:tblInd w:w="426" w:type="dxa"/>
        <w:tblLayout w:type="fixed"/>
        <w:tblCellMar>
          <w:top w:w="0" w:type="dxa"/>
          <w:left w:w="108" w:type="dxa"/>
          <w:bottom w:w="0" w:type="dxa"/>
          <w:right w:w="108" w:type="dxa"/>
        </w:tblCellMar>
      </w:tblPr>
      <w:tblGrid>
        <w:gridCol w:w="1650"/>
        <w:gridCol w:w="3027"/>
        <w:gridCol w:w="1701"/>
        <w:gridCol w:w="1502"/>
      </w:tblGrid>
      <w:tr>
        <w:tblPrEx>
          <w:tblLayout w:type="fixed"/>
          <w:tblCellMar>
            <w:top w:w="0" w:type="dxa"/>
            <w:left w:w="108" w:type="dxa"/>
            <w:bottom w:w="0" w:type="dxa"/>
            <w:right w:w="108" w:type="dxa"/>
          </w:tblCellMar>
        </w:tblPrEx>
        <w:tc>
          <w:tcPr>
            <w:tcW w:w="1650"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基因</w:t>
            </w:r>
          </w:p>
        </w:tc>
        <w:tc>
          <w:tcPr>
            <w:tcW w:w="3027"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突变</w:t>
            </w:r>
          </w:p>
        </w:tc>
        <w:tc>
          <w:tcPr>
            <w:tcW w:w="1701"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D</w:t>
            </w:r>
            <w:r>
              <w:rPr>
                <w:rFonts w:ascii="微软雅黑" w:hAnsi="微软雅黑" w:eastAsia="微软雅黑" w:cs="MicrosoftYaHei"/>
                <w:b/>
                <w:bCs/>
                <w:kern w:val="0"/>
                <w:sz w:val="22"/>
              </w:rPr>
              <w:t>NA</w:t>
            </w:r>
            <w:r>
              <w:rPr>
                <w:rFonts w:hint="eastAsia" w:ascii="微软雅黑" w:hAnsi="微软雅黑" w:eastAsia="微软雅黑" w:cs="MicrosoftYaHei"/>
                <w:b/>
                <w:bCs/>
                <w:kern w:val="0"/>
                <w:sz w:val="22"/>
              </w:rPr>
              <w:t>频率</w:t>
            </w:r>
          </w:p>
        </w:tc>
        <w:tc>
          <w:tcPr>
            <w:tcW w:w="1502"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突变类型</w:t>
            </w:r>
          </w:p>
        </w:tc>
      </w:tr>
      <w:tr>
        <w:tblPrEx>
          <w:tblLayout w:type="fixed"/>
          <w:tblCellMar>
            <w:top w:w="0" w:type="dxa"/>
            <w:left w:w="108" w:type="dxa"/>
            <w:bottom w:w="0" w:type="dxa"/>
            <w:right w:w="108" w:type="dxa"/>
          </w:tblCellMar>
        </w:tblPrEx>
        <w:tc>
          <w:tcPr>
            <w:tcW w:w="1650" w:type="dxa"/>
            <w:shd w:val="clear" w:color="auto" w:fill="F1F1F1" w:themeFill="background1" w:themeFillShade="F2"/>
            <w:vAlign w:val="center"/>
          </w:tcPr>
          <w:p>
            <w:pPr>
              <w:jc w:val="center"/>
              <w:rPr>
                <w:rFonts w:ascii="微软雅黑" w:hAnsi="微软雅黑" w:eastAsia="微软雅黑" w:cs="MicrosoftYaHei"/>
                <w:b w:val="0"/>
                <w:bCs/>
                <w:kern w:val="0"/>
                <w:sz w:val="22"/>
                <w:szCs w:val="24"/>
              </w:rPr>
            </w:pPr>
            <w:r>
              <w:rPr>
                <w:rFonts w:hint="eastAsia" w:ascii="微软雅黑" w:hAnsi="微软雅黑" w:eastAsia="微软雅黑" w:cs="MicrosoftYaHei"/>
                <w:b w:val="0"/>
                <w:bCs/>
                <w:kern w:val="0"/>
                <w:sz w:val="22"/>
                <w:szCs w:val="24"/>
              </w:rPr>
              <w:t>D</w:t>
            </w:r>
            <w:r>
              <w:rPr>
                <w:rFonts w:ascii="微软雅黑" w:hAnsi="微软雅黑" w:eastAsia="微软雅黑" w:cs="MicrosoftYaHei"/>
                <w:b w:val="0"/>
                <w:bCs/>
                <w:kern w:val="0"/>
                <w:sz w:val="22"/>
                <w:szCs w:val="24"/>
              </w:rPr>
              <w:t>NMT3A</w:t>
            </w:r>
          </w:p>
        </w:tc>
        <w:tc>
          <w:tcPr>
            <w:tcW w:w="3027" w:type="dxa"/>
            <w:shd w:val="clear" w:color="auto" w:fill="F1F1F1" w:themeFill="background1" w:themeFillShade="F2"/>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未检测到相关基因突变</w:t>
            </w:r>
          </w:p>
        </w:tc>
        <w:tc>
          <w:tcPr>
            <w:tcW w:w="1701" w:type="dxa"/>
            <w:shd w:val="clear" w:color="auto" w:fill="F1F1F1" w:themeFill="background1" w:themeFillShade="F2"/>
            <w:vAlign w:val="center"/>
          </w:tcPr>
          <w:p>
            <w:pPr>
              <w:jc w:val="center"/>
              <w:rPr>
                <w:rFonts w:ascii="微软雅黑" w:hAnsi="微软雅黑" w:eastAsia="微软雅黑" w:cs="MicrosoftYaHei"/>
                <w:b/>
                <w:kern w:val="0"/>
                <w:sz w:val="22"/>
                <w:szCs w:val="24"/>
              </w:rPr>
            </w:pPr>
          </w:p>
        </w:tc>
        <w:tc>
          <w:tcPr>
            <w:tcW w:w="1502" w:type="dxa"/>
            <w:shd w:val="clear" w:color="auto" w:fill="F1F1F1" w:themeFill="background1" w:themeFillShade="F2"/>
            <w:vAlign w:val="center"/>
          </w:tcPr>
          <w:p>
            <w:pPr>
              <w:jc w:val="center"/>
              <w:rPr>
                <w:rFonts w:ascii="微软雅黑" w:hAnsi="微软雅黑" w:eastAsia="微软雅黑" w:cs="MicrosoftYaHei"/>
                <w:b/>
                <w:kern w:val="0"/>
                <w:sz w:val="22"/>
                <w:szCs w:val="24"/>
              </w:rPr>
            </w:pPr>
          </w:p>
        </w:tc>
      </w:tr>
      <w:tr>
        <w:tblPrEx>
          <w:tblLayout w:type="fixed"/>
          <w:tblCellMar>
            <w:top w:w="0" w:type="dxa"/>
            <w:left w:w="108" w:type="dxa"/>
            <w:bottom w:w="0" w:type="dxa"/>
            <w:right w:w="108" w:type="dxa"/>
          </w:tblCellMar>
        </w:tblPrEx>
        <w:tc>
          <w:tcPr>
            <w:tcW w:w="1650" w:type="dxa"/>
            <w:vAlign w:val="center"/>
          </w:tcPr>
          <w:p>
            <w:pPr>
              <w:jc w:val="center"/>
              <w:rPr>
                <w:rFonts w:ascii="微软雅黑" w:hAnsi="微软雅黑" w:eastAsia="微软雅黑" w:cs="MicrosoftYaHei"/>
                <w:b w:val="0"/>
                <w:bCs/>
                <w:kern w:val="0"/>
                <w:sz w:val="22"/>
                <w:szCs w:val="24"/>
              </w:rPr>
            </w:pPr>
            <w:r>
              <w:rPr>
                <w:rFonts w:hint="eastAsia" w:ascii="微软雅黑" w:hAnsi="微软雅黑" w:eastAsia="微软雅黑" w:cs="MicrosoftYaHei"/>
                <w:b w:val="0"/>
                <w:bCs/>
                <w:kern w:val="0"/>
                <w:sz w:val="22"/>
                <w:szCs w:val="24"/>
              </w:rPr>
              <w:t>E</w:t>
            </w:r>
            <w:r>
              <w:rPr>
                <w:rFonts w:ascii="微软雅黑" w:hAnsi="微软雅黑" w:eastAsia="微软雅黑" w:cs="MicrosoftYaHei"/>
                <w:b w:val="0"/>
                <w:bCs/>
                <w:kern w:val="0"/>
                <w:sz w:val="22"/>
                <w:szCs w:val="24"/>
              </w:rPr>
              <w:t>GFR</w:t>
            </w:r>
          </w:p>
        </w:tc>
        <w:tc>
          <w:tcPr>
            <w:tcW w:w="3027" w:type="dxa"/>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未检测到相关基因突变</w:t>
            </w:r>
          </w:p>
        </w:tc>
        <w:tc>
          <w:tcPr>
            <w:tcW w:w="1701" w:type="dxa"/>
            <w:vAlign w:val="center"/>
          </w:tcPr>
          <w:p>
            <w:pPr>
              <w:jc w:val="center"/>
              <w:rPr>
                <w:rFonts w:ascii="微软雅黑" w:hAnsi="微软雅黑" w:eastAsia="微软雅黑" w:cs="MicrosoftYaHei"/>
                <w:b/>
                <w:kern w:val="0"/>
                <w:sz w:val="22"/>
                <w:szCs w:val="24"/>
              </w:rPr>
            </w:pPr>
          </w:p>
        </w:tc>
        <w:tc>
          <w:tcPr>
            <w:tcW w:w="1502" w:type="dxa"/>
            <w:vAlign w:val="center"/>
          </w:tcPr>
          <w:p>
            <w:pPr>
              <w:jc w:val="center"/>
              <w:rPr>
                <w:rFonts w:ascii="微软雅黑" w:hAnsi="微软雅黑" w:eastAsia="微软雅黑" w:cs="MicrosoftYaHei"/>
                <w:b/>
                <w:kern w:val="0"/>
                <w:sz w:val="22"/>
                <w:szCs w:val="24"/>
              </w:rPr>
            </w:pPr>
          </w:p>
        </w:tc>
      </w:tr>
    </w:tbl>
    <w:p>
      <w:pPr>
        <w:widowControl/>
        <w:jc w:val="left"/>
        <w:rPr>
          <w:rFonts w:ascii="微软雅黑" w:hAnsi="微软雅黑" w:eastAsia="微软雅黑" w:cs="MicrosoftYaHei"/>
          <w:b/>
          <w:color w:val="203864" w:themeColor="accent1" w:themeShade="80"/>
          <w:kern w:val="0"/>
          <w:sz w:val="28"/>
          <w:szCs w:val="24"/>
        </w:rPr>
      </w:pPr>
    </w:p>
    <w:tbl>
      <w:tblPr>
        <w:tblStyle w:val="11"/>
        <w:tblW w:w="7880" w:type="dxa"/>
        <w:tblInd w:w="426" w:type="dxa"/>
        <w:tblLayout w:type="fixed"/>
        <w:tblCellMar>
          <w:top w:w="0" w:type="dxa"/>
          <w:left w:w="108" w:type="dxa"/>
          <w:bottom w:w="0" w:type="dxa"/>
          <w:right w:w="108" w:type="dxa"/>
        </w:tblCellMar>
      </w:tblPr>
      <w:tblGrid>
        <w:gridCol w:w="1650"/>
        <w:gridCol w:w="3027"/>
        <w:gridCol w:w="1701"/>
        <w:gridCol w:w="1502"/>
      </w:tblGrid>
      <w:tr>
        <w:tblPrEx>
          <w:tblLayout w:type="fixed"/>
          <w:tblCellMar>
            <w:top w:w="0" w:type="dxa"/>
            <w:left w:w="108" w:type="dxa"/>
            <w:bottom w:w="0" w:type="dxa"/>
            <w:right w:w="108" w:type="dxa"/>
          </w:tblCellMar>
        </w:tblPrEx>
        <w:tc>
          <w:tcPr>
            <w:tcW w:w="1650"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基因</w:t>
            </w:r>
          </w:p>
        </w:tc>
        <w:tc>
          <w:tcPr>
            <w:tcW w:w="3027"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突变</w:t>
            </w:r>
          </w:p>
        </w:tc>
        <w:tc>
          <w:tcPr>
            <w:tcW w:w="1701"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拷贝数</w:t>
            </w:r>
            <w:r>
              <w:rPr>
                <w:rFonts w:ascii="微软雅黑" w:hAnsi="微软雅黑" w:eastAsia="微软雅黑" w:cs="MicrosoftYaHei"/>
                <w:b/>
                <w:bCs/>
                <w:kern w:val="0"/>
                <w:sz w:val="22"/>
              </w:rPr>
              <w:t xml:space="preserve"> </w:t>
            </w:r>
          </w:p>
        </w:tc>
        <w:tc>
          <w:tcPr>
            <w:tcW w:w="1502"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p</w:t>
            </w:r>
            <w:r>
              <w:rPr>
                <w:rFonts w:ascii="微软雅黑" w:hAnsi="微软雅黑" w:eastAsia="微软雅黑" w:cs="MicrosoftYaHei"/>
                <w:b/>
                <w:bCs/>
                <w:kern w:val="0"/>
                <w:sz w:val="22"/>
              </w:rPr>
              <w:t>-value</w:t>
            </w:r>
          </w:p>
        </w:tc>
      </w:tr>
      <w:tr>
        <w:tblPrEx>
          <w:tblLayout w:type="fixed"/>
          <w:tblCellMar>
            <w:top w:w="0" w:type="dxa"/>
            <w:left w:w="108" w:type="dxa"/>
            <w:bottom w:w="0" w:type="dxa"/>
            <w:right w:w="108" w:type="dxa"/>
          </w:tblCellMar>
        </w:tblPrEx>
        <w:tc>
          <w:tcPr>
            <w:tcW w:w="1650" w:type="dxa"/>
            <w:shd w:val="clear" w:color="auto" w:fill="F1F1F1" w:themeFill="background1" w:themeFillShade="F2"/>
            <w:vAlign w:val="center"/>
          </w:tcPr>
          <w:p>
            <w:pPr>
              <w:jc w:val="center"/>
              <w:rPr>
                <w:rFonts w:ascii="微软雅黑" w:hAnsi="微软雅黑" w:eastAsia="微软雅黑" w:cs="MicrosoftYaHei"/>
                <w:b w:val="0"/>
                <w:bCs/>
                <w:kern w:val="0"/>
                <w:sz w:val="22"/>
                <w:szCs w:val="24"/>
              </w:rPr>
            </w:pPr>
            <w:r>
              <w:rPr>
                <w:rFonts w:ascii="微软雅黑" w:hAnsi="微软雅黑" w:eastAsia="微软雅黑" w:cs="MicrosoftYaHei"/>
                <w:b w:val="0"/>
                <w:bCs/>
                <w:kern w:val="0"/>
                <w:sz w:val="22"/>
                <w:szCs w:val="24"/>
              </w:rPr>
              <w:t>MDM2</w:t>
            </w:r>
          </w:p>
        </w:tc>
        <w:tc>
          <w:tcPr>
            <w:tcW w:w="3027" w:type="dxa"/>
            <w:shd w:val="clear" w:color="auto" w:fill="F1F1F1" w:themeFill="background1" w:themeFillShade="F2"/>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未检测到相关基因突变</w:t>
            </w:r>
          </w:p>
        </w:tc>
        <w:tc>
          <w:tcPr>
            <w:tcW w:w="1701" w:type="dxa"/>
            <w:shd w:val="clear" w:color="auto" w:fill="F1F1F1" w:themeFill="background1" w:themeFillShade="F2"/>
            <w:vAlign w:val="center"/>
          </w:tcPr>
          <w:p>
            <w:pPr>
              <w:jc w:val="center"/>
              <w:rPr>
                <w:rFonts w:ascii="微软雅黑" w:hAnsi="微软雅黑" w:eastAsia="微软雅黑" w:cs="MicrosoftYaHei"/>
                <w:b/>
                <w:kern w:val="0"/>
                <w:sz w:val="22"/>
                <w:szCs w:val="24"/>
              </w:rPr>
            </w:pPr>
          </w:p>
        </w:tc>
        <w:tc>
          <w:tcPr>
            <w:tcW w:w="1502" w:type="dxa"/>
            <w:shd w:val="clear" w:color="auto" w:fill="F1F1F1" w:themeFill="background1" w:themeFillShade="F2"/>
            <w:vAlign w:val="center"/>
          </w:tcPr>
          <w:p>
            <w:pPr>
              <w:jc w:val="center"/>
              <w:rPr>
                <w:rFonts w:ascii="微软雅黑" w:hAnsi="微软雅黑" w:eastAsia="微软雅黑" w:cs="MicrosoftYaHei"/>
                <w:b/>
                <w:kern w:val="0"/>
                <w:sz w:val="22"/>
                <w:szCs w:val="24"/>
              </w:rPr>
            </w:pPr>
          </w:p>
        </w:tc>
      </w:tr>
      <w:tr>
        <w:tblPrEx>
          <w:tblLayout w:type="fixed"/>
          <w:tblCellMar>
            <w:top w:w="0" w:type="dxa"/>
            <w:left w:w="108" w:type="dxa"/>
            <w:bottom w:w="0" w:type="dxa"/>
            <w:right w:w="108" w:type="dxa"/>
          </w:tblCellMar>
        </w:tblPrEx>
        <w:tc>
          <w:tcPr>
            <w:tcW w:w="1650" w:type="dxa"/>
            <w:vAlign w:val="center"/>
          </w:tcPr>
          <w:p>
            <w:pPr>
              <w:jc w:val="center"/>
              <w:rPr>
                <w:rFonts w:ascii="微软雅黑" w:hAnsi="微软雅黑" w:eastAsia="微软雅黑" w:cs="MicrosoftYaHei"/>
                <w:b w:val="0"/>
                <w:bCs/>
                <w:kern w:val="0"/>
                <w:sz w:val="22"/>
                <w:szCs w:val="24"/>
              </w:rPr>
            </w:pPr>
            <w:r>
              <w:rPr>
                <w:rFonts w:hint="eastAsia" w:ascii="微软雅黑" w:hAnsi="微软雅黑" w:eastAsia="微软雅黑" w:cs="MicrosoftYaHei"/>
                <w:b w:val="0"/>
                <w:bCs/>
                <w:kern w:val="0"/>
                <w:sz w:val="22"/>
                <w:szCs w:val="24"/>
              </w:rPr>
              <w:t>M</w:t>
            </w:r>
            <w:r>
              <w:rPr>
                <w:rFonts w:ascii="微软雅黑" w:hAnsi="微软雅黑" w:eastAsia="微软雅黑" w:cs="MicrosoftYaHei"/>
                <w:b w:val="0"/>
                <w:bCs/>
                <w:kern w:val="0"/>
                <w:sz w:val="22"/>
                <w:szCs w:val="24"/>
              </w:rPr>
              <w:t>DM4</w:t>
            </w:r>
          </w:p>
        </w:tc>
        <w:tc>
          <w:tcPr>
            <w:tcW w:w="3027" w:type="dxa"/>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未检测到相关基因突变</w:t>
            </w:r>
          </w:p>
        </w:tc>
        <w:tc>
          <w:tcPr>
            <w:tcW w:w="1701" w:type="dxa"/>
            <w:vAlign w:val="center"/>
          </w:tcPr>
          <w:p>
            <w:pPr>
              <w:jc w:val="center"/>
              <w:rPr>
                <w:rFonts w:ascii="微软雅黑" w:hAnsi="微软雅黑" w:eastAsia="微软雅黑" w:cs="MicrosoftYaHei"/>
                <w:b/>
                <w:kern w:val="0"/>
                <w:sz w:val="22"/>
                <w:szCs w:val="24"/>
              </w:rPr>
            </w:pPr>
          </w:p>
        </w:tc>
        <w:tc>
          <w:tcPr>
            <w:tcW w:w="1502" w:type="dxa"/>
            <w:vAlign w:val="center"/>
          </w:tcPr>
          <w:p>
            <w:pPr>
              <w:jc w:val="center"/>
              <w:rPr>
                <w:rFonts w:ascii="微软雅黑" w:hAnsi="微软雅黑" w:eastAsia="微软雅黑" w:cs="MicrosoftYaHei"/>
                <w:b/>
                <w:kern w:val="0"/>
                <w:sz w:val="22"/>
                <w:szCs w:val="24"/>
              </w:rPr>
            </w:pPr>
          </w:p>
        </w:tc>
      </w:tr>
    </w:tbl>
    <w:p>
      <w:pPr>
        <w:widowControl/>
        <w:spacing w:line="400" w:lineRule="exact"/>
        <w:ind w:left="860"/>
        <w:jc w:val="left"/>
        <w:rPr>
          <w:rFonts w:ascii="微软雅黑" w:hAnsi="微软雅黑" w:eastAsia="微软雅黑" w:cs="MicrosoftYaHei"/>
          <w:b/>
          <w:kern w:val="0"/>
          <w:sz w:val="22"/>
          <w:szCs w:val="24"/>
        </w:rPr>
      </w:pPr>
    </w:p>
    <w:p>
      <w:pPr>
        <w:widowControl/>
        <w:numPr>
          <w:ilvl w:val="0"/>
          <w:numId w:val="2"/>
        </w:numPr>
        <w:spacing w:line="400" w:lineRule="exact"/>
        <w:jc w:val="left"/>
        <w:rPr>
          <w:rFonts w:ascii="微软雅黑" w:hAnsi="微软雅黑" w:eastAsia="微软雅黑" w:cs="MicrosoftYaHei"/>
          <w:b/>
          <w:kern w:val="0"/>
          <w:sz w:val="22"/>
          <w:szCs w:val="24"/>
        </w:rPr>
      </w:pPr>
      <w:r>
        <w:rPr>
          <w:rFonts w:hint="eastAsia" w:ascii="微软雅黑" w:hAnsi="微软雅黑" w:eastAsia="微软雅黑" w:cs="MicrosoftYaHei"/>
          <w:b/>
          <w:kern w:val="0"/>
          <w:sz w:val="22"/>
          <w:szCs w:val="24"/>
        </w:rPr>
        <w:t>D</w:t>
      </w:r>
      <w:r>
        <w:rPr>
          <w:rFonts w:ascii="微软雅黑" w:hAnsi="微软雅黑" w:eastAsia="微软雅黑" w:cs="MicrosoftYaHei"/>
          <w:b/>
          <w:kern w:val="0"/>
          <w:sz w:val="22"/>
          <w:szCs w:val="24"/>
        </w:rPr>
        <w:t>NMT3A</w:t>
      </w:r>
    </w:p>
    <w:p>
      <w:pPr>
        <w:spacing w:line="400" w:lineRule="exact"/>
        <w:ind w:left="630" w:leftChars="300"/>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D</w:t>
      </w:r>
      <w:r>
        <w:rPr>
          <w:rFonts w:ascii="微软雅黑" w:hAnsi="微软雅黑" w:eastAsia="微软雅黑" w:cs="MicrosoftYaHei"/>
          <w:kern w:val="0"/>
          <w:sz w:val="22"/>
          <w:szCs w:val="24"/>
        </w:rPr>
        <w:t>NA</w:t>
      </w:r>
      <w:r>
        <w:rPr>
          <w:rFonts w:hint="eastAsia" w:ascii="微软雅黑" w:hAnsi="微软雅黑" w:eastAsia="微软雅黑" w:cs="MicrosoftYaHei"/>
          <w:kern w:val="0"/>
          <w:sz w:val="22"/>
          <w:szCs w:val="24"/>
        </w:rPr>
        <w:t>甲基转移酶3α（D</w:t>
      </w:r>
      <w:r>
        <w:rPr>
          <w:rFonts w:ascii="微软雅黑" w:hAnsi="微软雅黑" w:eastAsia="微软雅黑" w:cs="MicrosoftYaHei"/>
          <w:kern w:val="0"/>
          <w:sz w:val="22"/>
          <w:szCs w:val="24"/>
        </w:rPr>
        <w:t>NA M</w:t>
      </w:r>
      <w:r>
        <w:rPr>
          <w:rFonts w:hint="eastAsia" w:ascii="微软雅黑" w:hAnsi="微软雅黑" w:eastAsia="微软雅黑" w:cs="MicrosoftYaHei"/>
          <w:kern w:val="0"/>
          <w:sz w:val="22"/>
          <w:szCs w:val="24"/>
        </w:rPr>
        <w:t>ethy</w:t>
      </w:r>
      <w:r>
        <w:rPr>
          <w:rFonts w:ascii="微软雅黑" w:hAnsi="微软雅黑" w:eastAsia="微软雅黑" w:cs="MicrosoftYaHei"/>
          <w:kern w:val="0"/>
          <w:sz w:val="22"/>
          <w:szCs w:val="24"/>
        </w:rPr>
        <w:t>ltransferase 3 Alpha, DNMT3A</w:t>
      </w:r>
      <w:r>
        <w:rPr>
          <w:rFonts w:hint="eastAsia" w:ascii="微软雅黑" w:hAnsi="微软雅黑" w:eastAsia="微软雅黑" w:cs="MicrosoftYaHei"/>
          <w:kern w:val="0"/>
          <w:sz w:val="22"/>
          <w:szCs w:val="24"/>
        </w:rPr>
        <w:t>）是重新甲基化酶，它可以使去甲基化的Cp</w:t>
      </w:r>
      <w:r>
        <w:rPr>
          <w:rFonts w:ascii="微软雅黑" w:hAnsi="微软雅黑" w:eastAsia="微软雅黑" w:cs="MicrosoftYaHei"/>
          <w:kern w:val="0"/>
          <w:sz w:val="22"/>
          <w:szCs w:val="24"/>
        </w:rPr>
        <w:t>G</w:t>
      </w:r>
      <w:r>
        <w:rPr>
          <w:rFonts w:hint="eastAsia" w:ascii="微软雅黑" w:hAnsi="微软雅黑" w:eastAsia="微软雅黑" w:cs="MicrosoftYaHei"/>
          <w:kern w:val="0"/>
          <w:sz w:val="22"/>
          <w:szCs w:val="24"/>
        </w:rPr>
        <w:t>位点重新甲基化，即参与D</w:t>
      </w:r>
      <w:r>
        <w:rPr>
          <w:rFonts w:ascii="微软雅黑" w:hAnsi="微软雅黑" w:eastAsia="微软雅黑" w:cs="MicrosoftYaHei"/>
          <w:kern w:val="0"/>
          <w:sz w:val="22"/>
          <w:szCs w:val="24"/>
        </w:rPr>
        <w:t>NA</w:t>
      </w:r>
      <w:r>
        <w:rPr>
          <w:rFonts w:hint="eastAsia" w:ascii="微软雅黑" w:hAnsi="微软雅黑" w:eastAsia="微软雅黑" w:cs="MicrosoftYaHei"/>
          <w:kern w:val="0"/>
          <w:sz w:val="22"/>
          <w:szCs w:val="24"/>
        </w:rPr>
        <w:t>的从头甲基化。D</w:t>
      </w:r>
      <w:r>
        <w:rPr>
          <w:rFonts w:ascii="微软雅黑" w:hAnsi="微软雅黑" w:eastAsia="微软雅黑" w:cs="MicrosoftYaHei"/>
          <w:kern w:val="0"/>
          <w:sz w:val="22"/>
          <w:szCs w:val="24"/>
        </w:rPr>
        <w:t>NA</w:t>
      </w:r>
      <w:r>
        <w:rPr>
          <w:rFonts w:hint="eastAsia" w:ascii="微软雅黑" w:hAnsi="微软雅黑" w:eastAsia="微软雅黑" w:cs="MicrosoftYaHei"/>
          <w:kern w:val="0"/>
          <w:sz w:val="22"/>
          <w:szCs w:val="24"/>
        </w:rPr>
        <w:t>甲基化与人类发育和肿瘤发生密切相关，Cp</w:t>
      </w:r>
      <w:r>
        <w:rPr>
          <w:rFonts w:ascii="微软雅黑" w:hAnsi="微软雅黑" w:eastAsia="微软雅黑" w:cs="MicrosoftYaHei"/>
          <w:kern w:val="0"/>
          <w:sz w:val="22"/>
          <w:szCs w:val="24"/>
        </w:rPr>
        <w:t>G</w:t>
      </w:r>
      <w:r>
        <w:rPr>
          <w:rFonts w:hint="eastAsia" w:ascii="微软雅黑" w:hAnsi="微软雅黑" w:eastAsia="微软雅黑" w:cs="MicrosoftYaHei"/>
          <w:kern w:val="0"/>
          <w:sz w:val="22"/>
          <w:szCs w:val="24"/>
        </w:rPr>
        <w:t>岛甲基化会导致抑癌基因转录失活，从而致使癌症发生。</w:t>
      </w:r>
    </w:p>
    <w:p>
      <w:pPr>
        <w:widowControl/>
        <w:jc w:val="left"/>
        <w:rPr>
          <w:rFonts w:ascii="微软雅黑" w:hAnsi="微软雅黑" w:eastAsia="微软雅黑" w:cs="MicrosoftYaHei"/>
          <w:b/>
          <w:color w:val="203864" w:themeColor="accent1" w:themeShade="80"/>
          <w:kern w:val="0"/>
          <w:sz w:val="28"/>
          <w:szCs w:val="24"/>
        </w:rPr>
      </w:pPr>
    </w:p>
    <w:p>
      <w:pPr>
        <w:widowControl/>
        <w:numPr>
          <w:ilvl w:val="0"/>
          <w:numId w:val="2"/>
        </w:numPr>
        <w:spacing w:line="400" w:lineRule="exact"/>
        <w:jc w:val="left"/>
        <w:rPr>
          <w:rFonts w:ascii="微软雅黑" w:hAnsi="微软雅黑" w:eastAsia="微软雅黑" w:cs="MicrosoftYaHei"/>
          <w:b/>
          <w:kern w:val="0"/>
          <w:sz w:val="22"/>
          <w:szCs w:val="24"/>
        </w:rPr>
      </w:pPr>
      <w:r>
        <w:rPr>
          <w:rFonts w:hint="eastAsia" w:ascii="微软雅黑" w:hAnsi="微软雅黑" w:eastAsia="微软雅黑" w:cs="MicrosoftYaHei"/>
          <w:b/>
          <w:kern w:val="0"/>
          <w:sz w:val="22"/>
          <w:szCs w:val="24"/>
        </w:rPr>
        <w:t>E</w:t>
      </w:r>
      <w:r>
        <w:rPr>
          <w:rFonts w:ascii="微软雅黑" w:hAnsi="微软雅黑" w:eastAsia="微软雅黑" w:cs="MicrosoftYaHei"/>
          <w:b/>
          <w:kern w:val="0"/>
          <w:sz w:val="22"/>
          <w:szCs w:val="24"/>
        </w:rPr>
        <w:t>GFR</w:t>
      </w:r>
    </w:p>
    <w:p>
      <w:pPr>
        <w:spacing w:line="400" w:lineRule="exact"/>
        <w:ind w:left="630" w:leftChars="300"/>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表皮生长因子受体是细胞表面一种糖蛋白，可与表皮生长因子（E</w:t>
      </w:r>
      <w:r>
        <w:rPr>
          <w:rFonts w:ascii="微软雅黑" w:hAnsi="微软雅黑" w:eastAsia="微软雅黑" w:cs="MicrosoftYaHei"/>
          <w:kern w:val="0"/>
          <w:sz w:val="22"/>
          <w:szCs w:val="24"/>
        </w:rPr>
        <w:t>GF</w:t>
      </w:r>
      <w:r>
        <w:rPr>
          <w:rFonts w:hint="eastAsia" w:ascii="微软雅黑" w:hAnsi="微软雅黑" w:eastAsia="微软雅黑" w:cs="MicrosoftYaHei"/>
          <w:kern w:val="0"/>
          <w:sz w:val="22"/>
          <w:szCs w:val="24"/>
        </w:rPr>
        <w:t>）进行特异性结合，参与细胞增殖相关信号传导。E</w:t>
      </w:r>
      <w:r>
        <w:rPr>
          <w:rFonts w:ascii="微软雅黑" w:hAnsi="微软雅黑" w:eastAsia="微软雅黑" w:cs="MicrosoftYaHei"/>
          <w:kern w:val="0"/>
          <w:sz w:val="22"/>
          <w:szCs w:val="24"/>
        </w:rPr>
        <w:t>GFR</w:t>
      </w:r>
      <w:r>
        <w:rPr>
          <w:rFonts w:hint="eastAsia" w:ascii="微软雅黑" w:hAnsi="微软雅黑" w:eastAsia="微软雅黑" w:cs="MicrosoftYaHei"/>
          <w:kern w:val="0"/>
          <w:sz w:val="22"/>
          <w:szCs w:val="24"/>
        </w:rPr>
        <w:t>属于Erb</w:t>
      </w:r>
      <w:r>
        <w:rPr>
          <w:rFonts w:ascii="微软雅黑" w:hAnsi="微软雅黑" w:eastAsia="微软雅黑" w:cs="MicrosoftYaHei"/>
          <w:kern w:val="0"/>
          <w:sz w:val="22"/>
          <w:szCs w:val="24"/>
        </w:rPr>
        <w:t>B</w:t>
      </w:r>
      <w:r>
        <w:rPr>
          <w:rFonts w:hint="eastAsia" w:ascii="微软雅黑" w:hAnsi="微软雅黑" w:eastAsia="微软雅黑" w:cs="MicrosoftYaHei"/>
          <w:kern w:val="0"/>
          <w:sz w:val="22"/>
          <w:szCs w:val="24"/>
        </w:rPr>
        <w:t>受体家族之中的一种，也被称为H</w:t>
      </w:r>
      <w:r>
        <w:rPr>
          <w:rFonts w:ascii="微软雅黑" w:hAnsi="微软雅黑" w:eastAsia="微软雅黑" w:cs="MicrosoftYaHei"/>
          <w:kern w:val="0"/>
          <w:sz w:val="22"/>
          <w:szCs w:val="24"/>
        </w:rPr>
        <w:t>ER1</w:t>
      </w:r>
      <w:r>
        <w:rPr>
          <w:rFonts w:hint="eastAsia" w:ascii="微软雅黑" w:hAnsi="微软雅黑" w:eastAsia="微软雅黑" w:cs="MicrosoftYaHei"/>
          <w:kern w:val="0"/>
          <w:sz w:val="22"/>
          <w:szCs w:val="24"/>
        </w:rPr>
        <w:t>、Erb</w:t>
      </w:r>
      <w:r>
        <w:rPr>
          <w:rFonts w:ascii="微软雅黑" w:hAnsi="微软雅黑" w:eastAsia="微软雅黑" w:cs="MicrosoftYaHei"/>
          <w:kern w:val="0"/>
          <w:sz w:val="22"/>
          <w:szCs w:val="24"/>
        </w:rPr>
        <w:t>B1</w:t>
      </w:r>
      <w:r>
        <w:rPr>
          <w:rFonts w:hint="eastAsia" w:ascii="微软雅黑" w:hAnsi="微软雅黑" w:eastAsia="微软雅黑" w:cs="MicrosoftYaHei"/>
          <w:kern w:val="0"/>
          <w:sz w:val="22"/>
          <w:szCs w:val="24"/>
        </w:rPr>
        <w:t>，突变或过表达一般会引发肿瘤。</w:t>
      </w:r>
    </w:p>
    <w:p>
      <w:pPr>
        <w:spacing w:line="400" w:lineRule="exact"/>
        <w:ind w:left="630" w:leftChars="300"/>
        <w:rPr>
          <w:rFonts w:ascii="微软雅黑" w:hAnsi="微软雅黑" w:eastAsia="微软雅黑" w:cs="MicrosoftYaHei"/>
          <w:kern w:val="0"/>
          <w:sz w:val="22"/>
          <w:szCs w:val="24"/>
        </w:rPr>
      </w:pPr>
    </w:p>
    <w:p>
      <w:pPr>
        <w:widowControl/>
        <w:numPr>
          <w:ilvl w:val="0"/>
          <w:numId w:val="2"/>
        </w:numPr>
        <w:spacing w:line="400" w:lineRule="exact"/>
        <w:jc w:val="left"/>
        <w:rPr>
          <w:rFonts w:ascii="微软雅黑" w:hAnsi="微软雅黑" w:eastAsia="微软雅黑" w:cs="MicrosoftYaHei"/>
          <w:b/>
          <w:kern w:val="0"/>
          <w:sz w:val="22"/>
          <w:szCs w:val="24"/>
        </w:rPr>
      </w:pPr>
      <w:r>
        <w:rPr>
          <w:rFonts w:hint="eastAsia" w:ascii="微软雅黑" w:hAnsi="微软雅黑" w:eastAsia="微软雅黑" w:cs="MicrosoftYaHei"/>
          <w:b/>
          <w:kern w:val="0"/>
          <w:sz w:val="22"/>
          <w:szCs w:val="24"/>
        </w:rPr>
        <w:t>M</w:t>
      </w:r>
      <w:r>
        <w:rPr>
          <w:rFonts w:ascii="微软雅黑" w:hAnsi="微软雅黑" w:eastAsia="微软雅黑" w:cs="MicrosoftYaHei"/>
          <w:b/>
          <w:kern w:val="0"/>
          <w:sz w:val="22"/>
          <w:szCs w:val="24"/>
        </w:rPr>
        <w:t>DM2/MDM4</w:t>
      </w:r>
    </w:p>
    <w:p>
      <w:pPr>
        <w:spacing w:line="400" w:lineRule="exact"/>
        <w:ind w:left="860"/>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分别是小鼠泛素蛋白连接酶以及多功能蛋白，在小鼠多种肿瘤中扩增以及过表达，导致P</w:t>
      </w:r>
      <w:r>
        <w:rPr>
          <w:rFonts w:ascii="微软雅黑" w:hAnsi="微软雅黑" w:eastAsia="微软雅黑" w:cs="MicrosoftYaHei"/>
          <w:kern w:val="0"/>
          <w:sz w:val="22"/>
          <w:szCs w:val="24"/>
        </w:rPr>
        <w:t>53</w:t>
      </w:r>
      <w:r>
        <w:rPr>
          <w:rFonts w:hint="eastAsia" w:ascii="微软雅黑" w:hAnsi="微软雅黑" w:eastAsia="微软雅黑" w:cs="MicrosoftYaHei"/>
          <w:kern w:val="0"/>
          <w:sz w:val="22"/>
          <w:szCs w:val="24"/>
        </w:rPr>
        <w:t>蛋白的失活。M</w:t>
      </w:r>
      <w:r>
        <w:rPr>
          <w:rFonts w:ascii="微软雅黑" w:hAnsi="微软雅黑" w:eastAsia="微软雅黑" w:cs="MicrosoftYaHei"/>
          <w:kern w:val="0"/>
          <w:sz w:val="22"/>
          <w:szCs w:val="24"/>
        </w:rPr>
        <w:t>DM4</w:t>
      </w:r>
      <w:r>
        <w:rPr>
          <w:rFonts w:hint="eastAsia" w:ascii="微软雅黑" w:hAnsi="微软雅黑" w:eastAsia="微软雅黑" w:cs="MicrosoftYaHei"/>
          <w:kern w:val="0"/>
          <w:sz w:val="22"/>
          <w:szCs w:val="24"/>
        </w:rPr>
        <w:t>与M</w:t>
      </w:r>
      <w:r>
        <w:rPr>
          <w:rFonts w:ascii="微软雅黑" w:hAnsi="微软雅黑" w:eastAsia="微软雅黑" w:cs="MicrosoftYaHei"/>
          <w:kern w:val="0"/>
          <w:sz w:val="22"/>
          <w:szCs w:val="24"/>
        </w:rPr>
        <w:t>DM2</w:t>
      </w:r>
      <w:r>
        <w:rPr>
          <w:rFonts w:hint="eastAsia" w:ascii="微软雅黑" w:hAnsi="微软雅黑" w:eastAsia="微软雅黑" w:cs="MicrosoftYaHei"/>
          <w:kern w:val="0"/>
          <w:sz w:val="22"/>
          <w:szCs w:val="24"/>
        </w:rPr>
        <w:t>协同发挥作用负调控P</w:t>
      </w:r>
      <w:r>
        <w:rPr>
          <w:rFonts w:ascii="微软雅黑" w:hAnsi="微软雅黑" w:eastAsia="微软雅黑" w:cs="MicrosoftYaHei"/>
          <w:kern w:val="0"/>
          <w:sz w:val="22"/>
          <w:szCs w:val="24"/>
        </w:rPr>
        <w:t>53</w:t>
      </w:r>
      <w:r>
        <w:rPr>
          <w:rFonts w:hint="eastAsia" w:ascii="微软雅黑" w:hAnsi="微软雅黑" w:eastAsia="微软雅黑" w:cs="MicrosoftYaHei"/>
          <w:kern w:val="0"/>
          <w:sz w:val="22"/>
          <w:szCs w:val="24"/>
        </w:rPr>
        <w:t>活性，从而引发肿瘤。</w:t>
      </w:r>
    </w:p>
    <w:p>
      <w:pPr>
        <w:widowControl/>
        <w:jc w:val="left"/>
        <w:rPr>
          <w:rFonts w:ascii="微软雅黑" w:hAnsi="微软雅黑" w:eastAsia="微软雅黑" w:cs="MicrosoftYaHei"/>
          <w:kern w:val="0"/>
          <w:sz w:val="22"/>
          <w:szCs w:val="24"/>
        </w:rPr>
      </w:pPr>
      <w:r>
        <w:rPr>
          <w:rFonts w:ascii="微软雅黑" w:hAnsi="微软雅黑" w:eastAsia="微软雅黑" w:cs="MicrosoftYaHei"/>
          <w:kern w:val="0"/>
          <w:sz w:val="22"/>
          <w:szCs w:val="24"/>
        </w:rPr>
        <w:br w:type="page"/>
      </w:r>
    </w:p>
    <w:p>
      <w:pPr>
        <w:widowControl/>
        <w:numPr>
          <w:ilvl w:val="0"/>
          <w:numId w:val="1"/>
        </w:numPr>
        <w:jc w:val="left"/>
        <w:rPr>
          <w:rFonts w:ascii="微软雅黑" w:hAnsi="微软雅黑" w:eastAsia="微软雅黑" w:cs="MicrosoftYaHei"/>
          <w:b/>
          <w:color w:val="203864" w:themeColor="accent1" w:themeShade="80"/>
          <w:kern w:val="0"/>
          <w:sz w:val="24"/>
          <w:szCs w:val="24"/>
        </w:rPr>
      </w:pPr>
      <w:r>
        <w:rPr>
          <w:rFonts w:hint="eastAsia" w:ascii="微软雅黑" w:hAnsi="微软雅黑" w:eastAsia="微软雅黑" w:cs="MicrosoftYaHei"/>
          <w:b/>
          <w:color w:val="203864" w:themeColor="accent1" w:themeShade="80"/>
          <w:kern w:val="0"/>
          <w:sz w:val="24"/>
          <w:szCs w:val="24"/>
        </w:rPr>
        <w:t>抗原加工复合体缺陷检测</w:t>
      </w:r>
    </w:p>
    <w:p>
      <w:pPr>
        <w:widowControl/>
        <w:ind w:left="420"/>
        <w:jc w:val="left"/>
        <w:rPr>
          <w:rFonts w:ascii="微软雅黑" w:hAnsi="微软雅黑" w:eastAsia="微软雅黑" w:cs="MicrosoftYaHei"/>
          <w:b/>
          <w:color w:val="203864" w:themeColor="accent1" w:themeShade="80"/>
          <w:kern w:val="0"/>
          <w:sz w:val="28"/>
          <w:szCs w:val="24"/>
        </w:rPr>
      </w:pPr>
    </w:p>
    <w:tbl>
      <w:tblPr>
        <w:tblStyle w:val="11"/>
        <w:tblW w:w="7886" w:type="dxa"/>
        <w:tblInd w:w="420" w:type="dxa"/>
        <w:tblLayout w:type="fixed"/>
        <w:tblCellMar>
          <w:top w:w="0" w:type="dxa"/>
          <w:left w:w="108" w:type="dxa"/>
          <w:bottom w:w="0" w:type="dxa"/>
          <w:right w:w="108" w:type="dxa"/>
        </w:tblCellMar>
      </w:tblPr>
      <w:tblGrid>
        <w:gridCol w:w="1281"/>
        <w:gridCol w:w="3544"/>
        <w:gridCol w:w="1418"/>
        <w:gridCol w:w="1643"/>
      </w:tblGrid>
      <w:tr>
        <w:tblPrEx>
          <w:tblLayout w:type="fixed"/>
          <w:tblCellMar>
            <w:top w:w="0" w:type="dxa"/>
            <w:left w:w="108" w:type="dxa"/>
            <w:bottom w:w="0" w:type="dxa"/>
            <w:right w:w="108" w:type="dxa"/>
          </w:tblCellMar>
        </w:tblPrEx>
        <w:tc>
          <w:tcPr>
            <w:tcW w:w="1281"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基因</w:t>
            </w:r>
          </w:p>
        </w:tc>
        <w:tc>
          <w:tcPr>
            <w:tcW w:w="3544"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突变</w:t>
            </w:r>
          </w:p>
        </w:tc>
        <w:tc>
          <w:tcPr>
            <w:tcW w:w="1418"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D</w:t>
            </w:r>
            <w:r>
              <w:rPr>
                <w:rFonts w:ascii="微软雅黑" w:hAnsi="微软雅黑" w:eastAsia="微软雅黑" w:cs="MicrosoftYaHei"/>
                <w:b/>
                <w:bCs/>
                <w:kern w:val="0"/>
                <w:sz w:val="22"/>
              </w:rPr>
              <w:t>NA</w:t>
            </w:r>
            <w:r>
              <w:rPr>
                <w:rFonts w:hint="eastAsia" w:ascii="微软雅黑" w:hAnsi="微软雅黑" w:eastAsia="微软雅黑" w:cs="MicrosoftYaHei"/>
                <w:b/>
                <w:bCs/>
                <w:kern w:val="0"/>
                <w:sz w:val="22"/>
              </w:rPr>
              <w:t>频率</w:t>
            </w:r>
          </w:p>
        </w:tc>
        <w:tc>
          <w:tcPr>
            <w:tcW w:w="1643"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突变类型</w:t>
            </w:r>
          </w:p>
        </w:tc>
      </w:tr>
      <w:tr>
        <w:tblPrEx>
          <w:tblLayout w:type="fixed"/>
          <w:tblCellMar>
            <w:top w:w="0" w:type="dxa"/>
            <w:left w:w="108" w:type="dxa"/>
            <w:bottom w:w="0" w:type="dxa"/>
            <w:right w:w="108" w:type="dxa"/>
          </w:tblCellMar>
        </w:tblPrEx>
        <w:tc>
          <w:tcPr>
            <w:tcW w:w="1281" w:type="dxa"/>
            <w:shd w:val="clear" w:color="auto" w:fill="F1F1F1" w:themeFill="background1" w:themeFillShade="F2"/>
            <w:vAlign w:val="center"/>
          </w:tcPr>
          <w:p>
            <w:pPr>
              <w:jc w:val="center"/>
              <w:rPr>
                <w:rFonts w:ascii="微软雅黑" w:hAnsi="微软雅黑" w:eastAsia="微软雅黑" w:cs="MicrosoftYaHei"/>
                <w:b w:val="0"/>
                <w:bCs/>
                <w:kern w:val="0"/>
                <w:sz w:val="22"/>
                <w:szCs w:val="24"/>
              </w:rPr>
            </w:pPr>
            <w:r>
              <w:rPr>
                <w:rFonts w:ascii="微软雅黑" w:hAnsi="微软雅黑" w:eastAsia="微软雅黑" w:cs="MicrosoftYaHei"/>
                <w:b w:val="0"/>
                <w:bCs/>
                <w:kern w:val="0"/>
                <w:sz w:val="22"/>
                <w:szCs w:val="24"/>
              </w:rPr>
              <w:t>ERAP1</w:t>
            </w:r>
          </w:p>
        </w:tc>
        <w:tc>
          <w:tcPr>
            <w:tcW w:w="3544" w:type="dxa"/>
            <w:shd w:val="clear" w:color="auto" w:fill="F1F1F1" w:themeFill="background1" w:themeFillShade="F2"/>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未检测到相关基因突变</w:t>
            </w:r>
          </w:p>
        </w:tc>
        <w:tc>
          <w:tcPr>
            <w:tcW w:w="1418" w:type="dxa"/>
            <w:shd w:val="clear" w:color="auto" w:fill="F1F1F1" w:themeFill="background1" w:themeFillShade="F2"/>
            <w:vAlign w:val="center"/>
          </w:tcPr>
          <w:p>
            <w:pPr>
              <w:jc w:val="center"/>
              <w:rPr>
                <w:rFonts w:ascii="微软雅黑" w:hAnsi="微软雅黑" w:eastAsia="微软雅黑" w:cs="MicrosoftYaHei"/>
                <w:kern w:val="0"/>
                <w:sz w:val="22"/>
                <w:szCs w:val="24"/>
              </w:rPr>
            </w:pPr>
          </w:p>
        </w:tc>
        <w:tc>
          <w:tcPr>
            <w:tcW w:w="1643" w:type="dxa"/>
            <w:shd w:val="clear" w:color="auto" w:fill="F1F1F1" w:themeFill="background1" w:themeFillShade="F2"/>
            <w:vAlign w:val="center"/>
          </w:tcPr>
          <w:p>
            <w:pPr>
              <w:jc w:val="center"/>
              <w:rPr>
                <w:rFonts w:ascii="微软雅黑" w:hAnsi="微软雅黑" w:eastAsia="微软雅黑" w:cs="MicrosoftYaHei"/>
                <w:kern w:val="0"/>
                <w:sz w:val="22"/>
                <w:szCs w:val="24"/>
              </w:rPr>
            </w:pPr>
          </w:p>
        </w:tc>
      </w:tr>
      <w:tr>
        <w:tblPrEx>
          <w:tblLayout w:type="fixed"/>
          <w:tblCellMar>
            <w:top w:w="0" w:type="dxa"/>
            <w:left w:w="108" w:type="dxa"/>
            <w:bottom w:w="0" w:type="dxa"/>
            <w:right w:w="108" w:type="dxa"/>
          </w:tblCellMar>
        </w:tblPrEx>
        <w:tc>
          <w:tcPr>
            <w:tcW w:w="1281" w:type="dxa"/>
            <w:vAlign w:val="center"/>
          </w:tcPr>
          <w:p>
            <w:pPr>
              <w:jc w:val="center"/>
              <w:rPr>
                <w:rFonts w:ascii="微软雅黑" w:hAnsi="微软雅黑" w:eastAsia="微软雅黑" w:cs="MicrosoftYaHei"/>
                <w:b w:val="0"/>
                <w:bCs/>
                <w:kern w:val="0"/>
                <w:sz w:val="22"/>
                <w:szCs w:val="24"/>
              </w:rPr>
            </w:pPr>
            <w:r>
              <w:rPr>
                <w:rFonts w:hint="eastAsia" w:ascii="微软雅黑" w:hAnsi="微软雅黑" w:eastAsia="微软雅黑" w:cs="MicrosoftYaHei"/>
                <w:b w:val="0"/>
                <w:bCs/>
                <w:kern w:val="0"/>
                <w:sz w:val="22"/>
                <w:szCs w:val="24"/>
              </w:rPr>
              <w:t>L</w:t>
            </w:r>
            <w:r>
              <w:rPr>
                <w:rFonts w:ascii="微软雅黑" w:hAnsi="微软雅黑" w:eastAsia="微软雅黑" w:cs="MicrosoftYaHei"/>
                <w:b w:val="0"/>
                <w:bCs/>
                <w:kern w:val="0"/>
                <w:sz w:val="22"/>
                <w:szCs w:val="24"/>
              </w:rPr>
              <w:t>MP7</w:t>
            </w:r>
          </w:p>
        </w:tc>
        <w:tc>
          <w:tcPr>
            <w:tcW w:w="3544" w:type="dxa"/>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未检测到相关基因突变</w:t>
            </w:r>
          </w:p>
        </w:tc>
        <w:tc>
          <w:tcPr>
            <w:tcW w:w="1418" w:type="dxa"/>
            <w:vAlign w:val="center"/>
          </w:tcPr>
          <w:p>
            <w:pPr>
              <w:jc w:val="center"/>
              <w:rPr>
                <w:rFonts w:ascii="微软雅黑" w:hAnsi="微软雅黑" w:eastAsia="微软雅黑" w:cs="MicrosoftYaHei"/>
                <w:kern w:val="0"/>
                <w:sz w:val="22"/>
                <w:szCs w:val="24"/>
              </w:rPr>
            </w:pPr>
          </w:p>
        </w:tc>
        <w:tc>
          <w:tcPr>
            <w:tcW w:w="1643" w:type="dxa"/>
            <w:vAlign w:val="center"/>
          </w:tcPr>
          <w:p>
            <w:pPr>
              <w:jc w:val="center"/>
              <w:rPr>
                <w:rFonts w:ascii="微软雅黑" w:hAnsi="微软雅黑" w:eastAsia="微软雅黑" w:cs="MicrosoftYaHei"/>
                <w:kern w:val="0"/>
                <w:sz w:val="22"/>
                <w:szCs w:val="24"/>
              </w:rPr>
            </w:pPr>
          </w:p>
        </w:tc>
      </w:tr>
      <w:tr>
        <w:tblPrEx>
          <w:tblLayout w:type="fixed"/>
          <w:tblCellMar>
            <w:top w:w="0" w:type="dxa"/>
            <w:left w:w="108" w:type="dxa"/>
            <w:bottom w:w="0" w:type="dxa"/>
            <w:right w:w="108" w:type="dxa"/>
          </w:tblCellMar>
        </w:tblPrEx>
        <w:tc>
          <w:tcPr>
            <w:tcW w:w="1281" w:type="dxa"/>
            <w:shd w:val="clear" w:color="auto" w:fill="F1F1F1" w:themeFill="background1" w:themeFillShade="F2"/>
            <w:vAlign w:val="center"/>
          </w:tcPr>
          <w:p>
            <w:pPr>
              <w:jc w:val="center"/>
              <w:rPr>
                <w:rFonts w:ascii="微软雅黑" w:hAnsi="微软雅黑" w:eastAsia="微软雅黑" w:cs="MicrosoftYaHei"/>
                <w:b w:val="0"/>
                <w:bCs/>
                <w:kern w:val="0"/>
                <w:sz w:val="22"/>
                <w:szCs w:val="24"/>
              </w:rPr>
            </w:pPr>
            <w:r>
              <w:rPr>
                <w:rFonts w:hint="eastAsia" w:ascii="微软雅黑" w:hAnsi="微软雅黑" w:eastAsia="微软雅黑" w:cs="MicrosoftYaHei"/>
                <w:b w:val="0"/>
                <w:bCs/>
                <w:kern w:val="0"/>
                <w:sz w:val="22"/>
                <w:szCs w:val="24"/>
              </w:rPr>
              <w:t>T</w:t>
            </w:r>
            <w:r>
              <w:rPr>
                <w:rFonts w:ascii="微软雅黑" w:hAnsi="微软雅黑" w:eastAsia="微软雅黑" w:cs="MicrosoftYaHei"/>
                <w:b w:val="0"/>
                <w:bCs/>
                <w:kern w:val="0"/>
                <w:sz w:val="22"/>
                <w:szCs w:val="24"/>
              </w:rPr>
              <w:t>AP1</w:t>
            </w:r>
          </w:p>
        </w:tc>
        <w:tc>
          <w:tcPr>
            <w:tcW w:w="3544" w:type="dxa"/>
            <w:shd w:val="clear" w:color="auto" w:fill="F1F1F1" w:themeFill="background1" w:themeFillShade="F2"/>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未检测到相关基因突变</w:t>
            </w:r>
          </w:p>
        </w:tc>
        <w:tc>
          <w:tcPr>
            <w:tcW w:w="1418" w:type="dxa"/>
            <w:shd w:val="clear" w:color="auto" w:fill="F1F1F1" w:themeFill="background1" w:themeFillShade="F2"/>
            <w:vAlign w:val="center"/>
          </w:tcPr>
          <w:p>
            <w:pPr>
              <w:jc w:val="center"/>
              <w:rPr>
                <w:rFonts w:ascii="微软雅黑" w:hAnsi="微软雅黑" w:eastAsia="微软雅黑" w:cs="MicrosoftYaHei"/>
                <w:kern w:val="0"/>
                <w:sz w:val="22"/>
                <w:szCs w:val="24"/>
              </w:rPr>
            </w:pPr>
          </w:p>
        </w:tc>
        <w:tc>
          <w:tcPr>
            <w:tcW w:w="1643" w:type="dxa"/>
            <w:shd w:val="clear" w:color="auto" w:fill="F1F1F1" w:themeFill="background1" w:themeFillShade="F2"/>
            <w:vAlign w:val="center"/>
          </w:tcPr>
          <w:p>
            <w:pPr>
              <w:jc w:val="center"/>
              <w:rPr>
                <w:rFonts w:ascii="微软雅黑" w:hAnsi="微软雅黑" w:eastAsia="微软雅黑" w:cs="MicrosoftYaHei"/>
                <w:kern w:val="0"/>
                <w:sz w:val="22"/>
                <w:szCs w:val="24"/>
              </w:rPr>
            </w:pPr>
          </w:p>
        </w:tc>
      </w:tr>
      <w:tr>
        <w:tblPrEx>
          <w:tblLayout w:type="fixed"/>
          <w:tblCellMar>
            <w:top w:w="0" w:type="dxa"/>
            <w:left w:w="108" w:type="dxa"/>
            <w:bottom w:w="0" w:type="dxa"/>
            <w:right w:w="108" w:type="dxa"/>
          </w:tblCellMar>
        </w:tblPrEx>
        <w:tc>
          <w:tcPr>
            <w:tcW w:w="1281" w:type="dxa"/>
            <w:vAlign w:val="center"/>
          </w:tcPr>
          <w:p>
            <w:pPr>
              <w:jc w:val="center"/>
              <w:rPr>
                <w:rFonts w:ascii="微软雅黑" w:hAnsi="微软雅黑" w:eastAsia="微软雅黑" w:cs="MicrosoftYaHei"/>
                <w:b w:val="0"/>
                <w:bCs/>
                <w:kern w:val="0"/>
                <w:sz w:val="22"/>
                <w:szCs w:val="24"/>
              </w:rPr>
            </w:pPr>
            <w:r>
              <w:rPr>
                <w:rFonts w:hint="eastAsia" w:ascii="微软雅黑" w:hAnsi="微软雅黑" w:eastAsia="微软雅黑" w:cs="MicrosoftYaHei"/>
                <w:b w:val="0"/>
                <w:bCs/>
                <w:kern w:val="0"/>
                <w:sz w:val="22"/>
                <w:szCs w:val="24"/>
              </w:rPr>
              <w:t>T</w:t>
            </w:r>
            <w:r>
              <w:rPr>
                <w:rFonts w:ascii="微软雅黑" w:hAnsi="微软雅黑" w:eastAsia="微软雅黑" w:cs="MicrosoftYaHei"/>
                <w:b w:val="0"/>
                <w:bCs/>
                <w:kern w:val="0"/>
                <w:sz w:val="22"/>
                <w:szCs w:val="24"/>
              </w:rPr>
              <w:t>AP2</w:t>
            </w:r>
          </w:p>
        </w:tc>
        <w:tc>
          <w:tcPr>
            <w:tcW w:w="3544" w:type="dxa"/>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未检测到相关基因突变</w:t>
            </w:r>
          </w:p>
        </w:tc>
        <w:tc>
          <w:tcPr>
            <w:tcW w:w="1418" w:type="dxa"/>
            <w:vAlign w:val="center"/>
          </w:tcPr>
          <w:p>
            <w:pPr>
              <w:jc w:val="center"/>
              <w:rPr>
                <w:rFonts w:ascii="微软雅黑" w:hAnsi="微软雅黑" w:eastAsia="微软雅黑" w:cs="MicrosoftYaHei"/>
                <w:kern w:val="0"/>
                <w:sz w:val="22"/>
                <w:szCs w:val="24"/>
              </w:rPr>
            </w:pPr>
          </w:p>
        </w:tc>
        <w:tc>
          <w:tcPr>
            <w:tcW w:w="1643" w:type="dxa"/>
            <w:vAlign w:val="center"/>
          </w:tcPr>
          <w:p>
            <w:pPr>
              <w:jc w:val="center"/>
              <w:rPr>
                <w:rFonts w:ascii="微软雅黑" w:hAnsi="微软雅黑" w:eastAsia="微软雅黑" w:cs="MicrosoftYaHei"/>
                <w:kern w:val="0"/>
                <w:sz w:val="22"/>
                <w:szCs w:val="24"/>
              </w:rPr>
            </w:pPr>
          </w:p>
        </w:tc>
      </w:tr>
    </w:tbl>
    <w:p>
      <w:pPr>
        <w:widowControl/>
        <w:ind w:left="420"/>
        <w:jc w:val="left"/>
        <w:rPr>
          <w:rFonts w:ascii="微软雅黑" w:hAnsi="微软雅黑" w:eastAsia="微软雅黑" w:cs="MicrosoftYaHei"/>
          <w:b/>
          <w:color w:val="203864" w:themeColor="accent1" w:themeShade="80"/>
          <w:kern w:val="0"/>
          <w:sz w:val="28"/>
          <w:szCs w:val="24"/>
        </w:rPr>
      </w:pPr>
    </w:p>
    <w:p>
      <w:pPr>
        <w:widowControl/>
        <w:numPr>
          <w:ilvl w:val="0"/>
          <w:numId w:val="2"/>
        </w:numPr>
        <w:spacing w:line="400" w:lineRule="exact"/>
        <w:jc w:val="left"/>
        <w:rPr>
          <w:rFonts w:ascii="微软雅黑" w:hAnsi="微软雅黑" w:eastAsia="微软雅黑" w:cs="MicrosoftYaHei"/>
          <w:b/>
          <w:kern w:val="0"/>
          <w:sz w:val="22"/>
          <w:szCs w:val="24"/>
        </w:rPr>
      </w:pPr>
      <w:r>
        <w:rPr>
          <w:rFonts w:hint="eastAsia" w:ascii="微软雅黑" w:hAnsi="微软雅黑" w:eastAsia="微软雅黑" w:cs="MicrosoftYaHei"/>
          <w:b/>
          <w:kern w:val="0"/>
          <w:sz w:val="22"/>
          <w:szCs w:val="24"/>
        </w:rPr>
        <w:t>D</w:t>
      </w:r>
      <w:r>
        <w:rPr>
          <w:rFonts w:ascii="微软雅黑" w:hAnsi="微软雅黑" w:eastAsia="微软雅黑" w:cs="MicrosoftYaHei"/>
          <w:b/>
          <w:kern w:val="0"/>
          <w:sz w:val="22"/>
          <w:szCs w:val="24"/>
        </w:rPr>
        <w:t>NMT3A</w:t>
      </w:r>
    </w:p>
    <w:p>
      <w:pPr>
        <w:spacing w:line="400" w:lineRule="exact"/>
        <w:ind w:left="630" w:leftChars="300"/>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内质网氨基肽酶1（e</w:t>
      </w:r>
      <w:r>
        <w:rPr>
          <w:rFonts w:ascii="微软雅黑" w:hAnsi="微软雅黑" w:eastAsia="微软雅黑" w:cs="MicrosoftYaHei"/>
          <w:kern w:val="0"/>
          <w:sz w:val="22"/>
          <w:szCs w:val="24"/>
        </w:rPr>
        <w:t>ndoplasmic reticulum aminopeptidase 1,ERAP1</w:t>
      </w:r>
      <w:r>
        <w:rPr>
          <w:rFonts w:hint="eastAsia" w:ascii="微软雅黑" w:hAnsi="微软雅黑" w:eastAsia="微软雅黑" w:cs="MicrosoftYaHei"/>
          <w:kern w:val="0"/>
          <w:sz w:val="22"/>
          <w:szCs w:val="24"/>
        </w:rPr>
        <w:t>）是氨基肽酶M</w:t>
      </w:r>
      <w:r>
        <w:rPr>
          <w:rFonts w:ascii="微软雅黑" w:hAnsi="微软雅黑" w:eastAsia="微软雅黑" w:cs="MicrosoftYaHei"/>
          <w:kern w:val="0"/>
          <w:sz w:val="22"/>
          <w:szCs w:val="24"/>
        </w:rPr>
        <w:t>1</w:t>
      </w:r>
      <w:r>
        <w:rPr>
          <w:rFonts w:hint="eastAsia" w:ascii="微软雅黑" w:hAnsi="微软雅黑" w:eastAsia="微软雅黑" w:cs="MicrosoftYaHei"/>
          <w:kern w:val="0"/>
          <w:sz w:val="22"/>
          <w:szCs w:val="24"/>
        </w:rPr>
        <w:t>家族中的一个多功能酶，在血压调节、血管发生以及对呈递至I型主要组织相容性抗原复合物（M</w:t>
      </w:r>
      <w:r>
        <w:rPr>
          <w:rFonts w:ascii="微软雅黑" w:hAnsi="微软雅黑" w:eastAsia="微软雅黑" w:cs="MicrosoftYaHei"/>
          <w:kern w:val="0"/>
          <w:sz w:val="22"/>
          <w:szCs w:val="24"/>
        </w:rPr>
        <w:t>HC-1</w:t>
      </w:r>
      <w:r>
        <w:rPr>
          <w:rFonts w:hint="eastAsia" w:ascii="微软雅黑" w:hAnsi="微软雅黑" w:eastAsia="微软雅黑" w:cs="MicrosoftYaHei"/>
          <w:kern w:val="0"/>
          <w:sz w:val="22"/>
          <w:szCs w:val="24"/>
        </w:rPr>
        <w:t>）的抗原肽的加工中发挥作用，E</w:t>
      </w:r>
      <w:r>
        <w:rPr>
          <w:rFonts w:ascii="微软雅黑" w:hAnsi="微软雅黑" w:eastAsia="微软雅黑" w:cs="MicrosoftYaHei"/>
          <w:kern w:val="0"/>
          <w:sz w:val="22"/>
          <w:szCs w:val="24"/>
        </w:rPr>
        <w:t>RAP1</w:t>
      </w:r>
      <w:r>
        <w:rPr>
          <w:rFonts w:hint="eastAsia" w:ascii="微软雅黑" w:hAnsi="微软雅黑" w:eastAsia="微软雅黑" w:cs="MicrosoftYaHei"/>
          <w:kern w:val="0"/>
          <w:sz w:val="22"/>
          <w:szCs w:val="24"/>
        </w:rPr>
        <w:t>的突变会影响抗原的加工。</w:t>
      </w:r>
    </w:p>
    <w:p>
      <w:pPr>
        <w:widowControl/>
        <w:spacing w:line="400" w:lineRule="exact"/>
        <w:ind w:left="860"/>
        <w:jc w:val="left"/>
        <w:rPr>
          <w:rFonts w:ascii="微软雅黑" w:hAnsi="微软雅黑" w:eastAsia="微软雅黑" w:cs="MicrosoftYaHei"/>
          <w:b/>
          <w:kern w:val="0"/>
          <w:sz w:val="22"/>
          <w:szCs w:val="24"/>
        </w:rPr>
      </w:pPr>
    </w:p>
    <w:p>
      <w:pPr>
        <w:widowControl/>
        <w:numPr>
          <w:ilvl w:val="0"/>
          <w:numId w:val="2"/>
        </w:numPr>
        <w:spacing w:line="400" w:lineRule="exact"/>
        <w:jc w:val="left"/>
        <w:rPr>
          <w:rFonts w:ascii="微软雅黑" w:hAnsi="微软雅黑" w:eastAsia="微软雅黑" w:cs="MicrosoftYaHei"/>
          <w:b/>
          <w:kern w:val="0"/>
          <w:sz w:val="22"/>
          <w:szCs w:val="24"/>
        </w:rPr>
      </w:pPr>
      <w:r>
        <w:rPr>
          <w:rFonts w:hint="eastAsia" w:ascii="微软雅黑" w:hAnsi="微软雅黑" w:eastAsia="微软雅黑" w:cs="MicrosoftYaHei"/>
          <w:b/>
          <w:kern w:val="0"/>
          <w:sz w:val="22"/>
          <w:szCs w:val="24"/>
        </w:rPr>
        <w:t>L</w:t>
      </w:r>
      <w:r>
        <w:rPr>
          <w:rFonts w:ascii="微软雅黑" w:hAnsi="微软雅黑" w:eastAsia="微软雅黑" w:cs="MicrosoftYaHei"/>
          <w:b/>
          <w:kern w:val="0"/>
          <w:sz w:val="22"/>
          <w:szCs w:val="24"/>
        </w:rPr>
        <w:t>MP7</w:t>
      </w:r>
    </w:p>
    <w:p>
      <w:pPr>
        <w:spacing w:line="400" w:lineRule="exact"/>
        <w:ind w:left="630" w:leftChars="300"/>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 xml:space="preserve">低分子质量多肽7（ </w:t>
      </w:r>
      <w:r>
        <w:rPr>
          <w:rFonts w:ascii="微软雅黑" w:hAnsi="微软雅黑" w:eastAsia="微软雅黑" w:cs="MicrosoftYaHei"/>
          <w:kern w:val="0"/>
          <w:sz w:val="22"/>
          <w:szCs w:val="24"/>
        </w:rPr>
        <w:t>low molecular weight polypeptide 7,LMP7</w:t>
      </w:r>
      <w:r>
        <w:rPr>
          <w:rFonts w:hint="eastAsia" w:ascii="微软雅黑" w:hAnsi="微软雅黑" w:eastAsia="微软雅黑" w:cs="MicrosoftYaHei"/>
          <w:kern w:val="0"/>
          <w:sz w:val="22"/>
          <w:szCs w:val="24"/>
        </w:rPr>
        <w:t>）作为免疫蛋白酶体的3个催化亚基中的糜蛋白酶活性中心，具有水解蛋白、呈递内源性抗原的作用。L</w:t>
      </w:r>
      <w:r>
        <w:rPr>
          <w:rFonts w:ascii="微软雅黑" w:hAnsi="微软雅黑" w:eastAsia="微软雅黑" w:cs="MicrosoftYaHei"/>
          <w:kern w:val="0"/>
          <w:sz w:val="22"/>
          <w:szCs w:val="24"/>
        </w:rPr>
        <w:t>MP7</w:t>
      </w:r>
      <w:r>
        <w:rPr>
          <w:rFonts w:hint="eastAsia" w:ascii="微软雅黑" w:hAnsi="微软雅黑" w:eastAsia="微软雅黑" w:cs="MicrosoftYaHei"/>
          <w:kern w:val="0"/>
          <w:sz w:val="22"/>
          <w:szCs w:val="24"/>
        </w:rPr>
        <w:t>的突变会影响抗原的呈递。</w:t>
      </w:r>
    </w:p>
    <w:p>
      <w:pPr>
        <w:widowControl/>
        <w:spacing w:line="400" w:lineRule="exact"/>
        <w:ind w:left="860"/>
        <w:jc w:val="left"/>
        <w:rPr>
          <w:rFonts w:ascii="微软雅黑" w:hAnsi="微软雅黑" w:eastAsia="微软雅黑" w:cs="MicrosoftYaHei"/>
          <w:b/>
          <w:kern w:val="0"/>
          <w:sz w:val="22"/>
          <w:szCs w:val="24"/>
        </w:rPr>
      </w:pPr>
    </w:p>
    <w:p>
      <w:pPr>
        <w:widowControl/>
        <w:numPr>
          <w:ilvl w:val="0"/>
          <w:numId w:val="2"/>
        </w:numPr>
        <w:spacing w:line="400" w:lineRule="exact"/>
        <w:jc w:val="left"/>
        <w:rPr>
          <w:rFonts w:ascii="微软雅黑" w:hAnsi="微软雅黑" w:eastAsia="微软雅黑" w:cs="MicrosoftYaHei"/>
          <w:b/>
          <w:kern w:val="0"/>
          <w:sz w:val="22"/>
          <w:szCs w:val="24"/>
        </w:rPr>
      </w:pPr>
      <w:r>
        <w:rPr>
          <w:rFonts w:hint="eastAsia" w:ascii="微软雅黑" w:hAnsi="微软雅黑" w:eastAsia="微软雅黑" w:cs="MicrosoftYaHei"/>
          <w:b/>
          <w:kern w:val="0"/>
          <w:sz w:val="22"/>
          <w:szCs w:val="24"/>
        </w:rPr>
        <w:t>T</w:t>
      </w:r>
      <w:r>
        <w:rPr>
          <w:rFonts w:ascii="微软雅黑" w:hAnsi="微软雅黑" w:eastAsia="微软雅黑" w:cs="MicrosoftYaHei"/>
          <w:b/>
          <w:kern w:val="0"/>
          <w:sz w:val="22"/>
          <w:szCs w:val="24"/>
        </w:rPr>
        <w:t>AP</w:t>
      </w:r>
    </w:p>
    <w:p>
      <w:pPr>
        <w:spacing w:line="400" w:lineRule="exact"/>
        <w:ind w:left="630" w:leftChars="300"/>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抗原加工相关转运体（t</w:t>
      </w:r>
      <w:r>
        <w:rPr>
          <w:rFonts w:ascii="微软雅黑" w:hAnsi="微软雅黑" w:eastAsia="微软雅黑" w:cs="MicrosoftYaHei"/>
          <w:kern w:val="0"/>
          <w:sz w:val="22"/>
          <w:szCs w:val="24"/>
        </w:rPr>
        <w:t>ransporter associated with antigen processing, TAP</w:t>
      </w:r>
      <w:r>
        <w:rPr>
          <w:rFonts w:hint="eastAsia" w:ascii="微软雅黑" w:hAnsi="微软雅黑" w:eastAsia="微软雅黑" w:cs="MicrosoftYaHei"/>
          <w:kern w:val="0"/>
          <w:sz w:val="22"/>
          <w:szCs w:val="24"/>
        </w:rPr>
        <w:t>）是I型主要组织相容性复合体（M</w:t>
      </w:r>
      <w:r>
        <w:rPr>
          <w:rFonts w:ascii="微软雅黑" w:hAnsi="微软雅黑" w:eastAsia="微软雅黑" w:cs="MicrosoftYaHei"/>
          <w:kern w:val="0"/>
          <w:sz w:val="22"/>
          <w:szCs w:val="24"/>
        </w:rPr>
        <w:t>HC-I</w:t>
      </w:r>
      <w:r>
        <w:rPr>
          <w:rFonts w:hint="eastAsia" w:ascii="微软雅黑" w:hAnsi="微软雅黑" w:eastAsia="微软雅黑" w:cs="MicrosoftYaHei"/>
          <w:kern w:val="0"/>
          <w:sz w:val="22"/>
          <w:szCs w:val="24"/>
        </w:rPr>
        <w:t>）呈递抗原的过程中，将抗原肽从内质网表面转运至内质网强的一种蛋白质。T</w:t>
      </w:r>
      <w:r>
        <w:rPr>
          <w:rFonts w:ascii="微软雅黑" w:hAnsi="微软雅黑" w:eastAsia="微软雅黑" w:cs="MicrosoftYaHei"/>
          <w:kern w:val="0"/>
          <w:sz w:val="22"/>
          <w:szCs w:val="24"/>
        </w:rPr>
        <w:t>AP</w:t>
      </w:r>
      <w:r>
        <w:rPr>
          <w:rFonts w:hint="eastAsia" w:ascii="微软雅黑" w:hAnsi="微软雅黑" w:eastAsia="微软雅黑" w:cs="MicrosoftYaHei"/>
          <w:kern w:val="0"/>
          <w:sz w:val="22"/>
          <w:szCs w:val="24"/>
        </w:rPr>
        <w:t>是由两个6次跨膜蛋白（T</w:t>
      </w:r>
      <w:r>
        <w:rPr>
          <w:rFonts w:ascii="微软雅黑" w:hAnsi="微软雅黑" w:eastAsia="微软雅黑" w:cs="MicrosoftYaHei"/>
          <w:kern w:val="0"/>
          <w:sz w:val="22"/>
          <w:szCs w:val="24"/>
        </w:rPr>
        <w:t>AP1</w:t>
      </w:r>
      <w:r>
        <w:rPr>
          <w:rFonts w:hint="eastAsia" w:ascii="微软雅黑" w:hAnsi="微软雅黑" w:eastAsia="微软雅黑" w:cs="MicrosoftYaHei"/>
          <w:kern w:val="0"/>
          <w:sz w:val="22"/>
          <w:szCs w:val="24"/>
        </w:rPr>
        <w:t>和T</w:t>
      </w:r>
      <w:r>
        <w:rPr>
          <w:rFonts w:ascii="微软雅黑" w:hAnsi="微软雅黑" w:eastAsia="微软雅黑" w:cs="MicrosoftYaHei"/>
          <w:kern w:val="0"/>
          <w:sz w:val="22"/>
          <w:szCs w:val="24"/>
        </w:rPr>
        <w:t>AP2</w:t>
      </w:r>
      <w:r>
        <w:rPr>
          <w:rFonts w:hint="eastAsia" w:ascii="微软雅黑" w:hAnsi="微软雅黑" w:eastAsia="微软雅黑" w:cs="MicrosoftYaHei"/>
          <w:kern w:val="0"/>
          <w:sz w:val="22"/>
          <w:szCs w:val="24"/>
        </w:rPr>
        <w:t>）组成的异二聚体，共同在内质网上形成孔道。T</w:t>
      </w:r>
      <w:r>
        <w:rPr>
          <w:rFonts w:ascii="微软雅黑" w:hAnsi="微软雅黑" w:eastAsia="微软雅黑" w:cs="MicrosoftYaHei"/>
          <w:kern w:val="0"/>
          <w:sz w:val="22"/>
          <w:szCs w:val="24"/>
        </w:rPr>
        <w:t>AP1</w:t>
      </w:r>
      <w:r>
        <w:rPr>
          <w:rFonts w:hint="eastAsia" w:ascii="微软雅黑" w:hAnsi="微软雅黑" w:eastAsia="微软雅黑" w:cs="MicrosoftYaHei"/>
          <w:kern w:val="0"/>
          <w:sz w:val="22"/>
          <w:szCs w:val="24"/>
        </w:rPr>
        <w:t>和T</w:t>
      </w:r>
      <w:r>
        <w:rPr>
          <w:rFonts w:ascii="微软雅黑" w:hAnsi="微软雅黑" w:eastAsia="微软雅黑" w:cs="MicrosoftYaHei"/>
          <w:kern w:val="0"/>
          <w:sz w:val="22"/>
          <w:szCs w:val="24"/>
        </w:rPr>
        <w:t>AP2</w:t>
      </w:r>
      <w:r>
        <w:rPr>
          <w:rFonts w:hint="eastAsia" w:ascii="微软雅黑" w:hAnsi="微软雅黑" w:eastAsia="微软雅黑" w:cs="MicrosoftYaHei"/>
          <w:kern w:val="0"/>
          <w:sz w:val="22"/>
          <w:szCs w:val="24"/>
        </w:rPr>
        <w:t>的突变会影响抗原的呈递。</w:t>
      </w:r>
    </w:p>
    <w:p>
      <w:pPr>
        <w:widowControl/>
        <w:jc w:val="left"/>
        <w:outlineLvl w:val="1"/>
        <w:rPr>
          <w:rFonts w:ascii="微软雅黑" w:hAnsi="微软雅黑" w:eastAsia="微软雅黑" w:cs="MicrosoftYaHei"/>
          <w:kern w:val="0"/>
          <w:sz w:val="22"/>
          <w:szCs w:val="24"/>
        </w:rPr>
      </w:pPr>
      <w:r>
        <w:rPr>
          <w:rFonts w:ascii="微软雅黑" w:hAnsi="微软雅黑" w:eastAsia="微软雅黑" w:cs="MicrosoftYaHei"/>
          <w:kern w:val="0"/>
          <w:sz w:val="22"/>
          <w:szCs w:val="24"/>
        </w:rPr>
        <w:br w:type="page"/>
      </w:r>
      <w:bookmarkStart w:id="9" w:name="_Toc512352437"/>
      <w:r>
        <w:rPr>
          <w:rFonts w:hint="eastAsia" w:ascii="微软雅黑" w:hAnsi="微软雅黑" w:eastAsia="微软雅黑" w:cs="MicrosoftYaHei"/>
          <w:b/>
          <w:color w:val="000000" w:themeColor="text1"/>
          <w:kern w:val="0"/>
          <w:sz w:val="28"/>
          <w:szCs w:val="24"/>
          <w14:textFill>
            <w14:solidFill>
              <w14:schemeClr w14:val="tx1"/>
            </w14:solidFill>
          </w14:textFill>
        </w:rPr>
        <w:t>肿瘤新生抗原鉴定结果</w:t>
      </w:r>
      <w:bookmarkEnd w:id="9"/>
    </w:p>
    <w:p>
      <w:pPr>
        <w:widowControl/>
        <w:numPr>
          <w:ilvl w:val="0"/>
          <w:numId w:val="1"/>
        </w:numPr>
        <w:jc w:val="left"/>
        <w:rPr>
          <w:rFonts w:ascii="微软雅黑" w:hAnsi="微软雅黑" w:eastAsia="微软雅黑" w:cs="MicrosoftYaHei"/>
          <w:b/>
          <w:color w:val="203864" w:themeColor="accent1" w:themeShade="80"/>
          <w:kern w:val="0"/>
          <w:sz w:val="24"/>
          <w:szCs w:val="24"/>
        </w:rPr>
      </w:pPr>
      <w:r>
        <w:rPr>
          <w:rFonts w:hint="eastAsia" w:ascii="微软雅黑" w:hAnsi="微软雅黑" w:eastAsia="微软雅黑" w:cs="MicrosoftYaHei"/>
          <w:b/>
          <w:color w:val="203864" w:themeColor="accent1" w:themeShade="80"/>
          <w:kern w:val="0"/>
          <w:sz w:val="24"/>
          <w:szCs w:val="24"/>
        </w:rPr>
        <w:t>H</w:t>
      </w:r>
      <w:r>
        <w:rPr>
          <w:rFonts w:ascii="微软雅黑" w:hAnsi="微软雅黑" w:eastAsia="微软雅黑" w:cs="MicrosoftYaHei"/>
          <w:b/>
          <w:color w:val="203864" w:themeColor="accent1" w:themeShade="80"/>
          <w:kern w:val="0"/>
          <w:sz w:val="24"/>
          <w:szCs w:val="24"/>
        </w:rPr>
        <w:t>LA</w:t>
      </w:r>
      <w:r>
        <w:rPr>
          <w:rFonts w:hint="eastAsia" w:ascii="微软雅黑" w:hAnsi="微软雅黑" w:eastAsia="微软雅黑" w:cs="MicrosoftYaHei"/>
          <w:b/>
          <w:color w:val="203864" w:themeColor="accent1" w:themeShade="80"/>
          <w:kern w:val="0"/>
          <w:sz w:val="24"/>
          <w:szCs w:val="24"/>
        </w:rPr>
        <w:t>分型结果</w:t>
      </w:r>
    </w:p>
    <w:p>
      <w:pPr>
        <w:widowControl/>
        <w:ind w:left="420"/>
        <w:jc w:val="left"/>
        <w:rPr>
          <w:rFonts w:ascii="微软雅黑" w:hAnsi="微软雅黑" w:eastAsia="微软雅黑" w:cs="MicrosoftYaHei"/>
          <w:b/>
          <w:color w:val="203864" w:themeColor="accent1" w:themeShade="80"/>
          <w:kern w:val="0"/>
          <w:sz w:val="24"/>
          <w:szCs w:val="24"/>
        </w:rPr>
      </w:pPr>
    </w:p>
    <w:tbl>
      <w:tblPr>
        <w:tblStyle w:val="11"/>
        <w:tblW w:w="8022" w:type="dxa"/>
        <w:tblInd w:w="284" w:type="dxa"/>
        <w:tblLayout w:type="fixed"/>
        <w:tblCellMar>
          <w:top w:w="0" w:type="dxa"/>
          <w:left w:w="108" w:type="dxa"/>
          <w:bottom w:w="0" w:type="dxa"/>
          <w:right w:w="108" w:type="dxa"/>
        </w:tblCellMar>
      </w:tblPr>
      <w:tblGrid>
        <w:gridCol w:w="1843"/>
        <w:gridCol w:w="4292"/>
        <w:gridCol w:w="1887"/>
      </w:tblGrid>
      <w:tr>
        <w:tblPrEx>
          <w:tblLayout w:type="fixed"/>
        </w:tblPrEx>
        <w:tc>
          <w:tcPr>
            <w:tcW w:w="1843"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H</w:t>
            </w:r>
            <w:r>
              <w:rPr>
                <w:rFonts w:ascii="微软雅黑" w:hAnsi="微软雅黑" w:eastAsia="微软雅黑" w:cs="MicrosoftYaHei"/>
                <w:b/>
                <w:bCs/>
                <w:kern w:val="0"/>
                <w:sz w:val="22"/>
              </w:rPr>
              <w:t>LA C</w:t>
            </w:r>
            <w:r>
              <w:rPr>
                <w:rFonts w:hint="eastAsia" w:ascii="微软雅黑" w:hAnsi="微软雅黑" w:eastAsia="微软雅黑" w:cs="MicrosoftYaHei"/>
                <w:b/>
                <w:bCs/>
                <w:kern w:val="0"/>
                <w:sz w:val="22"/>
              </w:rPr>
              <w:t>lass</w:t>
            </w:r>
            <w:r>
              <w:rPr>
                <w:rFonts w:ascii="微软雅黑" w:hAnsi="微软雅黑" w:eastAsia="微软雅黑" w:cs="MicrosoftYaHei"/>
                <w:b/>
                <w:bCs/>
                <w:kern w:val="0"/>
                <w:sz w:val="22"/>
              </w:rPr>
              <w:t xml:space="preserve"> I</w:t>
            </w:r>
          </w:p>
        </w:tc>
        <w:tc>
          <w:tcPr>
            <w:tcW w:w="4292"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等位基因1</w:t>
            </w:r>
          </w:p>
        </w:tc>
        <w:tc>
          <w:tcPr>
            <w:tcW w:w="1887" w:type="dxa"/>
            <w:shd w:val="clear" w:color="auto" w:fill="002060"/>
            <w:vAlign w:val="center"/>
          </w:tcPr>
          <w:p>
            <w:pPr>
              <w:widowControl/>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等位基因2</w:t>
            </w:r>
          </w:p>
        </w:tc>
      </w:tr>
      <w:tr>
        <w:tblPrEx>
          <w:tblLayout w:type="fixed"/>
          <w:tblCellMar>
            <w:top w:w="0" w:type="dxa"/>
            <w:left w:w="108" w:type="dxa"/>
            <w:bottom w:w="0" w:type="dxa"/>
            <w:right w:w="108" w:type="dxa"/>
          </w:tblCellMar>
        </w:tblPrEx>
        <w:tc>
          <w:tcPr>
            <w:tcW w:w="1843" w:type="dxa"/>
            <w:shd w:val="clear" w:color="auto" w:fill="F1F1F1" w:themeFill="background1" w:themeFillShade="F2"/>
            <w:vAlign w:val="center"/>
          </w:tcPr>
          <w:p>
            <w:pPr>
              <w:jc w:val="center"/>
              <w:rPr>
                <w:rFonts w:ascii="微软雅黑" w:hAnsi="微软雅黑" w:eastAsia="微软雅黑" w:cs="MicrosoftYaHei"/>
                <w:b w:val="0"/>
                <w:bCs/>
                <w:kern w:val="0"/>
                <w:sz w:val="22"/>
                <w:szCs w:val="24"/>
              </w:rPr>
            </w:pPr>
            <w:r>
              <w:rPr>
                <w:rFonts w:ascii="微软雅黑" w:hAnsi="微软雅黑" w:eastAsia="微软雅黑" w:cs="MicrosoftYaHei"/>
                <w:b w:val="0"/>
                <w:bCs/>
                <w:kern w:val="0"/>
                <w:sz w:val="22"/>
                <w:szCs w:val="24"/>
              </w:rPr>
              <w:t>HLA-A</w:t>
            </w:r>
          </w:p>
        </w:tc>
        <w:tc>
          <w:tcPr>
            <w:tcW w:w="4292" w:type="dxa"/>
            <w:shd w:val="clear" w:color="auto" w:fill="F1F1F1" w:themeFill="background1" w:themeFillShade="F2"/>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A*</w:t>
            </w:r>
            <w:r>
              <w:rPr>
                <w:rFonts w:ascii="微软雅黑" w:hAnsi="微软雅黑" w:eastAsia="微软雅黑" w:cs="MicrosoftYaHei"/>
                <w:kern w:val="0"/>
                <w:sz w:val="22"/>
                <w:szCs w:val="24"/>
              </w:rPr>
              <w:t>30</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01</w:t>
            </w:r>
          </w:p>
        </w:tc>
        <w:tc>
          <w:tcPr>
            <w:tcW w:w="1887" w:type="dxa"/>
            <w:shd w:val="clear" w:color="auto" w:fill="F1F1F1" w:themeFill="background1" w:themeFillShade="F2"/>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A*</w:t>
            </w:r>
            <w:r>
              <w:rPr>
                <w:rFonts w:ascii="微软雅黑" w:hAnsi="微软雅黑" w:eastAsia="微软雅黑" w:cs="MicrosoftYaHei"/>
                <w:kern w:val="0"/>
                <w:sz w:val="22"/>
                <w:szCs w:val="24"/>
              </w:rPr>
              <w:t>24</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02</w:t>
            </w:r>
          </w:p>
        </w:tc>
      </w:tr>
      <w:tr>
        <w:tblPrEx>
          <w:tblLayout w:type="fixed"/>
          <w:tblCellMar>
            <w:top w:w="0" w:type="dxa"/>
            <w:left w:w="108" w:type="dxa"/>
            <w:bottom w:w="0" w:type="dxa"/>
            <w:right w:w="108" w:type="dxa"/>
          </w:tblCellMar>
        </w:tblPrEx>
        <w:tc>
          <w:tcPr>
            <w:tcW w:w="1843" w:type="dxa"/>
            <w:vAlign w:val="center"/>
          </w:tcPr>
          <w:p>
            <w:pPr>
              <w:jc w:val="center"/>
              <w:rPr>
                <w:rFonts w:ascii="微软雅黑" w:hAnsi="微软雅黑" w:eastAsia="微软雅黑" w:cs="MicrosoftYaHei"/>
                <w:b w:val="0"/>
                <w:bCs/>
                <w:kern w:val="0"/>
                <w:sz w:val="22"/>
                <w:szCs w:val="24"/>
              </w:rPr>
            </w:pPr>
            <w:r>
              <w:rPr>
                <w:rFonts w:hint="eastAsia" w:ascii="微软雅黑" w:hAnsi="微软雅黑" w:eastAsia="微软雅黑" w:cs="MicrosoftYaHei"/>
                <w:b w:val="0"/>
                <w:bCs/>
                <w:kern w:val="0"/>
                <w:sz w:val="22"/>
                <w:szCs w:val="24"/>
              </w:rPr>
              <w:t>H</w:t>
            </w:r>
            <w:r>
              <w:rPr>
                <w:rFonts w:ascii="微软雅黑" w:hAnsi="微软雅黑" w:eastAsia="微软雅黑" w:cs="MicrosoftYaHei"/>
                <w:b w:val="0"/>
                <w:bCs/>
                <w:kern w:val="0"/>
                <w:sz w:val="22"/>
                <w:szCs w:val="24"/>
              </w:rPr>
              <w:t>LA-B</w:t>
            </w:r>
          </w:p>
        </w:tc>
        <w:tc>
          <w:tcPr>
            <w:tcW w:w="4292" w:type="dxa"/>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B</w:t>
            </w:r>
            <w:r>
              <w:rPr>
                <w:rFonts w:ascii="微软雅黑" w:hAnsi="微软雅黑" w:eastAsia="微软雅黑" w:cs="MicrosoftYaHei"/>
                <w:kern w:val="0"/>
                <w:sz w:val="22"/>
                <w:szCs w:val="24"/>
              </w:rPr>
              <w:t>*13:02</w:t>
            </w:r>
          </w:p>
        </w:tc>
        <w:tc>
          <w:tcPr>
            <w:tcW w:w="1887" w:type="dxa"/>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B*</w:t>
            </w:r>
            <w:r>
              <w:rPr>
                <w:rFonts w:ascii="微软雅黑" w:hAnsi="微软雅黑" w:eastAsia="微软雅黑" w:cs="MicrosoftYaHei"/>
                <w:kern w:val="0"/>
                <w:sz w:val="22"/>
                <w:szCs w:val="24"/>
              </w:rPr>
              <w:t>54</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01</w:t>
            </w:r>
          </w:p>
        </w:tc>
      </w:tr>
      <w:tr>
        <w:tblPrEx>
          <w:tblLayout w:type="fixed"/>
          <w:tblCellMar>
            <w:top w:w="0" w:type="dxa"/>
            <w:left w:w="108" w:type="dxa"/>
            <w:bottom w:w="0" w:type="dxa"/>
            <w:right w:w="108" w:type="dxa"/>
          </w:tblCellMar>
        </w:tblPrEx>
        <w:tc>
          <w:tcPr>
            <w:tcW w:w="1843" w:type="dxa"/>
            <w:shd w:val="clear" w:color="auto" w:fill="F1F1F1" w:themeFill="background1" w:themeFillShade="F2"/>
            <w:vAlign w:val="center"/>
          </w:tcPr>
          <w:p>
            <w:pPr>
              <w:jc w:val="center"/>
              <w:rPr>
                <w:rFonts w:ascii="微软雅黑" w:hAnsi="微软雅黑" w:eastAsia="微软雅黑" w:cs="MicrosoftYaHei"/>
                <w:b w:val="0"/>
                <w:bCs/>
                <w:kern w:val="0"/>
                <w:sz w:val="22"/>
                <w:szCs w:val="24"/>
              </w:rPr>
            </w:pPr>
            <w:r>
              <w:rPr>
                <w:rFonts w:hint="eastAsia" w:ascii="微软雅黑" w:hAnsi="微软雅黑" w:eastAsia="微软雅黑" w:cs="MicrosoftYaHei"/>
                <w:b w:val="0"/>
                <w:bCs/>
                <w:kern w:val="0"/>
                <w:sz w:val="22"/>
                <w:szCs w:val="24"/>
              </w:rPr>
              <w:t>H</w:t>
            </w:r>
            <w:r>
              <w:rPr>
                <w:rFonts w:ascii="微软雅黑" w:hAnsi="微软雅黑" w:eastAsia="微软雅黑" w:cs="MicrosoftYaHei"/>
                <w:b w:val="0"/>
                <w:bCs/>
                <w:kern w:val="0"/>
                <w:sz w:val="22"/>
                <w:szCs w:val="24"/>
              </w:rPr>
              <w:t>LA-C</w:t>
            </w:r>
          </w:p>
        </w:tc>
        <w:tc>
          <w:tcPr>
            <w:tcW w:w="4292" w:type="dxa"/>
            <w:shd w:val="clear" w:color="auto" w:fill="F1F1F1" w:themeFill="background1" w:themeFillShade="F2"/>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C*</w:t>
            </w:r>
            <w:r>
              <w:rPr>
                <w:rFonts w:ascii="微软雅黑" w:hAnsi="微软雅黑" w:eastAsia="微软雅黑" w:cs="MicrosoftYaHei"/>
                <w:kern w:val="0"/>
                <w:sz w:val="22"/>
                <w:szCs w:val="24"/>
              </w:rPr>
              <w:t>01</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02</w:t>
            </w:r>
          </w:p>
        </w:tc>
        <w:tc>
          <w:tcPr>
            <w:tcW w:w="1887" w:type="dxa"/>
            <w:shd w:val="clear" w:color="auto" w:fill="F1F1F1" w:themeFill="background1" w:themeFillShade="F2"/>
            <w:vAlign w:val="center"/>
          </w:tcPr>
          <w:p>
            <w:pPr>
              <w:jc w:val="center"/>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C*</w:t>
            </w:r>
            <w:r>
              <w:rPr>
                <w:rFonts w:ascii="微软雅黑" w:hAnsi="微软雅黑" w:eastAsia="微软雅黑" w:cs="MicrosoftYaHei"/>
                <w:kern w:val="0"/>
                <w:sz w:val="22"/>
                <w:szCs w:val="24"/>
              </w:rPr>
              <w:t>06</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02</w:t>
            </w:r>
          </w:p>
        </w:tc>
      </w:tr>
    </w:tbl>
    <w:p>
      <w:pPr>
        <w:widowControl/>
        <w:ind w:left="420"/>
        <w:jc w:val="left"/>
        <w:rPr>
          <w:rFonts w:ascii="微软雅黑" w:hAnsi="微软雅黑" w:eastAsia="微软雅黑" w:cs="MicrosoftYaHei"/>
          <w:b/>
          <w:color w:val="203864" w:themeColor="accent1" w:themeShade="80"/>
          <w:kern w:val="0"/>
          <w:sz w:val="28"/>
          <w:szCs w:val="24"/>
        </w:rPr>
      </w:pPr>
    </w:p>
    <w:p>
      <w:pPr>
        <w:widowControl/>
        <w:numPr>
          <w:ilvl w:val="0"/>
          <w:numId w:val="2"/>
        </w:numPr>
        <w:spacing w:line="400" w:lineRule="exact"/>
        <w:jc w:val="left"/>
        <w:rPr>
          <w:rFonts w:ascii="微软雅黑" w:hAnsi="微软雅黑" w:eastAsia="微软雅黑" w:cs="MicrosoftYaHei"/>
          <w:b/>
          <w:kern w:val="0"/>
          <w:sz w:val="22"/>
          <w:szCs w:val="24"/>
        </w:rPr>
      </w:pPr>
      <w:r>
        <w:rPr>
          <w:rFonts w:hint="eastAsia" w:ascii="微软雅黑" w:hAnsi="微软雅黑" w:eastAsia="微软雅黑" w:cs="MicrosoftYaHei"/>
          <w:b/>
          <w:kern w:val="0"/>
          <w:sz w:val="22"/>
          <w:szCs w:val="24"/>
        </w:rPr>
        <w:t>H</w:t>
      </w:r>
      <w:r>
        <w:rPr>
          <w:rFonts w:ascii="微软雅黑" w:hAnsi="微软雅黑" w:eastAsia="微软雅黑" w:cs="MicrosoftYaHei"/>
          <w:b/>
          <w:kern w:val="0"/>
          <w:sz w:val="22"/>
          <w:szCs w:val="24"/>
        </w:rPr>
        <w:t>LA</w:t>
      </w:r>
    </w:p>
    <w:p>
      <w:pPr>
        <w:spacing w:line="400" w:lineRule="exact"/>
        <w:ind w:left="630" w:leftChars="300"/>
        <w:rPr>
          <w:rFonts w:ascii="微软雅黑" w:hAnsi="微软雅黑" w:eastAsia="微软雅黑" w:cs="MicrosoftYaHei"/>
          <w:kern w:val="0"/>
          <w:sz w:val="22"/>
          <w:szCs w:val="24"/>
        </w:rPr>
      </w:pPr>
      <w:r>
        <w:rPr>
          <w:rFonts w:hint="eastAsia" w:ascii="微软雅黑" w:hAnsi="微软雅黑" w:eastAsia="微软雅黑" w:cs="MicrosoftYaHei"/>
          <w:kern w:val="0"/>
          <w:sz w:val="22"/>
          <w:szCs w:val="24"/>
        </w:rPr>
        <w:t>人类白细胞抗原（h</w:t>
      </w:r>
      <w:r>
        <w:rPr>
          <w:rFonts w:ascii="微软雅黑" w:hAnsi="微软雅黑" w:eastAsia="微软雅黑" w:cs="MicrosoftYaHei"/>
          <w:kern w:val="0"/>
          <w:sz w:val="22"/>
          <w:szCs w:val="24"/>
        </w:rPr>
        <w:t xml:space="preserve">uman leukocyte antigen, </w:t>
      </w:r>
      <w:r>
        <w:rPr>
          <w:rFonts w:hint="eastAsia" w:ascii="微软雅黑" w:hAnsi="微软雅黑" w:eastAsia="微软雅黑" w:cs="MicrosoftYaHei"/>
          <w:kern w:val="0"/>
          <w:sz w:val="22"/>
          <w:szCs w:val="24"/>
        </w:rPr>
        <w:t>简称H</w:t>
      </w:r>
      <w:r>
        <w:rPr>
          <w:rFonts w:ascii="微软雅黑" w:hAnsi="微软雅黑" w:eastAsia="微软雅黑" w:cs="MicrosoftYaHei"/>
          <w:kern w:val="0"/>
          <w:sz w:val="22"/>
          <w:szCs w:val="24"/>
        </w:rPr>
        <w:t>LA</w:t>
      </w:r>
      <w:r>
        <w:rPr>
          <w:rFonts w:hint="eastAsia" w:ascii="微软雅黑" w:hAnsi="微软雅黑" w:eastAsia="微软雅黑" w:cs="MicrosoftYaHei"/>
          <w:kern w:val="0"/>
          <w:sz w:val="22"/>
          <w:szCs w:val="24"/>
        </w:rPr>
        <w:t>），编码基因是人类的主要组织相容性复合体（M</w:t>
      </w:r>
      <w:r>
        <w:rPr>
          <w:rFonts w:ascii="微软雅黑" w:hAnsi="微软雅黑" w:eastAsia="微软雅黑" w:cs="MicrosoftYaHei"/>
          <w:kern w:val="0"/>
          <w:sz w:val="22"/>
          <w:szCs w:val="24"/>
        </w:rPr>
        <w:t>HC</w:t>
      </w:r>
      <w:r>
        <w:rPr>
          <w:rFonts w:hint="eastAsia" w:ascii="微软雅黑" w:hAnsi="微软雅黑" w:eastAsia="微软雅黑" w:cs="MicrosoftYaHei"/>
          <w:kern w:val="0"/>
          <w:sz w:val="22"/>
          <w:szCs w:val="24"/>
        </w:rPr>
        <w:t>），位于6号染色体上，包括一系列紧密连锁的基因座，与人类的免疫系统功能密切相关。M</w:t>
      </w:r>
      <w:r>
        <w:rPr>
          <w:rFonts w:ascii="微软雅黑" w:hAnsi="微软雅黑" w:eastAsia="微软雅黑" w:cs="MicrosoftYaHei"/>
          <w:kern w:val="0"/>
          <w:sz w:val="22"/>
          <w:szCs w:val="24"/>
        </w:rPr>
        <w:t>HC</w:t>
      </w:r>
      <w:r>
        <w:rPr>
          <w:rFonts w:hint="eastAsia" w:ascii="微软雅黑" w:hAnsi="微软雅黑" w:eastAsia="微软雅黑" w:cs="MicrosoftYaHei"/>
          <w:kern w:val="0"/>
          <w:sz w:val="22"/>
          <w:szCs w:val="24"/>
        </w:rPr>
        <w:t>其中部分基因编码细胞表面抗原，成为每个人的细胞不可混淆的特征，是免疫系统区分自体和异体物质的基础。H</w:t>
      </w:r>
      <w:r>
        <w:rPr>
          <w:rFonts w:ascii="微软雅黑" w:hAnsi="微软雅黑" w:eastAsia="微软雅黑" w:cs="MicrosoftYaHei"/>
          <w:kern w:val="0"/>
          <w:sz w:val="22"/>
          <w:szCs w:val="24"/>
        </w:rPr>
        <w:t>LA</w:t>
      </w:r>
      <w:r>
        <w:rPr>
          <w:rFonts w:hint="eastAsia" w:ascii="微软雅黑" w:hAnsi="微软雅黑" w:eastAsia="微软雅黑" w:cs="MicrosoftYaHei"/>
          <w:kern w:val="0"/>
          <w:sz w:val="22"/>
          <w:szCs w:val="24"/>
        </w:rPr>
        <w:t>有多种类别，不同分型与新生抗原的处理和呈递相关。</w:t>
      </w:r>
    </w:p>
    <w:p>
      <w:pPr>
        <w:widowControl/>
        <w:jc w:val="left"/>
        <w:rPr>
          <w:rFonts w:ascii="微软雅黑" w:hAnsi="微软雅黑" w:eastAsia="微软雅黑" w:cs="MicrosoftYaHei"/>
          <w:kern w:val="0"/>
          <w:sz w:val="22"/>
          <w:szCs w:val="24"/>
        </w:rPr>
      </w:pPr>
      <w:r>
        <w:rPr>
          <w:rFonts w:ascii="微软雅黑" w:hAnsi="微软雅黑" w:eastAsia="微软雅黑" w:cs="MicrosoftYaHei"/>
          <w:kern w:val="0"/>
          <w:sz w:val="22"/>
          <w:szCs w:val="24"/>
        </w:rPr>
        <w:br w:type="page"/>
      </w:r>
    </w:p>
    <w:p>
      <w:pPr>
        <w:widowControl/>
        <w:numPr>
          <w:ilvl w:val="0"/>
          <w:numId w:val="1"/>
        </w:numPr>
        <w:jc w:val="left"/>
        <w:rPr>
          <w:rFonts w:ascii="微软雅黑" w:hAnsi="微软雅黑" w:eastAsia="微软雅黑" w:cs="MicrosoftYaHei"/>
          <w:b/>
          <w:color w:val="203864" w:themeColor="accent1" w:themeShade="80"/>
          <w:kern w:val="0"/>
          <w:sz w:val="24"/>
          <w:szCs w:val="24"/>
        </w:rPr>
      </w:pPr>
      <w:r>
        <w:rPr>
          <w:rFonts w:hint="eastAsia" w:ascii="微软雅黑" w:hAnsi="微软雅黑" w:eastAsia="微软雅黑" w:cs="MicrosoftYaHei"/>
          <w:b/>
          <w:color w:val="203864" w:themeColor="accent1" w:themeShade="80"/>
          <w:kern w:val="0"/>
          <w:sz w:val="24"/>
          <w:szCs w:val="24"/>
        </w:rPr>
        <w:t>肿瘤新生抗原</w:t>
      </w:r>
    </w:p>
    <w:p>
      <w:pPr>
        <w:widowControl/>
        <w:ind w:left="420"/>
        <w:jc w:val="left"/>
        <w:rPr>
          <w:rFonts w:ascii="微软雅黑" w:hAnsi="微软雅黑" w:eastAsia="微软雅黑" w:cs="MicrosoftYaHei"/>
          <w:b/>
          <w:color w:val="203864" w:themeColor="accent1" w:themeShade="80"/>
          <w:kern w:val="0"/>
          <w:sz w:val="24"/>
          <w:szCs w:val="24"/>
        </w:rPr>
      </w:pPr>
    </w:p>
    <w:tbl>
      <w:tblPr>
        <w:tblStyle w:val="11"/>
        <w:tblW w:w="8306" w:type="dxa"/>
        <w:tblInd w:w="0" w:type="dxa"/>
        <w:tblLayout w:type="fixed"/>
        <w:tblCellMar>
          <w:top w:w="0" w:type="dxa"/>
          <w:left w:w="108" w:type="dxa"/>
          <w:bottom w:w="0" w:type="dxa"/>
          <w:right w:w="108" w:type="dxa"/>
        </w:tblCellMar>
      </w:tblPr>
      <w:tblGrid>
        <w:gridCol w:w="1155"/>
        <w:gridCol w:w="1529"/>
        <w:gridCol w:w="1130"/>
        <w:gridCol w:w="1130"/>
        <w:gridCol w:w="1101"/>
        <w:gridCol w:w="1130"/>
        <w:gridCol w:w="1131"/>
      </w:tblGrid>
      <w:tr>
        <w:tblPrEx>
          <w:tblLayout w:type="fixed"/>
          <w:tblCellMar>
            <w:top w:w="0" w:type="dxa"/>
            <w:left w:w="108" w:type="dxa"/>
            <w:bottom w:w="0" w:type="dxa"/>
            <w:right w:w="108" w:type="dxa"/>
          </w:tblCellMar>
        </w:tblPrEx>
        <w:tc>
          <w:tcPr>
            <w:tcW w:w="1155" w:type="dxa"/>
            <w:shd w:val="clear" w:color="auto" w:fill="1F3864" w:themeFill="accent1" w:themeFillShade="80"/>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识别号</w:t>
            </w:r>
          </w:p>
        </w:tc>
        <w:tc>
          <w:tcPr>
            <w:tcW w:w="1529" w:type="dxa"/>
            <w:shd w:val="clear" w:color="auto" w:fill="1F3864" w:themeFill="accent1" w:themeFillShade="80"/>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序列</w:t>
            </w:r>
          </w:p>
        </w:tc>
        <w:tc>
          <w:tcPr>
            <w:tcW w:w="1130" w:type="dxa"/>
            <w:shd w:val="clear" w:color="auto" w:fill="1F3864" w:themeFill="accent1" w:themeFillShade="80"/>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剪切效率</w:t>
            </w:r>
          </w:p>
        </w:tc>
        <w:tc>
          <w:tcPr>
            <w:tcW w:w="1130" w:type="dxa"/>
            <w:shd w:val="clear" w:color="auto" w:fill="1F3864" w:themeFill="accent1" w:themeFillShade="80"/>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转运效率</w:t>
            </w:r>
          </w:p>
        </w:tc>
        <w:tc>
          <w:tcPr>
            <w:tcW w:w="1101" w:type="dxa"/>
            <w:shd w:val="clear" w:color="auto" w:fill="1F3864" w:themeFill="accent1" w:themeFillShade="80"/>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亲和度</w:t>
            </w:r>
          </w:p>
        </w:tc>
        <w:tc>
          <w:tcPr>
            <w:tcW w:w="1130" w:type="dxa"/>
            <w:shd w:val="clear" w:color="auto" w:fill="1F3864" w:themeFill="accent1" w:themeFillShade="80"/>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免疫原性</w:t>
            </w:r>
          </w:p>
        </w:tc>
        <w:tc>
          <w:tcPr>
            <w:tcW w:w="1131" w:type="dxa"/>
            <w:shd w:val="clear" w:color="auto" w:fill="1F3864" w:themeFill="accent1" w:themeFillShade="80"/>
          </w:tcPr>
          <w:p>
            <w:pPr>
              <w:jc w:val="center"/>
              <w:rPr>
                <w:rFonts w:ascii="微软雅黑" w:hAnsi="微软雅黑" w:eastAsia="微软雅黑" w:cs="MicrosoftYaHei"/>
                <w:b/>
                <w:bCs/>
                <w:kern w:val="0"/>
                <w:sz w:val="22"/>
              </w:rPr>
            </w:pPr>
            <w:r>
              <w:rPr>
                <w:rFonts w:hint="eastAsia" w:ascii="微软雅黑" w:hAnsi="微软雅黑" w:eastAsia="微软雅黑" w:cs="MicrosoftYaHei"/>
                <w:b/>
                <w:bCs/>
                <w:kern w:val="0"/>
                <w:sz w:val="22"/>
              </w:rPr>
              <w:t>排序指数</w:t>
            </w:r>
          </w:p>
        </w:tc>
      </w:tr>
      <w:tr>
        <w:tblPrEx>
          <w:tblLayout w:type="fixed"/>
          <w:tblCellMar>
            <w:top w:w="0" w:type="dxa"/>
            <w:left w:w="108" w:type="dxa"/>
            <w:bottom w:w="0" w:type="dxa"/>
            <w:right w:w="108" w:type="dxa"/>
          </w:tblCellMar>
        </w:tblPrEx>
        <w:tc>
          <w:tcPr>
            <w:tcW w:w="1155" w:type="dxa"/>
            <w:shd w:val="clear" w:color="auto" w:fill="F1F1F1" w:themeFill="background1" w:themeFillShade="F2"/>
          </w:tcPr>
          <w:p>
            <w:pPr>
              <w:widowControl/>
              <w:jc w:val="left"/>
              <w:rPr>
                <w:rFonts w:ascii="微软雅黑" w:hAnsi="微软雅黑" w:eastAsia="微软雅黑" w:cs="MicrosoftYaHei"/>
                <w:b w:val="0"/>
                <w:bCs/>
                <w:color w:val="00B050"/>
                <w:kern w:val="0"/>
                <w:sz w:val="22"/>
                <w:szCs w:val="18"/>
              </w:rPr>
            </w:pPr>
            <w:r>
              <w:rPr>
                <w:rFonts w:ascii="微软雅黑" w:hAnsi="微软雅黑" w:eastAsia="微软雅黑" w:cs="宋体"/>
                <w:b w:val="0"/>
                <w:bCs/>
                <w:kern w:val="0"/>
                <w:sz w:val="20"/>
                <w:szCs w:val="18"/>
              </w:rPr>
              <w:t>CDx0001</w:t>
            </w:r>
          </w:p>
        </w:tc>
        <w:tc>
          <w:tcPr>
            <w:tcW w:w="1529"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bCs/>
                <w:kern w:val="0"/>
                <w:sz w:val="20"/>
                <w:szCs w:val="18"/>
              </w:rPr>
              <w:t>TVHFSIISV</w:t>
            </w:r>
          </w:p>
        </w:tc>
        <w:tc>
          <w:tcPr>
            <w:tcW w:w="1130"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bCs/>
                <w:kern w:val="0"/>
                <w:sz w:val="20"/>
                <w:szCs w:val="18"/>
              </w:rPr>
              <w:t>0.96517</w:t>
            </w:r>
          </w:p>
        </w:tc>
        <w:tc>
          <w:tcPr>
            <w:tcW w:w="1130"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bCs/>
                <w:kern w:val="0"/>
                <w:sz w:val="20"/>
                <w:szCs w:val="18"/>
              </w:rPr>
              <w:t>0.47000</w:t>
            </w:r>
          </w:p>
        </w:tc>
        <w:tc>
          <w:tcPr>
            <w:tcW w:w="1101"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bCs/>
                <w:kern w:val="0"/>
                <w:sz w:val="20"/>
                <w:szCs w:val="18"/>
              </w:rPr>
              <w:t>112.21</w:t>
            </w:r>
          </w:p>
        </w:tc>
        <w:tc>
          <w:tcPr>
            <w:tcW w:w="1130"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bCs/>
                <w:kern w:val="0"/>
                <w:sz w:val="20"/>
                <w:szCs w:val="18"/>
              </w:rPr>
              <w:t>0.10814</w:t>
            </w:r>
          </w:p>
        </w:tc>
        <w:tc>
          <w:tcPr>
            <w:tcW w:w="1131" w:type="dxa"/>
            <w:shd w:val="clear" w:color="auto" w:fill="F1F1F1" w:themeFill="background1" w:themeFillShade="F2"/>
          </w:tcPr>
          <w:p>
            <w:pPr>
              <w:widowControl/>
              <w:jc w:val="left"/>
              <w:rPr>
                <w:rFonts w:ascii="微软雅黑" w:hAnsi="微软雅黑" w:eastAsia="微软雅黑" w:cs="宋体"/>
                <w:bCs/>
                <w:kern w:val="0"/>
                <w:sz w:val="20"/>
                <w:szCs w:val="18"/>
              </w:rPr>
            </w:pPr>
            <w:r>
              <w:rPr>
                <w:rFonts w:ascii="微软雅黑" w:hAnsi="微软雅黑" w:eastAsia="微软雅黑" w:cs="宋体"/>
                <w:bCs/>
                <w:kern w:val="0"/>
                <w:sz w:val="20"/>
                <w:szCs w:val="18"/>
              </w:rPr>
              <w:t>0.71733</w:t>
            </w:r>
          </w:p>
        </w:tc>
      </w:tr>
      <w:tr>
        <w:tblPrEx>
          <w:tblLayout w:type="fixed"/>
          <w:tblCellMar>
            <w:top w:w="0" w:type="dxa"/>
            <w:left w:w="108" w:type="dxa"/>
            <w:bottom w:w="0" w:type="dxa"/>
            <w:right w:w="108" w:type="dxa"/>
          </w:tblCellMar>
        </w:tblPrEx>
        <w:tc>
          <w:tcPr>
            <w:tcW w:w="1155" w:type="dxa"/>
          </w:tcPr>
          <w:p>
            <w:pPr>
              <w:widowControl/>
              <w:jc w:val="left"/>
              <w:rPr>
                <w:rFonts w:ascii="微软雅黑" w:hAnsi="微软雅黑" w:eastAsia="微软雅黑" w:cs="MicrosoftYaHei"/>
                <w:b w:val="0"/>
                <w:bCs/>
                <w:color w:val="00B050"/>
                <w:kern w:val="0"/>
                <w:sz w:val="22"/>
                <w:szCs w:val="18"/>
              </w:rPr>
            </w:pPr>
            <w:r>
              <w:rPr>
                <w:rFonts w:ascii="微软雅黑" w:hAnsi="微软雅黑" w:eastAsia="微软雅黑" w:cs="宋体"/>
                <w:b w:val="0"/>
                <w:bCs/>
                <w:kern w:val="0"/>
                <w:sz w:val="20"/>
                <w:szCs w:val="18"/>
              </w:rPr>
              <w:t>CDx0002</w:t>
            </w:r>
          </w:p>
        </w:tc>
        <w:tc>
          <w:tcPr>
            <w:tcW w:w="1529"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RSHISSLSS</w:t>
            </w:r>
          </w:p>
        </w:tc>
        <w:tc>
          <w:tcPr>
            <w:tcW w:w="1130"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0.27472</w:t>
            </w:r>
          </w:p>
        </w:tc>
        <w:tc>
          <w:tcPr>
            <w:tcW w:w="1130"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1.87800</w:t>
            </w:r>
          </w:p>
        </w:tc>
        <w:tc>
          <w:tcPr>
            <w:tcW w:w="1101"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22.77</w:t>
            </w:r>
          </w:p>
        </w:tc>
        <w:tc>
          <w:tcPr>
            <w:tcW w:w="1130"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-0.27843</w:t>
            </w:r>
          </w:p>
        </w:tc>
        <w:tc>
          <w:tcPr>
            <w:tcW w:w="1131"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0.71070</w:t>
            </w:r>
          </w:p>
        </w:tc>
      </w:tr>
      <w:tr>
        <w:tblPrEx>
          <w:tblLayout w:type="fixed"/>
          <w:tblCellMar>
            <w:top w:w="0" w:type="dxa"/>
            <w:left w:w="108" w:type="dxa"/>
            <w:bottom w:w="0" w:type="dxa"/>
            <w:right w:w="108" w:type="dxa"/>
          </w:tblCellMar>
        </w:tblPrEx>
        <w:tc>
          <w:tcPr>
            <w:tcW w:w="1155" w:type="dxa"/>
            <w:shd w:val="clear" w:color="auto" w:fill="F1F1F1" w:themeFill="background1" w:themeFillShade="F2"/>
          </w:tcPr>
          <w:p>
            <w:pPr>
              <w:widowControl/>
              <w:jc w:val="left"/>
              <w:rPr>
                <w:rFonts w:ascii="微软雅黑" w:hAnsi="微软雅黑" w:eastAsia="微软雅黑" w:cs="MicrosoftYaHei"/>
                <w:b w:val="0"/>
                <w:bCs/>
                <w:color w:val="00B050"/>
                <w:kern w:val="0"/>
                <w:sz w:val="22"/>
                <w:szCs w:val="18"/>
              </w:rPr>
            </w:pPr>
            <w:r>
              <w:rPr>
                <w:rFonts w:ascii="微软雅黑" w:hAnsi="微软雅黑" w:eastAsia="微软雅黑" w:cs="宋体"/>
                <w:b w:val="0"/>
                <w:bCs/>
                <w:kern w:val="0"/>
                <w:sz w:val="20"/>
                <w:szCs w:val="18"/>
              </w:rPr>
              <w:t>CDx0003</w:t>
            </w:r>
          </w:p>
        </w:tc>
        <w:tc>
          <w:tcPr>
            <w:tcW w:w="1529"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AQKRKSPPK</w:t>
            </w:r>
          </w:p>
        </w:tc>
        <w:tc>
          <w:tcPr>
            <w:tcW w:w="1130"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0.86844</w:t>
            </w:r>
          </w:p>
        </w:tc>
        <w:tc>
          <w:tcPr>
            <w:tcW w:w="1130"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0.93800</w:t>
            </w:r>
          </w:p>
        </w:tc>
        <w:tc>
          <w:tcPr>
            <w:tcW w:w="1101"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5.02</w:t>
            </w:r>
          </w:p>
        </w:tc>
        <w:tc>
          <w:tcPr>
            <w:tcW w:w="1130"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-0.39949</w:t>
            </w:r>
          </w:p>
        </w:tc>
        <w:tc>
          <w:tcPr>
            <w:tcW w:w="1131"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0.70924</w:t>
            </w:r>
          </w:p>
        </w:tc>
      </w:tr>
      <w:tr>
        <w:tblPrEx>
          <w:tblLayout w:type="fixed"/>
          <w:tblCellMar>
            <w:top w:w="0" w:type="dxa"/>
            <w:left w:w="108" w:type="dxa"/>
            <w:bottom w:w="0" w:type="dxa"/>
            <w:right w:w="108" w:type="dxa"/>
          </w:tblCellMar>
        </w:tblPrEx>
        <w:tc>
          <w:tcPr>
            <w:tcW w:w="1155" w:type="dxa"/>
          </w:tcPr>
          <w:p>
            <w:pPr>
              <w:widowControl/>
              <w:jc w:val="left"/>
              <w:rPr>
                <w:rFonts w:ascii="微软雅黑" w:hAnsi="微软雅黑" w:eastAsia="微软雅黑" w:cs="MicrosoftYaHei"/>
                <w:b w:val="0"/>
                <w:bCs/>
                <w:color w:val="00B050"/>
                <w:kern w:val="0"/>
                <w:sz w:val="22"/>
                <w:szCs w:val="18"/>
              </w:rPr>
            </w:pPr>
            <w:r>
              <w:rPr>
                <w:rFonts w:ascii="微软雅黑" w:hAnsi="微软雅黑" w:eastAsia="微软雅黑" w:cs="宋体"/>
                <w:b w:val="0"/>
                <w:bCs/>
                <w:kern w:val="0"/>
                <w:sz w:val="20"/>
                <w:szCs w:val="18"/>
              </w:rPr>
              <w:t>CDx0004</w:t>
            </w:r>
          </w:p>
        </w:tc>
        <w:tc>
          <w:tcPr>
            <w:tcW w:w="1529"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YPDSHLPTV</w:t>
            </w:r>
          </w:p>
        </w:tc>
        <w:tc>
          <w:tcPr>
            <w:tcW w:w="1130"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0.97212</w:t>
            </w:r>
          </w:p>
        </w:tc>
        <w:tc>
          <w:tcPr>
            <w:tcW w:w="1130"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0.76600</w:t>
            </w:r>
          </w:p>
        </w:tc>
        <w:tc>
          <w:tcPr>
            <w:tcW w:w="1101"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54.54</w:t>
            </w:r>
          </w:p>
        </w:tc>
        <w:tc>
          <w:tcPr>
            <w:tcW w:w="1130"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-0.12489</w:t>
            </w:r>
          </w:p>
        </w:tc>
        <w:tc>
          <w:tcPr>
            <w:tcW w:w="1131"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0.70644</w:t>
            </w:r>
          </w:p>
        </w:tc>
      </w:tr>
      <w:tr>
        <w:tblPrEx>
          <w:tblLayout w:type="fixed"/>
          <w:tblCellMar>
            <w:top w:w="0" w:type="dxa"/>
            <w:left w:w="108" w:type="dxa"/>
            <w:bottom w:w="0" w:type="dxa"/>
            <w:right w:w="108" w:type="dxa"/>
          </w:tblCellMar>
        </w:tblPrEx>
        <w:tc>
          <w:tcPr>
            <w:tcW w:w="1155" w:type="dxa"/>
            <w:shd w:val="clear" w:color="auto" w:fill="F1F1F1" w:themeFill="background1" w:themeFillShade="F2"/>
          </w:tcPr>
          <w:p>
            <w:pPr>
              <w:widowControl/>
              <w:jc w:val="left"/>
              <w:rPr>
                <w:rFonts w:ascii="微软雅黑" w:hAnsi="微软雅黑" w:eastAsia="微软雅黑" w:cs="MicrosoftYaHei"/>
                <w:b w:val="0"/>
                <w:bCs/>
                <w:color w:val="00B050"/>
                <w:kern w:val="0"/>
                <w:sz w:val="22"/>
                <w:szCs w:val="18"/>
              </w:rPr>
            </w:pPr>
            <w:r>
              <w:rPr>
                <w:rFonts w:ascii="微软雅黑" w:hAnsi="微软雅黑" w:eastAsia="微软雅黑" w:cs="宋体"/>
                <w:b w:val="0"/>
                <w:bCs/>
                <w:kern w:val="0"/>
                <w:sz w:val="20"/>
                <w:szCs w:val="18"/>
              </w:rPr>
              <w:t>CDx0005</w:t>
            </w:r>
          </w:p>
        </w:tc>
        <w:tc>
          <w:tcPr>
            <w:tcW w:w="1529"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MPFAICTS</w:t>
            </w:r>
          </w:p>
        </w:tc>
        <w:tc>
          <w:tcPr>
            <w:tcW w:w="1130"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0.92428</w:t>
            </w:r>
          </w:p>
        </w:tc>
        <w:tc>
          <w:tcPr>
            <w:tcW w:w="1130"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0.45800</w:t>
            </w:r>
          </w:p>
        </w:tc>
        <w:tc>
          <w:tcPr>
            <w:tcW w:w="1101"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7.00</w:t>
            </w:r>
          </w:p>
        </w:tc>
        <w:tc>
          <w:tcPr>
            <w:tcW w:w="1130"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0.42734</w:t>
            </w:r>
          </w:p>
        </w:tc>
        <w:tc>
          <w:tcPr>
            <w:tcW w:w="1131"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0.70613</w:t>
            </w:r>
          </w:p>
        </w:tc>
      </w:tr>
      <w:tr>
        <w:tblPrEx>
          <w:tblLayout w:type="fixed"/>
          <w:tblCellMar>
            <w:top w:w="0" w:type="dxa"/>
            <w:left w:w="108" w:type="dxa"/>
            <w:bottom w:w="0" w:type="dxa"/>
            <w:right w:w="108" w:type="dxa"/>
          </w:tblCellMar>
        </w:tblPrEx>
        <w:tc>
          <w:tcPr>
            <w:tcW w:w="1155" w:type="dxa"/>
          </w:tcPr>
          <w:p>
            <w:pPr>
              <w:widowControl/>
              <w:jc w:val="left"/>
              <w:rPr>
                <w:rFonts w:ascii="微软雅黑" w:hAnsi="微软雅黑" w:eastAsia="微软雅黑" w:cs="宋体"/>
                <w:b/>
                <w:bCs/>
                <w:kern w:val="0"/>
                <w:sz w:val="20"/>
                <w:szCs w:val="18"/>
              </w:rPr>
            </w:pPr>
            <w:r>
              <w:rPr>
                <w:rFonts w:ascii="微软雅黑" w:hAnsi="微软雅黑" w:eastAsia="微软雅黑" w:cs="宋体"/>
                <w:b w:val="0"/>
                <w:bCs/>
                <w:kern w:val="0"/>
                <w:sz w:val="20"/>
                <w:szCs w:val="18"/>
              </w:rPr>
              <w:t>CDx0006</w:t>
            </w:r>
          </w:p>
        </w:tc>
        <w:tc>
          <w:tcPr>
            <w:tcW w:w="1529"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HSKIIIINK</w:t>
            </w:r>
          </w:p>
        </w:tc>
        <w:tc>
          <w:tcPr>
            <w:tcW w:w="1130"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0.92428</w:t>
            </w:r>
          </w:p>
        </w:tc>
        <w:tc>
          <w:tcPr>
            <w:tcW w:w="1130"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0.45800</w:t>
            </w:r>
          </w:p>
        </w:tc>
        <w:tc>
          <w:tcPr>
            <w:tcW w:w="1101"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7.00</w:t>
            </w:r>
          </w:p>
        </w:tc>
        <w:tc>
          <w:tcPr>
            <w:tcW w:w="1130"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0.42734</w:t>
            </w:r>
          </w:p>
        </w:tc>
        <w:tc>
          <w:tcPr>
            <w:tcW w:w="1131"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0.70613</w:t>
            </w:r>
          </w:p>
        </w:tc>
      </w:tr>
      <w:tr>
        <w:tblPrEx>
          <w:tblLayout w:type="fixed"/>
          <w:tblCellMar>
            <w:top w:w="0" w:type="dxa"/>
            <w:left w:w="108" w:type="dxa"/>
            <w:bottom w:w="0" w:type="dxa"/>
            <w:right w:w="108" w:type="dxa"/>
          </w:tblCellMar>
        </w:tblPrEx>
        <w:tc>
          <w:tcPr>
            <w:tcW w:w="1155" w:type="dxa"/>
            <w:shd w:val="clear" w:color="auto" w:fill="F1F1F1" w:themeFill="background1" w:themeFillShade="F2"/>
          </w:tcPr>
          <w:p>
            <w:pPr>
              <w:widowControl/>
              <w:jc w:val="left"/>
              <w:rPr>
                <w:rFonts w:ascii="微软雅黑" w:hAnsi="微软雅黑" w:eastAsia="微软雅黑" w:cs="宋体"/>
                <w:b/>
                <w:bCs/>
                <w:kern w:val="0"/>
                <w:sz w:val="20"/>
                <w:szCs w:val="18"/>
              </w:rPr>
            </w:pPr>
            <w:r>
              <w:rPr>
                <w:rFonts w:ascii="微软雅黑" w:hAnsi="微软雅黑" w:eastAsia="微软雅黑" w:cs="宋体"/>
                <w:b w:val="0"/>
                <w:bCs/>
                <w:kern w:val="0"/>
                <w:sz w:val="20"/>
                <w:szCs w:val="18"/>
              </w:rPr>
              <w:t>CDx0007</w:t>
            </w:r>
          </w:p>
        </w:tc>
        <w:tc>
          <w:tcPr>
            <w:tcW w:w="1529"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MPFAICTSLFS</w:t>
            </w:r>
          </w:p>
        </w:tc>
        <w:tc>
          <w:tcPr>
            <w:tcW w:w="1130"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0.92428</w:t>
            </w:r>
          </w:p>
        </w:tc>
        <w:tc>
          <w:tcPr>
            <w:tcW w:w="1130"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0.45800</w:t>
            </w:r>
          </w:p>
        </w:tc>
        <w:tc>
          <w:tcPr>
            <w:tcW w:w="1101"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7.00</w:t>
            </w:r>
          </w:p>
        </w:tc>
        <w:tc>
          <w:tcPr>
            <w:tcW w:w="1130"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0.42734</w:t>
            </w:r>
          </w:p>
        </w:tc>
        <w:tc>
          <w:tcPr>
            <w:tcW w:w="1131"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0.70613</w:t>
            </w:r>
          </w:p>
        </w:tc>
      </w:tr>
      <w:tr>
        <w:tblPrEx>
          <w:tblLayout w:type="fixed"/>
          <w:tblCellMar>
            <w:top w:w="0" w:type="dxa"/>
            <w:left w:w="108" w:type="dxa"/>
            <w:bottom w:w="0" w:type="dxa"/>
            <w:right w:w="108" w:type="dxa"/>
          </w:tblCellMar>
        </w:tblPrEx>
        <w:tc>
          <w:tcPr>
            <w:tcW w:w="1155" w:type="dxa"/>
          </w:tcPr>
          <w:p>
            <w:pPr>
              <w:widowControl/>
              <w:jc w:val="left"/>
              <w:rPr>
                <w:rFonts w:ascii="微软雅黑" w:hAnsi="微软雅黑" w:eastAsia="微软雅黑" w:cs="宋体"/>
                <w:b/>
                <w:bCs/>
                <w:kern w:val="0"/>
                <w:sz w:val="20"/>
                <w:szCs w:val="18"/>
              </w:rPr>
            </w:pPr>
            <w:r>
              <w:rPr>
                <w:rFonts w:ascii="微软雅黑" w:hAnsi="微软雅黑" w:eastAsia="微软雅黑" w:cs="宋体"/>
                <w:b w:val="0"/>
                <w:bCs/>
                <w:kern w:val="0"/>
                <w:sz w:val="20"/>
                <w:szCs w:val="18"/>
              </w:rPr>
              <w:t>CDx0008</w:t>
            </w:r>
          </w:p>
        </w:tc>
        <w:tc>
          <w:tcPr>
            <w:tcW w:w="1529"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SAFEANKEL</w:t>
            </w:r>
          </w:p>
        </w:tc>
        <w:tc>
          <w:tcPr>
            <w:tcW w:w="1130"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0.92428</w:t>
            </w:r>
          </w:p>
        </w:tc>
        <w:tc>
          <w:tcPr>
            <w:tcW w:w="1130"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0.45800</w:t>
            </w:r>
          </w:p>
        </w:tc>
        <w:tc>
          <w:tcPr>
            <w:tcW w:w="1101"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7.00</w:t>
            </w:r>
          </w:p>
        </w:tc>
        <w:tc>
          <w:tcPr>
            <w:tcW w:w="1130"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0.42734</w:t>
            </w:r>
          </w:p>
        </w:tc>
        <w:tc>
          <w:tcPr>
            <w:tcW w:w="1131"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0.70613</w:t>
            </w:r>
          </w:p>
        </w:tc>
      </w:tr>
      <w:tr>
        <w:tblPrEx>
          <w:tblLayout w:type="fixed"/>
          <w:tblCellMar>
            <w:top w:w="0" w:type="dxa"/>
            <w:left w:w="108" w:type="dxa"/>
            <w:bottom w:w="0" w:type="dxa"/>
            <w:right w:w="108" w:type="dxa"/>
          </w:tblCellMar>
        </w:tblPrEx>
        <w:tc>
          <w:tcPr>
            <w:tcW w:w="1155" w:type="dxa"/>
            <w:shd w:val="clear" w:color="auto" w:fill="F1F1F1" w:themeFill="background1" w:themeFillShade="F2"/>
          </w:tcPr>
          <w:p>
            <w:pPr>
              <w:widowControl/>
              <w:jc w:val="left"/>
              <w:rPr>
                <w:rFonts w:ascii="微软雅黑" w:hAnsi="微软雅黑" w:eastAsia="微软雅黑" w:cs="宋体"/>
                <w:b/>
                <w:bCs/>
                <w:kern w:val="0"/>
                <w:sz w:val="20"/>
                <w:szCs w:val="18"/>
              </w:rPr>
            </w:pPr>
            <w:r>
              <w:rPr>
                <w:rFonts w:ascii="微软雅黑" w:hAnsi="微软雅黑" w:eastAsia="微软雅黑" w:cs="宋体"/>
                <w:b w:val="0"/>
                <w:bCs/>
                <w:kern w:val="0"/>
                <w:sz w:val="20"/>
                <w:szCs w:val="18"/>
              </w:rPr>
              <w:t>CDx0009</w:t>
            </w:r>
          </w:p>
        </w:tc>
        <w:tc>
          <w:tcPr>
            <w:tcW w:w="1529"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RSRQRRLQAL</w:t>
            </w:r>
          </w:p>
        </w:tc>
        <w:tc>
          <w:tcPr>
            <w:tcW w:w="1130"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0.92428</w:t>
            </w:r>
          </w:p>
        </w:tc>
        <w:tc>
          <w:tcPr>
            <w:tcW w:w="1130"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0.45800</w:t>
            </w:r>
          </w:p>
        </w:tc>
        <w:tc>
          <w:tcPr>
            <w:tcW w:w="1101"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7.00</w:t>
            </w:r>
          </w:p>
        </w:tc>
        <w:tc>
          <w:tcPr>
            <w:tcW w:w="1130"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0.42734</w:t>
            </w:r>
          </w:p>
        </w:tc>
        <w:tc>
          <w:tcPr>
            <w:tcW w:w="1131"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0.70613</w:t>
            </w:r>
          </w:p>
        </w:tc>
      </w:tr>
      <w:tr>
        <w:tblPrEx>
          <w:tblLayout w:type="fixed"/>
          <w:tblCellMar>
            <w:top w:w="0" w:type="dxa"/>
            <w:left w:w="108" w:type="dxa"/>
            <w:bottom w:w="0" w:type="dxa"/>
            <w:right w:w="108" w:type="dxa"/>
          </w:tblCellMar>
        </w:tblPrEx>
        <w:tc>
          <w:tcPr>
            <w:tcW w:w="1155" w:type="dxa"/>
          </w:tcPr>
          <w:p>
            <w:pPr>
              <w:widowControl/>
              <w:jc w:val="left"/>
              <w:rPr>
                <w:rFonts w:ascii="微软雅黑" w:hAnsi="微软雅黑" w:eastAsia="微软雅黑" w:cs="宋体"/>
                <w:b/>
                <w:bCs/>
                <w:kern w:val="0"/>
                <w:sz w:val="20"/>
                <w:szCs w:val="18"/>
              </w:rPr>
            </w:pPr>
            <w:r>
              <w:rPr>
                <w:rFonts w:ascii="微软雅黑" w:hAnsi="微软雅黑" w:eastAsia="微软雅黑" w:cs="宋体"/>
                <w:b w:val="0"/>
                <w:bCs/>
                <w:kern w:val="0"/>
                <w:sz w:val="20"/>
                <w:szCs w:val="18"/>
              </w:rPr>
              <w:t>CDx0010</w:t>
            </w:r>
          </w:p>
        </w:tc>
        <w:tc>
          <w:tcPr>
            <w:tcW w:w="1529"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SAIPRTMEK</w:t>
            </w:r>
          </w:p>
        </w:tc>
        <w:tc>
          <w:tcPr>
            <w:tcW w:w="1130"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0.92428</w:t>
            </w:r>
          </w:p>
        </w:tc>
        <w:tc>
          <w:tcPr>
            <w:tcW w:w="1130"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0.45800</w:t>
            </w:r>
          </w:p>
        </w:tc>
        <w:tc>
          <w:tcPr>
            <w:tcW w:w="1101"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7.00</w:t>
            </w:r>
          </w:p>
        </w:tc>
        <w:tc>
          <w:tcPr>
            <w:tcW w:w="1130"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0.42734</w:t>
            </w:r>
          </w:p>
        </w:tc>
        <w:tc>
          <w:tcPr>
            <w:tcW w:w="1131"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0.70613</w:t>
            </w:r>
          </w:p>
        </w:tc>
      </w:tr>
      <w:tr>
        <w:tblPrEx>
          <w:tblLayout w:type="fixed"/>
          <w:tblCellMar>
            <w:top w:w="0" w:type="dxa"/>
            <w:left w:w="108" w:type="dxa"/>
            <w:bottom w:w="0" w:type="dxa"/>
            <w:right w:w="108" w:type="dxa"/>
          </w:tblCellMar>
        </w:tblPrEx>
        <w:tc>
          <w:tcPr>
            <w:tcW w:w="1155" w:type="dxa"/>
            <w:shd w:val="clear" w:color="auto" w:fill="F1F1F1" w:themeFill="background1" w:themeFillShade="F2"/>
          </w:tcPr>
          <w:p>
            <w:pPr>
              <w:widowControl/>
              <w:jc w:val="left"/>
              <w:rPr>
                <w:rFonts w:ascii="微软雅黑" w:hAnsi="微软雅黑" w:eastAsia="微软雅黑" w:cs="宋体"/>
                <w:b/>
                <w:bCs/>
                <w:kern w:val="0"/>
                <w:sz w:val="20"/>
                <w:szCs w:val="18"/>
              </w:rPr>
            </w:pPr>
            <w:r>
              <w:rPr>
                <w:rFonts w:ascii="微软雅黑" w:hAnsi="微软雅黑" w:eastAsia="微软雅黑" w:cs="宋体"/>
                <w:b w:val="0"/>
                <w:bCs/>
                <w:kern w:val="0"/>
                <w:sz w:val="20"/>
                <w:szCs w:val="18"/>
              </w:rPr>
              <w:t>CDx0011</w:t>
            </w:r>
          </w:p>
        </w:tc>
        <w:tc>
          <w:tcPr>
            <w:tcW w:w="1529"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SGKEGNKFK</w:t>
            </w:r>
          </w:p>
        </w:tc>
        <w:tc>
          <w:tcPr>
            <w:tcW w:w="1130"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0.92428</w:t>
            </w:r>
          </w:p>
        </w:tc>
        <w:tc>
          <w:tcPr>
            <w:tcW w:w="1130"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0.45800</w:t>
            </w:r>
          </w:p>
        </w:tc>
        <w:tc>
          <w:tcPr>
            <w:tcW w:w="1101"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7.00</w:t>
            </w:r>
          </w:p>
        </w:tc>
        <w:tc>
          <w:tcPr>
            <w:tcW w:w="1130"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0.42734</w:t>
            </w:r>
          </w:p>
        </w:tc>
        <w:tc>
          <w:tcPr>
            <w:tcW w:w="1131"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0.70613</w:t>
            </w:r>
          </w:p>
        </w:tc>
      </w:tr>
      <w:tr>
        <w:tblPrEx>
          <w:tblLayout w:type="fixed"/>
          <w:tblCellMar>
            <w:top w:w="0" w:type="dxa"/>
            <w:left w:w="108" w:type="dxa"/>
            <w:bottom w:w="0" w:type="dxa"/>
            <w:right w:w="108" w:type="dxa"/>
          </w:tblCellMar>
        </w:tblPrEx>
        <w:tc>
          <w:tcPr>
            <w:tcW w:w="1155" w:type="dxa"/>
          </w:tcPr>
          <w:p>
            <w:pPr>
              <w:widowControl/>
              <w:jc w:val="left"/>
              <w:rPr>
                <w:rFonts w:ascii="微软雅黑" w:hAnsi="微软雅黑" w:eastAsia="微软雅黑" w:cs="宋体"/>
                <w:b/>
                <w:bCs/>
                <w:kern w:val="0"/>
                <w:sz w:val="20"/>
                <w:szCs w:val="18"/>
              </w:rPr>
            </w:pPr>
            <w:r>
              <w:rPr>
                <w:rFonts w:ascii="微软雅黑" w:hAnsi="微软雅黑" w:eastAsia="微软雅黑" w:cs="宋体"/>
                <w:b w:val="0"/>
                <w:bCs/>
                <w:kern w:val="0"/>
                <w:sz w:val="20"/>
                <w:szCs w:val="18"/>
              </w:rPr>
              <w:t>CDx0012</w:t>
            </w:r>
          </w:p>
        </w:tc>
        <w:tc>
          <w:tcPr>
            <w:tcW w:w="1529"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GPWEKCFQA</w:t>
            </w:r>
          </w:p>
        </w:tc>
        <w:tc>
          <w:tcPr>
            <w:tcW w:w="1130"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0.92428</w:t>
            </w:r>
          </w:p>
        </w:tc>
        <w:tc>
          <w:tcPr>
            <w:tcW w:w="1130"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0.45800</w:t>
            </w:r>
          </w:p>
        </w:tc>
        <w:tc>
          <w:tcPr>
            <w:tcW w:w="1101"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7.00</w:t>
            </w:r>
          </w:p>
        </w:tc>
        <w:tc>
          <w:tcPr>
            <w:tcW w:w="1130"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0.42734</w:t>
            </w:r>
          </w:p>
        </w:tc>
        <w:tc>
          <w:tcPr>
            <w:tcW w:w="1131"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0.70613</w:t>
            </w:r>
          </w:p>
        </w:tc>
      </w:tr>
      <w:tr>
        <w:tblPrEx>
          <w:tblLayout w:type="fixed"/>
          <w:tblCellMar>
            <w:top w:w="0" w:type="dxa"/>
            <w:left w:w="108" w:type="dxa"/>
            <w:bottom w:w="0" w:type="dxa"/>
            <w:right w:w="108" w:type="dxa"/>
          </w:tblCellMar>
        </w:tblPrEx>
        <w:tc>
          <w:tcPr>
            <w:tcW w:w="1155" w:type="dxa"/>
            <w:shd w:val="clear" w:color="auto" w:fill="F1F1F1" w:themeFill="background1" w:themeFillShade="F2"/>
          </w:tcPr>
          <w:p>
            <w:pPr>
              <w:widowControl/>
              <w:jc w:val="left"/>
              <w:rPr>
                <w:rFonts w:ascii="微软雅黑" w:hAnsi="微软雅黑" w:eastAsia="微软雅黑" w:cs="MicrosoftYaHei"/>
                <w:b w:val="0"/>
                <w:bCs/>
                <w:color w:val="00B050"/>
                <w:kern w:val="0"/>
                <w:sz w:val="22"/>
                <w:szCs w:val="18"/>
              </w:rPr>
            </w:pPr>
            <w:r>
              <w:rPr>
                <w:rFonts w:ascii="微软雅黑" w:hAnsi="微软雅黑" w:eastAsia="微软雅黑" w:cs="宋体"/>
                <w:b w:val="0"/>
                <w:bCs/>
                <w:kern w:val="0"/>
                <w:sz w:val="20"/>
                <w:szCs w:val="18"/>
              </w:rPr>
              <w:t>CDx0013</w:t>
            </w:r>
          </w:p>
        </w:tc>
        <w:tc>
          <w:tcPr>
            <w:tcW w:w="1529"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KIYDVRHRA</w:t>
            </w:r>
          </w:p>
        </w:tc>
        <w:tc>
          <w:tcPr>
            <w:tcW w:w="1130"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0.92428</w:t>
            </w:r>
          </w:p>
        </w:tc>
        <w:tc>
          <w:tcPr>
            <w:tcW w:w="1130"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0.45800</w:t>
            </w:r>
          </w:p>
        </w:tc>
        <w:tc>
          <w:tcPr>
            <w:tcW w:w="1101"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7.00</w:t>
            </w:r>
          </w:p>
        </w:tc>
        <w:tc>
          <w:tcPr>
            <w:tcW w:w="1130"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0.42734</w:t>
            </w:r>
          </w:p>
        </w:tc>
        <w:tc>
          <w:tcPr>
            <w:tcW w:w="1131"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0.70613</w:t>
            </w:r>
          </w:p>
        </w:tc>
      </w:tr>
      <w:tr>
        <w:tblPrEx>
          <w:tblLayout w:type="fixed"/>
          <w:tblCellMar>
            <w:top w:w="0" w:type="dxa"/>
            <w:left w:w="108" w:type="dxa"/>
            <w:bottom w:w="0" w:type="dxa"/>
            <w:right w:w="108" w:type="dxa"/>
          </w:tblCellMar>
        </w:tblPrEx>
        <w:tc>
          <w:tcPr>
            <w:tcW w:w="1155" w:type="dxa"/>
          </w:tcPr>
          <w:p>
            <w:pPr>
              <w:widowControl/>
              <w:jc w:val="left"/>
              <w:rPr>
                <w:rFonts w:ascii="微软雅黑" w:hAnsi="微软雅黑" w:eastAsia="微软雅黑" w:cs="MicrosoftYaHei"/>
                <w:b w:val="0"/>
                <w:bCs/>
                <w:color w:val="00B050"/>
                <w:kern w:val="0"/>
                <w:sz w:val="22"/>
                <w:szCs w:val="18"/>
              </w:rPr>
            </w:pPr>
            <w:r>
              <w:rPr>
                <w:rFonts w:ascii="微软雅黑" w:hAnsi="微软雅黑" w:eastAsia="微软雅黑" w:cs="宋体"/>
                <w:b w:val="0"/>
                <w:bCs/>
                <w:kern w:val="0"/>
                <w:sz w:val="20"/>
                <w:szCs w:val="18"/>
              </w:rPr>
              <w:t>CDx0014</w:t>
            </w:r>
          </w:p>
        </w:tc>
        <w:tc>
          <w:tcPr>
            <w:tcW w:w="1529"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EPASPPAEA</w:t>
            </w:r>
          </w:p>
        </w:tc>
        <w:tc>
          <w:tcPr>
            <w:tcW w:w="1130"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0.92428</w:t>
            </w:r>
          </w:p>
        </w:tc>
        <w:tc>
          <w:tcPr>
            <w:tcW w:w="1130"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0.45800</w:t>
            </w:r>
          </w:p>
        </w:tc>
        <w:tc>
          <w:tcPr>
            <w:tcW w:w="1101"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7.00</w:t>
            </w:r>
          </w:p>
        </w:tc>
        <w:tc>
          <w:tcPr>
            <w:tcW w:w="1130"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0.42734</w:t>
            </w:r>
          </w:p>
        </w:tc>
        <w:tc>
          <w:tcPr>
            <w:tcW w:w="1131"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0.70613</w:t>
            </w:r>
          </w:p>
        </w:tc>
      </w:tr>
      <w:tr>
        <w:tblPrEx>
          <w:tblLayout w:type="fixed"/>
          <w:tblCellMar>
            <w:top w:w="0" w:type="dxa"/>
            <w:left w:w="108" w:type="dxa"/>
            <w:bottom w:w="0" w:type="dxa"/>
            <w:right w:w="108" w:type="dxa"/>
          </w:tblCellMar>
        </w:tblPrEx>
        <w:tc>
          <w:tcPr>
            <w:tcW w:w="1155" w:type="dxa"/>
            <w:shd w:val="clear" w:color="auto" w:fill="F1F1F1" w:themeFill="background1" w:themeFillShade="F2"/>
          </w:tcPr>
          <w:p>
            <w:pPr>
              <w:widowControl/>
              <w:jc w:val="left"/>
              <w:rPr>
                <w:rFonts w:ascii="微软雅黑" w:hAnsi="微软雅黑" w:eastAsia="微软雅黑" w:cs="MicrosoftYaHei"/>
                <w:b w:val="0"/>
                <w:bCs/>
                <w:color w:val="00B050"/>
                <w:kern w:val="0"/>
                <w:sz w:val="22"/>
                <w:szCs w:val="18"/>
              </w:rPr>
            </w:pPr>
            <w:r>
              <w:rPr>
                <w:rFonts w:ascii="微软雅黑" w:hAnsi="微软雅黑" w:eastAsia="微软雅黑" w:cs="宋体"/>
                <w:b w:val="0"/>
                <w:bCs/>
                <w:kern w:val="0"/>
                <w:sz w:val="20"/>
                <w:szCs w:val="18"/>
              </w:rPr>
              <w:t>CDx0015</w:t>
            </w:r>
          </w:p>
        </w:tc>
        <w:tc>
          <w:tcPr>
            <w:tcW w:w="1529"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KYWGLIVNK</w:t>
            </w:r>
          </w:p>
        </w:tc>
        <w:tc>
          <w:tcPr>
            <w:tcW w:w="1130"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0.92428</w:t>
            </w:r>
          </w:p>
        </w:tc>
        <w:tc>
          <w:tcPr>
            <w:tcW w:w="1130"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0.45800</w:t>
            </w:r>
          </w:p>
        </w:tc>
        <w:tc>
          <w:tcPr>
            <w:tcW w:w="1101"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7.00</w:t>
            </w:r>
          </w:p>
        </w:tc>
        <w:tc>
          <w:tcPr>
            <w:tcW w:w="1130" w:type="dxa"/>
            <w:shd w:val="clear" w:color="auto" w:fill="F1F1F1" w:themeFill="background1" w:themeFillShade="F2"/>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0.42734</w:t>
            </w:r>
          </w:p>
        </w:tc>
        <w:tc>
          <w:tcPr>
            <w:tcW w:w="1131" w:type="dxa"/>
            <w:shd w:val="clear" w:color="auto" w:fill="F1F1F1" w:themeFill="background1" w:themeFillShade="F2"/>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0.70613</w:t>
            </w:r>
          </w:p>
        </w:tc>
      </w:tr>
      <w:tr>
        <w:tblPrEx>
          <w:tblLayout w:type="fixed"/>
          <w:tblCellMar>
            <w:top w:w="0" w:type="dxa"/>
            <w:left w:w="108" w:type="dxa"/>
            <w:bottom w:w="0" w:type="dxa"/>
            <w:right w:w="108" w:type="dxa"/>
          </w:tblCellMar>
        </w:tblPrEx>
        <w:tc>
          <w:tcPr>
            <w:tcW w:w="1155" w:type="dxa"/>
          </w:tcPr>
          <w:p>
            <w:pPr>
              <w:widowControl/>
              <w:jc w:val="left"/>
              <w:rPr>
                <w:rFonts w:ascii="微软雅黑" w:hAnsi="微软雅黑" w:eastAsia="微软雅黑" w:cs="MicrosoftYaHei"/>
                <w:b w:val="0"/>
                <w:bCs/>
                <w:color w:val="00B050"/>
                <w:kern w:val="0"/>
                <w:sz w:val="22"/>
                <w:szCs w:val="18"/>
              </w:rPr>
            </w:pPr>
            <w:r>
              <w:rPr>
                <w:rFonts w:ascii="微软雅黑" w:hAnsi="微软雅黑" w:eastAsia="微软雅黑" w:cs="宋体"/>
                <w:b w:val="0"/>
                <w:bCs/>
                <w:kern w:val="0"/>
                <w:sz w:val="20"/>
                <w:szCs w:val="18"/>
              </w:rPr>
              <w:t>CDx0016</w:t>
            </w:r>
          </w:p>
        </w:tc>
        <w:tc>
          <w:tcPr>
            <w:tcW w:w="1529"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PFAICTSLF</w:t>
            </w:r>
          </w:p>
        </w:tc>
        <w:tc>
          <w:tcPr>
            <w:tcW w:w="1130"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0.92428</w:t>
            </w:r>
          </w:p>
        </w:tc>
        <w:tc>
          <w:tcPr>
            <w:tcW w:w="1130"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0.45800</w:t>
            </w:r>
          </w:p>
        </w:tc>
        <w:tc>
          <w:tcPr>
            <w:tcW w:w="1101"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7.00</w:t>
            </w:r>
          </w:p>
        </w:tc>
        <w:tc>
          <w:tcPr>
            <w:tcW w:w="1130" w:type="dxa"/>
          </w:tcPr>
          <w:p>
            <w:pPr>
              <w:widowControl/>
              <w:jc w:val="left"/>
              <w:rPr>
                <w:rFonts w:ascii="微软雅黑" w:hAnsi="微软雅黑" w:eastAsia="微软雅黑" w:cs="MicrosoftYaHei"/>
                <w:b/>
                <w:color w:val="00B050"/>
                <w:kern w:val="0"/>
                <w:sz w:val="22"/>
                <w:szCs w:val="18"/>
              </w:rPr>
            </w:pPr>
            <w:r>
              <w:rPr>
                <w:rFonts w:ascii="微软雅黑" w:hAnsi="微软雅黑" w:eastAsia="微软雅黑" w:cs="宋体"/>
                <w:kern w:val="0"/>
                <w:sz w:val="20"/>
                <w:szCs w:val="18"/>
              </w:rPr>
              <w:t>0.42734</w:t>
            </w:r>
          </w:p>
        </w:tc>
        <w:tc>
          <w:tcPr>
            <w:tcW w:w="1131" w:type="dxa"/>
          </w:tcPr>
          <w:p>
            <w:pPr>
              <w:widowControl/>
              <w:jc w:val="left"/>
              <w:rPr>
                <w:rFonts w:ascii="微软雅黑" w:hAnsi="微软雅黑" w:eastAsia="微软雅黑" w:cs="宋体"/>
                <w:kern w:val="0"/>
                <w:sz w:val="20"/>
                <w:szCs w:val="18"/>
              </w:rPr>
            </w:pPr>
            <w:r>
              <w:rPr>
                <w:rFonts w:ascii="微软雅黑" w:hAnsi="微软雅黑" w:eastAsia="微软雅黑" w:cs="宋体"/>
                <w:kern w:val="0"/>
                <w:sz w:val="20"/>
                <w:szCs w:val="18"/>
              </w:rPr>
              <w:t>0.70613</w:t>
            </w:r>
          </w:p>
        </w:tc>
      </w:tr>
    </w:tbl>
    <w:p>
      <w:pPr>
        <w:widowControl/>
        <w:jc w:val="left"/>
        <w:rPr>
          <w:rFonts w:ascii="微软雅黑" w:hAnsi="微软雅黑" w:eastAsia="微软雅黑" w:cs="MicrosoftYaHei"/>
          <w:b/>
          <w:color w:val="000000" w:themeColor="text1"/>
          <w:kern w:val="0"/>
          <w:sz w:val="28"/>
          <w:szCs w:val="24"/>
          <w14:textFill>
            <w14:solidFill>
              <w14:schemeClr w14:val="tx1"/>
            </w14:solidFill>
          </w14:textFill>
        </w:rPr>
      </w:pPr>
    </w:p>
    <w:p>
      <w:pPr>
        <w:widowControl/>
        <w:jc w:val="left"/>
        <w:rPr>
          <w:rFonts w:ascii="微软雅黑" w:hAnsi="微软雅黑" w:eastAsia="微软雅黑" w:cs="MicrosoftYaHei"/>
          <w:b/>
          <w:color w:val="000000" w:themeColor="text1"/>
          <w:kern w:val="0"/>
          <w:sz w:val="28"/>
          <w:szCs w:val="24"/>
          <w14:textFill>
            <w14:solidFill>
              <w14:schemeClr w14:val="tx1"/>
            </w14:solidFill>
          </w14:textFill>
        </w:rPr>
      </w:pPr>
      <w:r>
        <w:rPr>
          <w:rFonts w:ascii="微软雅黑" w:hAnsi="微软雅黑" w:eastAsia="微软雅黑" w:cs="MicrosoftYaHei"/>
          <w:b/>
          <w:color w:val="000000" w:themeColor="text1"/>
          <w:kern w:val="0"/>
          <w:sz w:val="28"/>
          <w:szCs w:val="24"/>
          <w14:textFill>
            <w14:solidFill>
              <w14:schemeClr w14:val="tx1"/>
            </w14:solidFill>
          </w14:textFill>
        </w:rPr>
        <w:br w:type="page"/>
      </w:r>
    </w:p>
    <w:p>
      <w:pPr>
        <w:widowControl/>
        <w:jc w:val="left"/>
        <w:outlineLvl w:val="1"/>
        <w:rPr>
          <w:rFonts w:ascii="微软雅黑" w:hAnsi="微软雅黑" w:eastAsia="微软雅黑" w:cs="MicrosoftYaHei"/>
          <w:b/>
          <w:color w:val="000000" w:themeColor="text1"/>
          <w:kern w:val="0"/>
          <w:sz w:val="28"/>
          <w:szCs w:val="24"/>
          <w14:textFill>
            <w14:solidFill>
              <w14:schemeClr w14:val="tx1"/>
            </w14:solidFill>
          </w14:textFill>
        </w:rPr>
      </w:pPr>
      <w:bookmarkStart w:id="10" w:name="_Toc512352438"/>
      <w:r>
        <w:rPr>
          <w:rFonts w:hint="eastAsia" w:ascii="微软雅黑" w:hAnsi="微软雅黑" w:eastAsia="微软雅黑" w:cs="MicrosoftYaHei"/>
          <w:b/>
          <w:color w:val="000000" w:themeColor="text1"/>
          <w:kern w:val="0"/>
          <w:sz w:val="28"/>
          <w:szCs w:val="24"/>
          <w14:textFill>
            <w14:solidFill>
              <w14:schemeClr w14:val="tx1"/>
            </w14:solidFill>
          </w14:textFill>
        </w:rPr>
        <w:t>化疗用药基因检测结果</w:t>
      </w:r>
      <w:bookmarkEnd w:id="10"/>
    </w:p>
    <w:p>
      <w:pPr>
        <w:widowControl/>
        <w:spacing w:line="400" w:lineRule="exact"/>
        <w:jc w:val="left"/>
        <w:rPr>
          <w:rFonts w:ascii="微软雅黑" w:hAnsi="微软雅黑" w:eastAsia="微软雅黑" w:cs="MicrosoftYaHei"/>
          <w:color w:val="000000" w:themeColor="text1"/>
          <w:kern w:val="0"/>
          <w:sz w:val="20"/>
          <w:szCs w:val="20"/>
          <w14:textFill>
            <w14:solidFill>
              <w14:schemeClr w14:val="tx1"/>
            </w14:solidFill>
          </w14:textFill>
        </w:rPr>
      </w:pPr>
      <w:r>
        <w:rPr>
          <w:rFonts w:hint="eastAsia" w:ascii="微软雅黑" w:hAnsi="微软雅黑" w:eastAsia="微软雅黑" w:cs="MicrosoftYaHei"/>
          <w:color w:val="000000" w:themeColor="text1"/>
          <w:kern w:val="0"/>
          <w:sz w:val="20"/>
          <w:szCs w:val="20"/>
          <w14:textFill>
            <w14:solidFill>
              <w14:schemeClr w14:val="tx1"/>
            </w14:solidFill>
          </w14:textFill>
        </w:rPr>
        <w:t>人群基因序列多态性还造成相关代谢蛋白功能差异，使化学治疗药物的有效性和毒副作用产生差异，因此进行基因序列多态性检测可以为化疗用药提供参考。患者基因序列多态性信息与化学治疗药物有效性和毒副作用评估如下表所示：</w:t>
      </w:r>
      <w:r>
        <w:rPr>
          <w:rFonts w:hint="eastAsia" w:ascii="微软雅黑" w:hAnsi="微软雅黑" w:eastAsia="微软雅黑" w:cs="MicrosoftYaHei"/>
          <w:color w:val="00B050"/>
          <w:kern w:val="0"/>
          <w:sz w:val="20"/>
          <w:szCs w:val="20"/>
        </w:rPr>
        <w:t>绿色字体</w:t>
      </w:r>
      <w:r>
        <w:rPr>
          <w:rFonts w:hint="eastAsia" w:ascii="微软雅黑" w:hAnsi="微软雅黑" w:eastAsia="微软雅黑" w:cs="MicrosoftYaHei"/>
          <w:color w:val="000000" w:themeColor="text1"/>
          <w:kern w:val="0"/>
          <w:sz w:val="20"/>
          <w:szCs w:val="20"/>
          <w14:textFill>
            <w14:solidFill>
              <w14:schemeClr w14:val="tx1"/>
            </w14:solidFill>
          </w14:textFill>
        </w:rPr>
        <w:t>药物表示综合效果优于平均人群，黑色字体药物表示综合效果与平均人群相似或无法判断，</w:t>
      </w:r>
      <w:r>
        <w:rPr>
          <w:rFonts w:hint="eastAsia" w:ascii="微软雅黑" w:hAnsi="微软雅黑" w:eastAsia="微软雅黑" w:cs="MicrosoftYaHei"/>
          <w:color w:val="FF0000"/>
          <w:kern w:val="0"/>
          <w:sz w:val="20"/>
          <w:szCs w:val="20"/>
        </w:rPr>
        <w:t>红色字体</w:t>
      </w:r>
      <w:r>
        <w:rPr>
          <w:rFonts w:hint="eastAsia" w:ascii="微软雅黑" w:hAnsi="微软雅黑" w:eastAsia="微软雅黑" w:cs="MicrosoftYaHei"/>
          <w:color w:val="000000" w:themeColor="text1"/>
          <w:kern w:val="0"/>
          <w:sz w:val="20"/>
          <w:szCs w:val="20"/>
          <w14:textFill>
            <w14:solidFill>
              <w14:schemeClr w14:val="tx1"/>
            </w14:solidFill>
          </w14:textFill>
        </w:rPr>
        <w:t>药物表示综合效果劣于平均人群。</w:t>
      </w:r>
    </w:p>
    <w:p>
      <w:pPr>
        <w:widowControl/>
        <w:spacing w:line="400" w:lineRule="exact"/>
        <w:jc w:val="left"/>
        <w:rPr>
          <w:rFonts w:ascii="微软雅黑" w:hAnsi="微软雅黑" w:eastAsia="微软雅黑" w:cs="MicrosoftYaHei"/>
          <w:color w:val="000000" w:themeColor="text1"/>
          <w:kern w:val="0"/>
          <w:sz w:val="20"/>
          <w:szCs w:val="20"/>
          <w14:textFill>
            <w14:solidFill>
              <w14:schemeClr w14:val="tx1"/>
            </w14:solidFill>
          </w14:textFill>
        </w:rPr>
      </w:pPr>
    </w:p>
    <w:tbl>
      <w:tblPr>
        <w:tblStyle w:val="11"/>
        <w:tblW w:w="8306" w:type="dxa"/>
        <w:tblInd w:w="0" w:type="dxa"/>
        <w:tblLayout w:type="fixed"/>
        <w:tblCellMar>
          <w:top w:w="0" w:type="dxa"/>
          <w:left w:w="108" w:type="dxa"/>
          <w:bottom w:w="0" w:type="dxa"/>
          <w:right w:w="108" w:type="dxa"/>
        </w:tblCellMar>
      </w:tblPr>
      <w:tblGrid>
        <w:gridCol w:w="1134"/>
        <w:gridCol w:w="1843"/>
        <w:gridCol w:w="4111"/>
        <w:gridCol w:w="1218"/>
      </w:tblGrid>
      <w:tr>
        <w:tblPrEx>
          <w:tblLayout w:type="fixed"/>
          <w:tblCellMar>
            <w:top w:w="0" w:type="dxa"/>
            <w:left w:w="108" w:type="dxa"/>
            <w:bottom w:w="0" w:type="dxa"/>
            <w:right w:w="108" w:type="dxa"/>
          </w:tblCellMar>
        </w:tblPrEx>
        <w:tc>
          <w:tcPr>
            <w:tcW w:w="1134" w:type="dxa"/>
            <w:shd w:val="clear" w:color="auto" w:fill="1F4E79" w:themeFill="accent5" w:themeFillShade="80"/>
            <w:vAlign w:val="center"/>
          </w:tcPr>
          <w:p>
            <w:pPr>
              <w:widowControl/>
              <w:jc w:val="center"/>
              <w:rPr>
                <w:rFonts w:ascii="微软雅黑" w:hAnsi="微软雅黑" w:eastAsia="微软雅黑" w:cs="宋体"/>
                <w:b/>
                <w:bCs/>
                <w:color w:val="FFFFFF" w:themeColor="background1"/>
                <w:kern w:val="0"/>
                <w:sz w:val="22"/>
                <w:szCs w:val="18"/>
                <w14:textFill>
                  <w14:solidFill>
                    <w14:schemeClr w14:val="bg1"/>
                  </w14:solidFill>
                </w14:textFill>
              </w:rPr>
            </w:pPr>
            <w:r>
              <w:rPr>
                <w:rFonts w:hint="eastAsia" w:ascii="微软雅黑" w:hAnsi="微软雅黑" w:eastAsia="微软雅黑" w:cs="宋体"/>
                <w:b/>
                <w:bCs/>
                <w:color w:val="FFFFFF" w:themeColor="background1"/>
                <w:kern w:val="0"/>
                <w:sz w:val="22"/>
                <w:szCs w:val="18"/>
                <w14:textFill>
                  <w14:solidFill>
                    <w14:schemeClr w14:val="bg1"/>
                  </w14:solidFill>
                </w14:textFill>
              </w:rPr>
              <w:t>基因</w:t>
            </w:r>
          </w:p>
        </w:tc>
        <w:tc>
          <w:tcPr>
            <w:tcW w:w="1843" w:type="dxa"/>
            <w:shd w:val="clear" w:color="auto" w:fill="1F4E79" w:themeFill="accent5" w:themeFillShade="80"/>
            <w:vAlign w:val="center"/>
          </w:tcPr>
          <w:p>
            <w:pPr>
              <w:widowControl/>
              <w:jc w:val="center"/>
              <w:rPr>
                <w:rFonts w:ascii="微软雅黑" w:hAnsi="微软雅黑" w:eastAsia="微软雅黑" w:cs="宋体"/>
                <w:b/>
                <w:bCs/>
                <w:color w:val="FFFFFF" w:themeColor="background1"/>
                <w:kern w:val="0"/>
                <w:sz w:val="22"/>
                <w:szCs w:val="18"/>
                <w14:textFill>
                  <w14:solidFill>
                    <w14:schemeClr w14:val="bg1"/>
                  </w14:solidFill>
                </w14:textFill>
              </w:rPr>
            </w:pPr>
            <w:r>
              <w:rPr>
                <w:rFonts w:hint="eastAsia" w:ascii="微软雅黑" w:hAnsi="微软雅黑" w:eastAsia="微软雅黑" w:cs="宋体"/>
                <w:b/>
                <w:bCs/>
                <w:color w:val="FFFFFF" w:themeColor="background1"/>
                <w:kern w:val="0"/>
                <w:sz w:val="22"/>
                <w:szCs w:val="18"/>
                <w14:textFill>
                  <w14:solidFill>
                    <w14:schemeClr w14:val="bg1"/>
                  </w14:solidFill>
                </w14:textFill>
              </w:rPr>
              <w:t>检测结果</w:t>
            </w:r>
          </w:p>
        </w:tc>
        <w:tc>
          <w:tcPr>
            <w:tcW w:w="4111" w:type="dxa"/>
            <w:shd w:val="clear" w:color="auto" w:fill="1F4E79" w:themeFill="accent5" w:themeFillShade="80"/>
            <w:vAlign w:val="center"/>
          </w:tcPr>
          <w:p>
            <w:pPr>
              <w:widowControl/>
              <w:jc w:val="center"/>
              <w:rPr>
                <w:rFonts w:ascii="微软雅黑" w:hAnsi="微软雅黑" w:eastAsia="微软雅黑" w:cs="宋体"/>
                <w:b/>
                <w:bCs/>
                <w:color w:val="FFFFFF" w:themeColor="background1"/>
                <w:kern w:val="0"/>
                <w:sz w:val="22"/>
                <w:szCs w:val="18"/>
                <w14:textFill>
                  <w14:solidFill>
                    <w14:schemeClr w14:val="bg1"/>
                  </w14:solidFill>
                </w14:textFill>
              </w:rPr>
            </w:pPr>
            <w:r>
              <w:rPr>
                <w:rFonts w:hint="eastAsia" w:ascii="微软雅黑" w:hAnsi="微软雅黑" w:eastAsia="微软雅黑" w:cs="宋体"/>
                <w:b/>
                <w:bCs/>
                <w:color w:val="FFFFFF" w:themeColor="background1"/>
                <w:kern w:val="0"/>
                <w:sz w:val="22"/>
                <w:szCs w:val="18"/>
                <w14:textFill>
                  <w14:solidFill>
                    <w14:schemeClr w14:val="bg1"/>
                  </w14:solidFill>
                </w14:textFill>
              </w:rPr>
              <w:t>用药提示</w:t>
            </w:r>
          </w:p>
        </w:tc>
        <w:tc>
          <w:tcPr>
            <w:tcW w:w="1218" w:type="dxa"/>
            <w:shd w:val="clear" w:color="auto" w:fill="1F4E79" w:themeFill="accent5" w:themeFillShade="80"/>
            <w:vAlign w:val="center"/>
          </w:tcPr>
          <w:p>
            <w:pPr>
              <w:widowControl/>
              <w:jc w:val="center"/>
              <w:rPr>
                <w:rFonts w:ascii="微软雅黑" w:hAnsi="微软雅黑" w:eastAsia="微软雅黑" w:cs="宋体"/>
                <w:b/>
                <w:bCs/>
                <w:color w:val="FFFFFF" w:themeColor="background1"/>
                <w:kern w:val="0"/>
                <w:sz w:val="22"/>
                <w:szCs w:val="18"/>
                <w14:textFill>
                  <w14:solidFill>
                    <w14:schemeClr w14:val="bg1"/>
                  </w14:solidFill>
                </w14:textFill>
              </w:rPr>
            </w:pPr>
            <w:r>
              <w:rPr>
                <w:rFonts w:hint="eastAsia" w:ascii="微软雅黑" w:hAnsi="微软雅黑" w:eastAsia="微软雅黑" w:cs="宋体"/>
                <w:b/>
                <w:bCs/>
                <w:color w:val="FFFFFF" w:themeColor="background1"/>
                <w:kern w:val="0"/>
                <w:sz w:val="22"/>
                <w:szCs w:val="18"/>
                <w14:textFill>
                  <w14:solidFill>
                    <w14:schemeClr w14:val="bg1"/>
                  </w14:solidFill>
                </w14:textFill>
              </w:rPr>
              <w:t>证据等级</w:t>
            </w:r>
          </w:p>
        </w:tc>
      </w:tr>
      <w:tr>
        <w:tblPrEx>
          <w:tblLayout w:type="fixed"/>
          <w:tblCellMar>
            <w:top w:w="0" w:type="dxa"/>
            <w:left w:w="108" w:type="dxa"/>
            <w:bottom w:w="0" w:type="dxa"/>
            <w:right w:w="108" w:type="dxa"/>
          </w:tblCellMar>
        </w:tblPrEx>
        <w:trPr>
          <w:trHeight w:val="397" w:hRule="atLeast"/>
        </w:trPr>
        <w:tc>
          <w:tcPr>
            <w:tcW w:w="8306" w:type="dxa"/>
            <w:gridSpan w:val="4"/>
            <w:shd w:val="clear" w:color="auto" w:fill="F1F1F1" w:themeFill="background1" w:themeFillShade="F2"/>
            <w:vAlign w:val="center"/>
          </w:tcPr>
          <w:p>
            <w:pPr>
              <w:widowControl/>
              <w:rPr>
                <w:rFonts w:ascii="微软雅黑" w:hAnsi="微软雅黑" w:eastAsia="微软雅黑" w:cs="宋体"/>
                <w:b/>
                <w:bCs/>
                <w:kern w:val="0"/>
                <w:sz w:val="22"/>
                <w:szCs w:val="18"/>
              </w:rPr>
            </w:pPr>
            <w:r>
              <w:rPr>
                <w:rFonts w:hint="eastAsia" w:ascii="微软雅黑" w:hAnsi="微软雅黑" w:eastAsia="微软雅黑" w:cs="宋体"/>
                <w:b/>
                <w:bCs/>
                <w:kern w:val="0"/>
                <w:sz w:val="20"/>
                <w:szCs w:val="18"/>
              </w:rPr>
              <w:t>紫杉醇联合顺铂</w:t>
            </w:r>
          </w:p>
        </w:tc>
      </w:tr>
      <w:tr>
        <w:tblPrEx>
          <w:tblLayout w:type="fixed"/>
          <w:tblCellMar>
            <w:top w:w="0" w:type="dxa"/>
            <w:left w:w="108" w:type="dxa"/>
            <w:bottom w:w="0" w:type="dxa"/>
            <w:right w:w="108" w:type="dxa"/>
          </w:tblCellMar>
        </w:tblPrEx>
        <w:tc>
          <w:tcPr>
            <w:tcW w:w="1134" w:type="dxa"/>
            <w:vAlign w:val="center"/>
          </w:tcPr>
          <w:p>
            <w:pPr>
              <w:widowControl/>
              <w:jc w:val="center"/>
              <w:rPr>
                <w:rFonts w:ascii="微软雅黑" w:hAnsi="微软雅黑" w:eastAsia="微软雅黑" w:cs="宋体"/>
                <w:b/>
                <w:bCs/>
                <w:kern w:val="0"/>
                <w:sz w:val="22"/>
                <w:szCs w:val="18"/>
              </w:rPr>
            </w:pPr>
            <w:r>
              <w:rPr>
                <w:rFonts w:hint="eastAsia" w:ascii="微软雅黑" w:hAnsi="微软雅黑" w:eastAsia="微软雅黑" w:cs="宋体"/>
                <w:b w:val="0"/>
                <w:bCs w:val="0"/>
                <w:kern w:val="0"/>
                <w:sz w:val="22"/>
                <w:szCs w:val="18"/>
              </w:rPr>
              <w:t>T</w:t>
            </w:r>
            <w:r>
              <w:rPr>
                <w:rFonts w:ascii="微软雅黑" w:hAnsi="微软雅黑" w:eastAsia="微软雅黑" w:cs="宋体"/>
                <w:b w:val="0"/>
                <w:bCs w:val="0"/>
                <w:kern w:val="0"/>
                <w:sz w:val="22"/>
                <w:szCs w:val="18"/>
              </w:rPr>
              <w:t>P53</w:t>
            </w:r>
          </w:p>
        </w:tc>
        <w:tc>
          <w:tcPr>
            <w:tcW w:w="1843" w:type="dxa"/>
            <w:vAlign w:val="center"/>
          </w:tcPr>
          <w:p>
            <w:pPr>
              <w:widowControl/>
              <w:jc w:val="center"/>
              <w:rPr>
                <w:rFonts w:ascii="微软雅黑" w:hAnsi="微软雅黑" w:eastAsia="微软雅黑" w:cs="宋体"/>
                <w:kern w:val="0"/>
                <w:sz w:val="22"/>
                <w:szCs w:val="18"/>
              </w:rPr>
            </w:pPr>
            <w:r>
              <w:rPr>
                <w:rFonts w:ascii="微软雅黑" w:hAnsi="微软雅黑" w:eastAsia="微软雅黑" w:cs="宋体"/>
                <w:kern w:val="0"/>
                <w:sz w:val="22"/>
                <w:szCs w:val="18"/>
              </w:rPr>
              <w:t>rs1042522 GC</w:t>
            </w:r>
          </w:p>
        </w:tc>
        <w:tc>
          <w:tcPr>
            <w:tcW w:w="4111" w:type="dxa"/>
            <w:vAlign w:val="center"/>
          </w:tcPr>
          <w:p>
            <w:pPr>
              <w:widowControl/>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药物敏感性可能较低</w:t>
            </w:r>
          </w:p>
        </w:tc>
        <w:tc>
          <w:tcPr>
            <w:tcW w:w="1218" w:type="dxa"/>
            <w:vAlign w:val="center"/>
          </w:tcPr>
          <w:p>
            <w:pPr>
              <w:widowControl/>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2</w:t>
            </w:r>
            <w:r>
              <w:rPr>
                <w:rFonts w:ascii="微软雅黑" w:hAnsi="微软雅黑" w:eastAsia="微软雅黑" w:cs="宋体"/>
                <w:kern w:val="0"/>
                <w:sz w:val="22"/>
                <w:szCs w:val="18"/>
              </w:rPr>
              <w:t>B</w:t>
            </w:r>
          </w:p>
        </w:tc>
      </w:tr>
      <w:tr>
        <w:tblPrEx>
          <w:tblLayout w:type="fixed"/>
          <w:tblCellMar>
            <w:top w:w="0" w:type="dxa"/>
            <w:left w:w="108" w:type="dxa"/>
            <w:bottom w:w="0" w:type="dxa"/>
            <w:right w:w="108" w:type="dxa"/>
          </w:tblCellMar>
        </w:tblPrEx>
        <w:tc>
          <w:tcPr>
            <w:tcW w:w="8306" w:type="dxa"/>
            <w:gridSpan w:val="4"/>
            <w:shd w:val="clear" w:color="auto" w:fill="F1F1F1" w:themeFill="background1" w:themeFillShade="F2"/>
            <w:vAlign w:val="center"/>
          </w:tcPr>
          <w:p>
            <w:pPr>
              <w:widowControl/>
              <w:rPr>
                <w:rFonts w:ascii="微软雅黑" w:hAnsi="微软雅黑" w:eastAsia="微软雅黑" w:cs="宋体"/>
                <w:b/>
                <w:bCs/>
                <w:kern w:val="0"/>
                <w:sz w:val="22"/>
                <w:szCs w:val="18"/>
              </w:rPr>
            </w:pPr>
            <w:r>
              <w:rPr>
                <w:rFonts w:hint="eastAsia" w:ascii="微软雅黑" w:hAnsi="微软雅黑" w:eastAsia="微软雅黑" w:cs="宋体"/>
                <w:b/>
                <w:bCs/>
                <w:kern w:val="0"/>
                <w:sz w:val="20"/>
                <w:szCs w:val="18"/>
              </w:rPr>
              <w:t>甲氨蝶呤</w:t>
            </w:r>
          </w:p>
        </w:tc>
      </w:tr>
      <w:tr>
        <w:tblPrEx>
          <w:tblLayout w:type="fixed"/>
          <w:tblCellMar>
            <w:top w:w="0" w:type="dxa"/>
            <w:left w:w="108" w:type="dxa"/>
            <w:bottom w:w="0" w:type="dxa"/>
            <w:right w:w="108" w:type="dxa"/>
          </w:tblCellMar>
        </w:tblPrEx>
        <w:tc>
          <w:tcPr>
            <w:tcW w:w="1134" w:type="dxa"/>
            <w:vAlign w:val="center"/>
          </w:tcPr>
          <w:p>
            <w:pPr>
              <w:widowControl/>
              <w:jc w:val="center"/>
              <w:rPr>
                <w:rFonts w:ascii="微软雅黑" w:hAnsi="微软雅黑" w:eastAsia="微软雅黑" w:cs="宋体"/>
                <w:b w:val="0"/>
                <w:bCs/>
                <w:kern w:val="0"/>
                <w:sz w:val="22"/>
                <w:szCs w:val="18"/>
              </w:rPr>
            </w:pPr>
            <w:r>
              <w:rPr>
                <w:rFonts w:hint="eastAsia" w:ascii="微软雅黑" w:hAnsi="微软雅黑" w:eastAsia="微软雅黑" w:cs="宋体"/>
                <w:b w:val="0"/>
                <w:bCs/>
                <w:kern w:val="0"/>
                <w:sz w:val="22"/>
                <w:szCs w:val="18"/>
              </w:rPr>
              <w:t>A</w:t>
            </w:r>
            <w:r>
              <w:rPr>
                <w:rFonts w:ascii="微软雅黑" w:hAnsi="微软雅黑" w:eastAsia="微软雅黑" w:cs="宋体"/>
                <w:b w:val="0"/>
                <w:bCs/>
                <w:kern w:val="0"/>
                <w:sz w:val="22"/>
                <w:szCs w:val="18"/>
              </w:rPr>
              <w:t>BCB1</w:t>
            </w:r>
          </w:p>
        </w:tc>
        <w:tc>
          <w:tcPr>
            <w:tcW w:w="1843" w:type="dxa"/>
            <w:vAlign w:val="center"/>
          </w:tcPr>
          <w:p>
            <w:pPr>
              <w:widowControl/>
              <w:jc w:val="center"/>
              <w:rPr>
                <w:rFonts w:ascii="微软雅黑" w:hAnsi="微软雅黑" w:eastAsia="微软雅黑" w:cs="宋体"/>
                <w:kern w:val="0"/>
                <w:sz w:val="22"/>
                <w:szCs w:val="18"/>
              </w:rPr>
            </w:pPr>
            <w:r>
              <w:rPr>
                <w:rFonts w:ascii="微软雅黑" w:hAnsi="微软雅黑" w:eastAsia="微软雅黑" w:cs="宋体"/>
                <w:kern w:val="0"/>
                <w:sz w:val="22"/>
                <w:szCs w:val="18"/>
              </w:rPr>
              <w:t>rs1045642 AG</w:t>
            </w:r>
          </w:p>
        </w:tc>
        <w:tc>
          <w:tcPr>
            <w:tcW w:w="4111" w:type="dxa"/>
            <w:vAlign w:val="center"/>
          </w:tcPr>
          <w:p>
            <w:pPr>
              <w:widowControl/>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毒副作用风险可能较高</w:t>
            </w:r>
          </w:p>
        </w:tc>
        <w:tc>
          <w:tcPr>
            <w:tcW w:w="1218" w:type="dxa"/>
            <w:vAlign w:val="center"/>
          </w:tcPr>
          <w:p>
            <w:pPr>
              <w:widowControl/>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2</w:t>
            </w:r>
            <w:r>
              <w:rPr>
                <w:rFonts w:ascii="微软雅黑" w:hAnsi="微软雅黑" w:eastAsia="微软雅黑" w:cs="宋体"/>
                <w:kern w:val="0"/>
                <w:sz w:val="22"/>
                <w:szCs w:val="18"/>
              </w:rPr>
              <w:t>A</w:t>
            </w:r>
          </w:p>
        </w:tc>
      </w:tr>
      <w:tr>
        <w:tblPrEx>
          <w:tblLayout w:type="fixed"/>
          <w:tblCellMar>
            <w:top w:w="0" w:type="dxa"/>
            <w:left w:w="108" w:type="dxa"/>
            <w:bottom w:w="0" w:type="dxa"/>
            <w:right w:w="108" w:type="dxa"/>
          </w:tblCellMar>
        </w:tblPrEx>
        <w:tc>
          <w:tcPr>
            <w:tcW w:w="1134" w:type="dxa"/>
            <w:shd w:val="clear" w:color="auto" w:fill="F1F1F1" w:themeFill="background1" w:themeFillShade="F2"/>
            <w:vAlign w:val="center"/>
          </w:tcPr>
          <w:p>
            <w:pPr>
              <w:widowControl/>
              <w:jc w:val="center"/>
              <w:rPr>
                <w:rFonts w:ascii="微软雅黑" w:hAnsi="微软雅黑" w:eastAsia="微软雅黑" w:cs="宋体"/>
                <w:b w:val="0"/>
                <w:bCs/>
                <w:kern w:val="0"/>
                <w:sz w:val="22"/>
                <w:szCs w:val="18"/>
              </w:rPr>
            </w:pPr>
            <w:r>
              <w:rPr>
                <w:rFonts w:hint="eastAsia" w:ascii="微软雅黑" w:hAnsi="微软雅黑" w:eastAsia="微软雅黑" w:cs="宋体"/>
                <w:b w:val="0"/>
                <w:bCs/>
                <w:kern w:val="0"/>
                <w:sz w:val="22"/>
                <w:szCs w:val="18"/>
              </w:rPr>
              <w:t>M</w:t>
            </w:r>
            <w:r>
              <w:rPr>
                <w:rFonts w:ascii="微软雅黑" w:hAnsi="微软雅黑" w:eastAsia="微软雅黑" w:cs="宋体"/>
                <w:b w:val="0"/>
                <w:bCs/>
                <w:kern w:val="0"/>
                <w:sz w:val="22"/>
                <w:szCs w:val="18"/>
              </w:rPr>
              <w:t>THFR</w:t>
            </w:r>
          </w:p>
        </w:tc>
        <w:tc>
          <w:tcPr>
            <w:tcW w:w="1843" w:type="dxa"/>
            <w:shd w:val="clear" w:color="auto" w:fill="F1F1F1" w:themeFill="background1" w:themeFillShade="F2"/>
            <w:vAlign w:val="center"/>
          </w:tcPr>
          <w:p>
            <w:pPr>
              <w:widowControl/>
              <w:jc w:val="center"/>
              <w:rPr>
                <w:rFonts w:ascii="微软雅黑" w:hAnsi="微软雅黑" w:eastAsia="微软雅黑" w:cs="宋体"/>
                <w:kern w:val="0"/>
                <w:sz w:val="22"/>
                <w:szCs w:val="18"/>
              </w:rPr>
            </w:pPr>
            <w:r>
              <w:rPr>
                <w:rFonts w:ascii="微软雅黑" w:hAnsi="微软雅黑" w:eastAsia="微软雅黑" w:cs="宋体"/>
                <w:kern w:val="0"/>
                <w:sz w:val="22"/>
                <w:szCs w:val="18"/>
              </w:rPr>
              <w:t>rs1801133 GG</w:t>
            </w:r>
          </w:p>
        </w:tc>
        <w:tc>
          <w:tcPr>
            <w:tcW w:w="4111" w:type="dxa"/>
            <w:shd w:val="clear" w:color="auto" w:fill="F1F1F1" w:themeFill="background1" w:themeFillShade="F2"/>
            <w:vAlign w:val="center"/>
          </w:tcPr>
          <w:p>
            <w:pPr>
              <w:widowControl/>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毒副作用风险可能较低</w:t>
            </w:r>
          </w:p>
        </w:tc>
        <w:tc>
          <w:tcPr>
            <w:tcW w:w="1218" w:type="dxa"/>
            <w:shd w:val="clear" w:color="auto" w:fill="F1F1F1" w:themeFill="background1" w:themeFillShade="F2"/>
            <w:vAlign w:val="center"/>
          </w:tcPr>
          <w:p>
            <w:pPr>
              <w:widowControl/>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3</w:t>
            </w:r>
          </w:p>
        </w:tc>
      </w:tr>
      <w:tr>
        <w:tblPrEx>
          <w:tblLayout w:type="fixed"/>
          <w:tblCellMar>
            <w:top w:w="0" w:type="dxa"/>
            <w:left w:w="108" w:type="dxa"/>
            <w:bottom w:w="0" w:type="dxa"/>
            <w:right w:w="108" w:type="dxa"/>
          </w:tblCellMar>
        </w:tblPrEx>
        <w:tc>
          <w:tcPr>
            <w:tcW w:w="8306" w:type="dxa"/>
            <w:gridSpan w:val="4"/>
            <w:vAlign w:val="center"/>
          </w:tcPr>
          <w:p>
            <w:pPr>
              <w:widowControl/>
              <w:rPr>
                <w:rFonts w:ascii="微软雅黑" w:hAnsi="微软雅黑" w:eastAsia="微软雅黑" w:cs="宋体"/>
                <w:b/>
                <w:bCs/>
                <w:kern w:val="0"/>
                <w:sz w:val="22"/>
                <w:szCs w:val="18"/>
              </w:rPr>
            </w:pPr>
            <w:r>
              <w:rPr>
                <w:rFonts w:hint="eastAsia" w:ascii="微软雅黑" w:hAnsi="微软雅黑" w:eastAsia="微软雅黑" w:cs="宋体"/>
                <w:b/>
                <w:bCs/>
                <w:color w:val="00B050"/>
                <w:kern w:val="0"/>
                <w:sz w:val="20"/>
                <w:szCs w:val="18"/>
              </w:rPr>
              <w:t>环磷酰胺</w:t>
            </w:r>
          </w:p>
        </w:tc>
      </w:tr>
      <w:tr>
        <w:tblPrEx>
          <w:tblLayout w:type="fixed"/>
          <w:tblCellMar>
            <w:top w:w="0" w:type="dxa"/>
            <w:left w:w="108" w:type="dxa"/>
            <w:bottom w:w="0" w:type="dxa"/>
            <w:right w:w="108" w:type="dxa"/>
          </w:tblCellMar>
        </w:tblPrEx>
        <w:tc>
          <w:tcPr>
            <w:tcW w:w="1134" w:type="dxa"/>
            <w:shd w:val="clear" w:color="auto" w:fill="F1F1F1" w:themeFill="background1" w:themeFillShade="F2"/>
            <w:vAlign w:val="center"/>
          </w:tcPr>
          <w:p>
            <w:pPr>
              <w:widowControl/>
              <w:jc w:val="center"/>
              <w:rPr>
                <w:rFonts w:ascii="微软雅黑" w:hAnsi="微软雅黑" w:eastAsia="微软雅黑" w:cs="宋体"/>
                <w:b w:val="0"/>
                <w:bCs/>
                <w:kern w:val="0"/>
                <w:sz w:val="22"/>
                <w:szCs w:val="18"/>
              </w:rPr>
            </w:pPr>
            <w:r>
              <w:rPr>
                <w:rFonts w:hint="eastAsia" w:ascii="微软雅黑" w:hAnsi="微软雅黑" w:eastAsia="微软雅黑" w:cs="宋体"/>
                <w:b w:val="0"/>
                <w:bCs/>
                <w:kern w:val="0"/>
                <w:sz w:val="22"/>
                <w:szCs w:val="18"/>
              </w:rPr>
              <w:t>M</w:t>
            </w:r>
            <w:r>
              <w:rPr>
                <w:rFonts w:ascii="微软雅黑" w:hAnsi="微软雅黑" w:eastAsia="微软雅黑" w:cs="宋体"/>
                <w:b w:val="0"/>
                <w:bCs/>
                <w:kern w:val="0"/>
                <w:sz w:val="22"/>
                <w:szCs w:val="18"/>
              </w:rPr>
              <w:t>THFR</w:t>
            </w:r>
          </w:p>
        </w:tc>
        <w:tc>
          <w:tcPr>
            <w:tcW w:w="1843" w:type="dxa"/>
            <w:shd w:val="clear" w:color="auto" w:fill="F1F1F1" w:themeFill="background1" w:themeFillShade="F2"/>
            <w:vAlign w:val="center"/>
          </w:tcPr>
          <w:p>
            <w:pPr>
              <w:widowControl/>
              <w:jc w:val="center"/>
              <w:rPr>
                <w:rFonts w:ascii="微软雅黑" w:hAnsi="微软雅黑" w:eastAsia="微软雅黑" w:cs="宋体"/>
                <w:kern w:val="0"/>
                <w:sz w:val="22"/>
                <w:szCs w:val="18"/>
              </w:rPr>
            </w:pPr>
            <w:r>
              <w:rPr>
                <w:rFonts w:ascii="微软雅黑" w:hAnsi="微软雅黑" w:eastAsia="微软雅黑" w:cs="宋体"/>
                <w:kern w:val="0"/>
                <w:sz w:val="22"/>
                <w:szCs w:val="18"/>
              </w:rPr>
              <w:t>rs1801133 GG</w:t>
            </w:r>
          </w:p>
        </w:tc>
        <w:tc>
          <w:tcPr>
            <w:tcW w:w="4111" w:type="dxa"/>
            <w:shd w:val="clear" w:color="auto" w:fill="F1F1F1" w:themeFill="background1" w:themeFillShade="F2"/>
            <w:vAlign w:val="center"/>
          </w:tcPr>
          <w:p>
            <w:pPr>
              <w:widowControl/>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毒副作用风险可能较低</w:t>
            </w:r>
          </w:p>
        </w:tc>
        <w:tc>
          <w:tcPr>
            <w:tcW w:w="1218" w:type="dxa"/>
            <w:shd w:val="clear" w:color="auto" w:fill="F1F1F1" w:themeFill="background1" w:themeFillShade="F2"/>
            <w:vAlign w:val="center"/>
          </w:tcPr>
          <w:p>
            <w:pPr>
              <w:widowControl/>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2</w:t>
            </w:r>
            <w:r>
              <w:rPr>
                <w:rFonts w:ascii="微软雅黑" w:hAnsi="微软雅黑" w:eastAsia="微软雅黑" w:cs="宋体"/>
                <w:kern w:val="0"/>
                <w:sz w:val="22"/>
                <w:szCs w:val="18"/>
              </w:rPr>
              <w:t>A</w:t>
            </w:r>
          </w:p>
        </w:tc>
      </w:tr>
      <w:tr>
        <w:tblPrEx>
          <w:tblLayout w:type="fixed"/>
          <w:tblCellMar>
            <w:top w:w="0" w:type="dxa"/>
            <w:left w:w="108" w:type="dxa"/>
            <w:bottom w:w="0" w:type="dxa"/>
            <w:right w:w="108" w:type="dxa"/>
          </w:tblCellMar>
        </w:tblPrEx>
        <w:tc>
          <w:tcPr>
            <w:tcW w:w="1134" w:type="dxa"/>
            <w:vAlign w:val="center"/>
          </w:tcPr>
          <w:p>
            <w:pPr>
              <w:widowControl/>
              <w:jc w:val="center"/>
              <w:rPr>
                <w:rFonts w:ascii="微软雅黑" w:hAnsi="微软雅黑" w:eastAsia="微软雅黑" w:cs="宋体"/>
                <w:b/>
                <w:bCs/>
                <w:kern w:val="0"/>
                <w:sz w:val="22"/>
                <w:szCs w:val="18"/>
              </w:rPr>
            </w:pPr>
            <w:r>
              <w:rPr>
                <w:rFonts w:hint="eastAsia" w:ascii="微软雅黑" w:hAnsi="微软雅黑" w:eastAsia="微软雅黑" w:cs="宋体"/>
                <w:b w:val="0"/>
                <w:bCs/>
                <w:kern w:val="0"/>
                <w:sz w:val="22"/>
                <w:szCs w:val="18"/>
              </w:rPr>
              <w:t>X</w:t>
            </w:r>
            <w:r>
              <w:rPr>
                <w:rFonts w:ascii="微软雅黑" w:hAnsi="微软雅黑" w:eastAsia="微软雅黑" w:cs="宋体"/>
                <w:b w:val="0"/>
                <w:bCs/>
                <w:kern w:val="0"/>
                <w:sz w:val="22"/>
                <w:szCs w:val="18"/>
              </w:rPr>
              <w:t>RCC1</w:t>
            </w:r>
          </w:p>
        </w:tc>
        <w:tc>
          <w:tcPr>
            <w:tcW w:w="1843" w:type="dxa"/>
            <w:vAlign w:val="center"/>
          </w:tcPr>
          <w:p>
            <w:pPr>
              <w:widowControl/>
              <w:jc w:val="center"/>
              <w:rPr>
                <w:rFonts w:ascii="微软雅黑" w:hAnsi="微软雅黑" w:eastAsia="微软雅黑" w:cs="宋体"/>
                <w:kern w:val="0"/>
                <w:sz w:val="22"/>
                <w:szCs w:val="18"/>
              </w:rPr>
            </w:pPr>
            <w:r>
              <w:rPr>
                <w:rFonts w:ascii="微软雅黑" w:hAnsi="微软雅黑" w:eastAsia="微软雅黑" w:cs="宋体"/>
                <w:kern w:val="0"/>
                <w:sz w:val="22"/>
                <w:szCs w:val="18"/>
              </w:rPr>
              <w:t>rs25487 TT</w:t>
            </w:r>
          </w:p>
        </w:tc>
        <w:tc>
          <w:tcPr>
            <w:tcW w:w="4111" w:type="dxa"/>
            <w:vAlign w:val="center"/>
          </w:tcPr>
          <w:p>
            <w:pPr>
              <w:widowControl/>
              <w:spacing w:line="400" w:lineRule="exact"/>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药物敏感性可能较高，</w:t>
            </w:r>
          </w:p>
          <w:p>
            <w:pPr>
              <w:widowControl/>
              <w:spacing w:line="400" w:lineRule="exact"/>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毒副作用风险可能较高</w:t>
            </w:r>
          </w:p>
        </w:tc>
        <w:tc>
          <w:tcPr>
            <w:tcW w:w="1218" w:type="dxa"/>
            <w:vAlign w:val="center"/>
          </w:tcPr>
          <w:p>
            <w:pPr>
              <w:widowControl/>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3</w:t>
            </w:r>
          </w:p>
        </w:tc>
      </w:tr>
      <w:tr>
        <w:tblPrEx>
          <w:tblLayout w:type="fixed"/>
          <w:tblCellMar>
            <w:top w:w="0" w:type="dxa"/>
            <w:left w:w="108" w:type="dxa"/>
            <w:bottom w:w="0" w:type="dxa"/>
            <w:right w:w="108" w:type="dxa"/>
          </w:tblCellMar>
        </w:tblPrEx>
        <w:tc>
          <w:tcPr>
            <w:tcW w:w="8306" w:type="dxa"/>
            <w:gridSpan w:val="4"/>
            <w:shd w:val="clear" w:color="auto" w:fill="F1F1F1" w:themeFill="background1" w:themeFillShade="F2"/>
            <w:vAlign w:val="center"/>
          </w:tcPr>
          <w:p>
            <w:pPr>
              <w:widowControl/>
              <w:rPr>
                <w:rFonts w:ascii="微软雅黑" w:hAnsi="微软雅黑" w:eastAsia="微软雅黑" w:cs="宋体"/>
                <w:b/>
                <w:bCs/>
                <w:kern w:val="0"/>
                <w:sz w:val="22"/>
                <w:szCs w:val="18"/>
              </w:rPr>
            </w:pPr>
            <w:r>
              <w:rPr>
                <w:rFonts w:hint="eastAsia" w:ascii="微软雅黑" w:hAnsi="微软雅黑" w:eastAsia="微软雅黑" w:cs="宋体"/>
                <w:b/>
                <w:bCs/>
                <w:color w:val="00B050"/>
                <w:kern w:val="0"/>
                <w:sz w:val="20"/>
                <w:szCs w:val="18"/>
              </w:rPr>
              <w:t>卡培他滨</w:t>
            </w:r>
          </w:p>
        </w:tc>
      </w:tr>
      <w:tr>
        <w:tblPrEx>
          <w:tblLayout w:type="fixed"/>
          <w:tblCellMar>
            <w:top w:w="0" w:type="dxa"/>
            <w:left w:w="108" w:type="dxa"/>
            <w:bottom w:w="0" w:type="dxa"/>
            <w:right w:w="108" w:type="dxa"/>
          </w:tblCellMar>
        </w:tblPrEx>
        <w:tc>
          <w:tcPr>
            <w:tcW w:w="1134" w:type="dxa"/>
            <w:vAlign w:val="center"/>
          </w:tcPr>
          <w:p>
            <w:pPr>
              <w:widowControl/>
              <w:jc w:val="center"/>
              <w:rPr>
                <w:rFonts w:ascii="微软雅黑" w:hAnsi="微软雅黑" w:eastAsia="微软雅黑" w:cs="宋体"/>
                <w:b/>
                <w:bCs/>
                <w:kern w:val="0"/>
                <w:sz w:val="22"/>
                <w:szCs w:val="18"/>
              </w:rPr>
            </w:pPr>
            <w:r>
              <w:rPr>
                <w:rFonts w:hint="eastAsia" w:ascii="微软雅黑" w:hAnsi="微软雅黑" w:eastAsia="微软雅黑" w:cs="宋体"/>
                <w:b w:val="0"/>
                <w:bCs/>
                <w:kern w:val="0"/>
                <w:sz w:val="22"/>
                <w:szCs w:val="18"/>
              </w:rPr>
              <w:t>D</w:t>
            </w:r>
            <w:r>
              <w:rPr>
                <w:rFonts w:ascii="微软雅黑" w:hAnsi="微软雅黑" w:eastAsia="微软雅黑" w:cs="宋体"/>
                <w:b w:val="0"/>
                <w:bCs/>
                <w:kern w:val="0"/>
                <w:sz w:val="22"/>
                <w:szCs w:val="18"/>
              </w:rPr>
              <w:t>PYD</w:t>
            </w:r>
          </w:p>
        </w:tc>
        <w:tc>
          <w:tcPr>
            <w:tcW w:w="1843" w:type="dxa"/>
            <w:vAlign w:val="center"/>
          </w:tcPr>
          <w:p>
            <w:pPr>
              <w:widowControl/>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rs</w:t>
            </w:r>
            <w:r>
              <w:rPr>
                <w:rFonts w:ascii="微软雅黑" w:hAnsi="微软雅黑" w:eastAsia="微软雅黑" w:cs="宋体"/>
                <w:kern w:val="0"/>
                <w:sz w:val="22"/>
                <w:szCs w:val="18"/>
              </w:rPr>
              <w:t>2297595 TT</w:t>
            </w:r>
          </w:p>
        </w:tc>
        <w:tc>
          <w:tcPr>
            <w:tcW w:w="4111" w:type="dxa"/>
            <w:vAlign w:val="center"/>
          </w:tcPr>
          <w:p>
            <w:pPr>
              <w:widowControl/>
              <w:spacing w:line="400" w:lineRule="exact"/>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毒副作用风险可能较低</w:t>
            </w:r>
          </w:p>
        </w:tc>
        <w:tc>
          <w:tcPr>
            <w:tcW w:w="1218" w:type="dxa"/>
            <w:vAlign w:val="center"/>
          </w:tcPr>
          <w:p>
            <w:pPr>
              <w:widowControl/>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2</w:t>
            </w:r>
            <w:r>
              <w:rPr>
                <w:rFonts w:ascii="微软雅黑" w:hAnsi="微软雅黑" w:eastAsia="微软雅黑" w:cs="宋体"/>
                <w:kern w:val="0"/>
                <w:sz w:val="22"/>
                <w:szCs w:val="18"/>
              </w:rPr>
              <w:t>A</w:t>
            </w:r>
          </w:p>
        </w:tc>
      </w:tr>
      <w:tr>
        <w:tblPrEx>
          <w:tblLayout w:type="fixed"/>
          <w:tblCellMar>
            <w:top w:w="0" w:type="dxa"/>
            <w:left w:w="108" w:type="dxa"/>
            <w:bottom w:w="0" w:type="dxa"/>
            <w:right w:w="108" w:type="dxa"/>
          </w:tblCellMar>
        </w:tblPrEx>
        <w:tc>
          <w:tcPr>
            <w:tcW w:w="8306" w:type="dxa"/>
            <w:gridSpan w:val="4"/>
            <w:shd w:val="clear" w:color="auto" w:fill="F1F1F1" w:themeFill="background1" w:themeFillShade="F2"/>
            <w:vAlign w:val="center"/>
          </w:tcPr>
          <w:p>
            <w:pPr>
              <w:widowControl/>
              <w:rPr>
                <w:rFonts w:ascii="微软雅黑" w:hAnsi="微软雅黑" w:eastAsia="微软雅黑" w:cs="宋体"/>
                <w:b/>
                <w:bCs/>
                <w:kern w:val="0"/>
                <w:sz w:val="22"/>
                <w:szCs w:val="18"/>
              </w:rPr>
            </w:pPr>
            <w:r>
              <w:rPr>
                <w:rFonts w:hint="eastAsia" w:ascii="微软雅黑" w:hAnsi="微软雅黑" w:eastAsia="微软雅黑" w:cs="宋体"/>
                <w:b/>
                <w:bCs/>
                <w:kern w:val="0"/>
                <w:sz w:val="20"/>
                <w:szCs w:val="18"/>
              </w:rPr>
              <w:t>氟尿嘧啶</w:t>
            </w:r>
          </w:p>
        </w:tc>
      </w:tr>
      <w:tr>
        <w:tblPrEx>
          <w:tblLayout w:type="fixed"/>
          <w:tblCellMar>
            <w:top w:w="0" w:type="dxa"/>
            <w:left w:w="108" w:type="dxa"/>
            <w:bottom w:w="0" w:type="dxa"/>
            <w:right w:w="108" w:type="dxa"/>
          </w:tblCellMar>
        </w:tblPrEx>
        <w:tc>
          <w:tcPr>
            <w:tcW w:w="1134" w:type="dxa"/>
            <w:vAlign w:val="center"/>
          </w:tcPr>
          <w:p>
            <w:pPr>
              <w:widowControl/>
              <w:jc w:val="center"/>
              <w:rPr>
                <w:rFonts w:ascii="微软雅黑" w:hAnsi="微软雅黑" w:eastAsia="微软雅黑" w:cs="宋体"/>
                <w:b w:val="0"/>
                <w:bCs/>
                <w:kern w:val="0"/>
                <w:sz w:val="22"/>
                <w:szCs w:val="18"/>
              </w:rPr>
            </w:pPr>
            <w:r>
              <w:rPr>
                <w:rFonts w:hint="eastAsia" w:ascii="微软雅黑" w:hAnsi="微软雅黑" w:eastAsia="微软雅黑" w:cs="宋体"/>
                <w:b w:val="0"/>
                <w:bCs/>
                <w:kern w:val="0"/>
                <w:sz w:val="22"/>
                <w:szCs w:val="18"/>
              </w:rPr>
              <w:t>T</w:t>
            </w:r>
            <w:r>
              <w:rPr>
                <w:rFonts w:ascii="微软雅黑" w:hAnsi="微软雅黑" w:eastAsia="微软雅黑" w:cs="宋体"/>
                <w:b w:val="0"/>
                <w:bCs/>
                <w:kern w:val="0"/>
                <w:sz w:val="22"/>
                <w:szCs w:val="18"/>
              </w:rPr>
              <w:t>P53</w:t>
            </w:r>
          </w:p>
        </w:tc>
        <w:tc>
          <w:tcPr>
            <w:tcW w:w="1843" w:type="dxa"/>
            <w:vAlign w:val="center"/>
          </w:tcPr>
          <w:p>
            <w:pPr>
              <w:widowControl/>
              <w:jc w:val="center"/>
              <w:rPr>
                <w:rFonts w:ascii="微软雅黑" w:hAnsi="微软雅黑" w:eastAsia="微软雅黑" w:cs="宋体"/>
                <w:kern w:val="0"/>
                <w:sz w:val="22"/>
                <w:szCs w:val="18"/>
              </w:rPr>
            </w:pPr>
            <w:r>
              <w:rPr>
                <w:rFonts w:ascii="微软雅黑" w:hAnsi="微软雅黑" w:eastAsia="微软雅黑" w:cs="宋体"/>
                <w:kern w:val="0"/>
                <w:sz w:val="22"/>
                <w:szCs w:val="18"/>
              </w:rPr>
              <w:t>R</w:t>
            </w:r>
            <w:r>
              <w:rPr>
                <w:rFonts w:hint="eastAsia" w:ascii="微软雅黑" w:hAnsi="微软雅黑" w:eastAsia="微软雅黑" w:cs="宋体"/>
                <w:kern w:val="0"/>
                <w:sz w:val="22"/>
                <w:szCs w:val="18"/>
              </w:rPr>
              <w:t>s</w:t>
            </w:r>
            <w:r>
              <w:rPr>
                <w:rFonts w:ascii="微软雅黑" w:hAnsi="微软雅黑" w:eastAsia="微软雅黑" w:cs="宋体"/>
                <w:kern w:val="0"/>
                <w:sz w:val="22"/>
                <w:szCs w:val="18"/>
              </w:rPr>
              <w:t>1042522 CG</w:t>
            </w:r>
          </w:p>
        </w:tc>
        <w:tc>
          <w:tcPr>
            <w:tcW w:w="4111" w:type="dxa"/>
            <w:vAlign w:val="center"/>
          </w:tcPr>
          <w:p>
            <w:pPr>
              <w:widowControl/>
              <w:spacing w:line="400" w:lineRule="exact"/>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毒副作用风险可能较高</w:t>
            </w:r>
          </w:p>
        </w:tc>
        <w:tc>
          <w:tcPr>
            <w:tcW w:w="1218" w:type="dxa"/>
            <w:vAlign w:val="center"/>
          </w:tcPr>
          <w:p>
            <w:pPr>
              <w:widowControl/>
              <w:jc w:val="center"/>
              <w:rPr>
                <w:rFonts w:ascii="微软雅黑" w:hAnsi="微软雅黑" w:eastAsia="微软雅黑" w:cs="宋体"/>
                <w:kern w:val="0"/>
                <w:sz w:val="22"/>
                <w:szCs w:val="18"/>
              </w:rPr>
            </w:pPr>
            <w:r>
              <w:rPr>
                <w:rFonts w:hint="eastAsia" w:ascii="微软雅黑" w:hAnsi="微软雅黑" w:eastAsia="微软雅黑" w:cs="宋体"/>
                <w:kern w:val="0"/>
                <w:sz w:val="22"/>
                <w:szCs w:val="18"/>
              </w:rPr>
              <w:t>2</w:t>
            </w:r>
            <w:r>
              <w:rPr>
                <w:rFonts w:ascii="微软雅黑" w:hAnsi="微软雅黑" w:eastAsia="微软雅黑" w:cs="宋体"/>
                <w:kern w:val="0"/>
                <w:sz w:val="22"/>
                <w:szCs w:val="18"/>
              </w:rPr>
              <w:t>B</w:t>
            </w:r>
          </w:p>
        </w:tc>
      </w:tr>
    </w:tbl>
    <w:p>
      <w:pPr>
        <w:widowControl/>
        <w:ind w:firstLine="360" w:firstLineChars="200"/>
        <w:jc w:val="left"/>
        <w:rPr>
          <w:rFonts w:ascii="微软雅黑" w:hAnsi="微软雅黑" w:eastAsia="微软雅黑" w:cs="MicrosoftYaHei"/>
          <w:kern w:val="0"/>
          <w:sz w:val="18"/>
          <w:szCs w:val="18"/>
        </w:rPr>
      </w:pPr>
      <w:r>
        <w:rPr>
          <w:rFonts w:hint="eastAsia" w:ascii="微软雅黑" w:hAnsi="微软雅黑" w:eastAsia="微软雅黑" w:cs="MicrosoftYaHei"/>
          <w:kern w:val="0"/>
          <w:sz w:val="18"/>
          <w:szCs w:val="18"/>
        </w:rPr>
        <w:t>备注：此处检测结果不具有临床医嘱性质，仅供临床医师参考，不作为直接用药依据。</w:t>
      </w:r>
    </w:p>
    <w:p>
      <w:pPr>
        <w:widowControl/>
        <w:jc w:val="left"/>
        <w:rPr>
          <w:rFonts w:ascii="微软雅黑" w:hAnsi="微软雅黑" w:eastAsia="微软雅黑" w:cs="宋体"/>
          <w:b/>
          <w:bCs/>
          <w:kern w:val="0"/>
          <w:sz w:val="20"/>
          <w:szCs w:val="18"/>
        </w:rPr>
      </w:pPr>
      <w:r>
        <w:rPr>
          <w:rFonts w:ascii="微软雅黑" w:hAnsi="微软雅黑" w:eastAsia="微软雅黑" w:cs="宋体"/>
          <w:b/>
          <w:bCs/>
          <w:kern w:val="0"/>
          <w:sz w:val="20"/>
          <w:szCs w:val="18"/>
        </w:rPr>
        <w:br w:type="page"/>
      </w:r>
    </w:p>
    <w:p>
      <w:pPr>
        <w:widowControl/>
        <w:jc w:val="center"/>
        <w:outlineLvl w:val="0"/>
        <w:rPr>
          <w:rFonts w:ascii="微软雅黑" w:hAnsi="微软雅黑" w:eastAsia="微软雅黑" w:cs="MicrosoftYaHei"/>
          <w:b/>
          <w:color w:val="000000" w:themeColor="text1"/>
          <w:kern w:val="0"/>
          <w:sz w:val="36"/>
          <w:szCs w:val="24"/>
          <w14:textFill>
            <w14:solidFill>
              <w14:schemeClr w14:val="tx1"/>
            </w14:solidFill>
          </w14:textFill>
        </w:rPr>
      </w:pPr>
      <w:bookmarkStart w:id="11" w:name="_Toc512352439"/>
      <w:r>
        <w:rPr>
          <w:rFonts w:hint="eastAsia" w:ascii="微软雅黑" w:hAnsi="微软雅黑" w:eastAsia="微软雅黑" w:cs="MicrosoftYaHei"/>
          <w:b/>
          <w:color w:val="000000" w:themeColor="text1"/>
          <w:kern w:val="0"/>
          <w:sz w:val="36"/>
          <w:szCs w:val="24"/>
          <w14:textFill>
            <w14:solidFill>
              <w14:schemeClr w14:val="tx1"/>
            </w14:solidFill>
          </w14:textFill>
        </w:rPr>
        <w:t>附录</w:t>
      </w:r>
      <w:bookmarkEnd w:id="11"/>
    </w:p>
    <w:p>
      <w:pPr>
        <w:widowControl/>
        <w:jc w:val="left"/>
        <w:outlineLvl w:val="1"/>
        <w:rPr>
          <w:rFonts w:ascii="微软雅黑" w:hAnsi="微软雅黑" w:eastAsia="微软雅黑" w:cs="MicrosoftYaHei"/>
          <w:b/>
          <w:color w:val="000000" w:themeColor="text1"/>
          <w:kern w:val="0"/>
          <w:sz w:val="28"/>
          <w:szCs w:val="24"/>
          <w14:textFill>
            <w14:solidFill>
              <w14:schemeClr w14:val="tx1"/>
            </w14:solidFill>
          </w14:textFill>
        </w:rPr>
      </w:pPr>
      <w:bookmarkStart w:id="12" w:name="_Toc512352440"/>
      <w:r>
        <w:rPr>
          <w:rFonts w:hint="eastAsia" w:ascii="微软雅黑" w:hAnsi="微软雅黑" w:eastAsia="微软雅黑" w:cs="MicrosoftYaHei"/>
          <w:b/>
          <w:color w:val="000000" w:themeColor="text1"/>
          <w:kern w:val="0"/>
          <w:sz w:val="28"/>
          <w:szCs w:val="24"/>
          <w14:textFill>
            <w14:solidFill>
              <w14:schemeClr w14:val="tx1"/>
            </w14:solidFill>
          </w14:textFill>
        </w:rPr>
        <w:t>测序数据质量控制</w:t>
      </w:r>
      <w:bookmarkEnd w:id="12"/>
    </w:p>
    <w:p>
      <w:pPr>
        <w:widowControl/>
        <w:spacing w:line="400" w:lineRule="exact"/>
        <w:jc w:val="left"/>
        <w:rPr>
          <w:rFonts w:ascii="微软雅黑" w:hAnsi="微软雅黑" w:eastAsia="微软雅黑" w:cs="MicrosoftYaHei"/>
          <w:color w:val="000000" w:themeColor="text1"/>
          <w:kern w:val="0"/>
          <w:sz w:val="20"/>
          <w:szCs w:val="20"/>
          <w14:textFill>
            <w14:solidFill>
              <w14:schemeClr w14:val="tx1"/>
            </w14:solidFill>
          </w14:textFill>
        </w:rPr>
      </w:pPr>
      <w:r>
        <w:rPr>
          <w:rFonts w:hint="eastAsia" w:ascii="微软雅黑" w:hAnsi="微软雅黑" w:eastAsia="微软雅黑" w:cs="MicrosoftYaHei"/>
          <w:color w:val="000000" w:themeColor="text1"/>
          <w:kern w:val="0"/>
          <w:sz w:val="20"/>
          <w:szCs w:val="20"/>
          <w14:textFill>
            <w14:solidFill>
              <w14:schemeClr w14:val="tx1"/>
            </w14:solidFill>
          </w14:textFill>
        </w:rPr>
        <w:t>凯杰（苏州）对原始测序数据进行严格的质量控制，只有经过指控处理后的数据才会进行下游分析。具体的指控步骤包括接头序列切除（Adapter</w:t>
      </w:r>
      <w:r>
        <w:rPr>
          <w:rFonts w:ascii="微软雅黑" w:hAnsi="微软雅黑" w:eastAsia="微软雅黑" w:cs="MicrosoftYaHei"/>
          <w:color w:val="000000" w:themeColor="text1"/>
          <w:kern w:val="0"/>
          <w:sz w:val="20"/>
          <w:szCs w:val="20"/>
          <w14:textFill>
            <w14:solidFill>
              <w14:schemeClr w14:val="tx1"/>
            </w14:solidFill>
          </w14:textFill>
        </w:rPr>
        <w:t xml:space="preserve"> Trimming</w:t>
      </w:r>
      <w:r>
        <w:rPr>
          <w:rFonts w:hint="eastAsia" w:ascii="微软雅黑" w:hAnsi="微软雅黑" w:eastAsia="微软雅黑" w:cs="MicrosoftYaHei"/>
          <w:color w:val="000000" w:themeColor="text1"/>
          <w:kern w:val="0"/>
          <w:sz w:val="20"/>
          <w:szCs w:val="20"/>
          <w14:textFill>
            <w14:solidFill>
              <w14:schemeClr w14:val="tx1"/>
            </w14:solidFill>
          </w14:textFill>
        </w:rPr>
        <w:t>）和碱基质量过滤（Q</w:t>
      </w:r>
      <w:r>
        <w:rPr>
          <w:rFonts w:ascii="微软雅黑" w:hAnsi="微软雅黑" w:eastAsia="微软雅黑" w:cs="MicrosoftYaHei"/>
          <w:color w:val="000000" w:themeColor="text1"/>
          <w:kern w:val="0"/>
          <w:sz w:val="20"/>
          <w:szCs w:val="20"/>
          <w14:textFill>
            <w14:solidFill>
              <w14:schemeClr w14:val="tx1"/>
            </w14:solidFill>
          </w14:textFill>
        </w:rPr>
        <w:t>uality Filtering</w:t>
      </w:r>
      <w:r>
        <w:rPr>
          <w:rFonts w:hint="eastAsia" w:ascii="微软雅黑" w:hAnsi="微软雅黑" w:eastAsia="微软雅黑" w:cs="MicrosoftYaHei"/>
          <w:color w:val="000000" w:themeColor="text1"/>
          <w:kern w:val="0"/>
          <w:sz w:val="20"/>
          <w:szCs w:val="20"/>
          <w14:textFill>
            <w14:solidFill>
              <w14:schemeClr w14:val="tx1"/>
            </w14:solidFill>
          </w14:textFill>
        </w:rPr>
        <w:t>）。通常来讲，指控后数据的Phred-scaled</w:t>
      </w:r>
      <w:r>
        <w:rPr>
          <w:rFonts w:ascii="微软雅黑" w:hAnsi="微软雅黑" w:eastAsia="微软雅黑" w:cs="MicrosoftYaHei"/>
          <w:color w:val="000000" w:themeColor="text1"/>
          <w:kern w:val="0"/>
          <w:sz w:val="20"/>
          <w:szCs w:val="20"/>
          <w14:textFill>
            <w14:solidFill>
              <w14:schemeClr w14:val="tx1"/>
            </w14:solidFill>
          </w14:textFill>
        </w:rPr>
        <w:t xml:space="preserve"> Q</w:t>
      </w:r>
      <w:r>
        <w:rPr>
          <w:rFonts w:hint="eastAsia" w:ascii="微软雅黑" w:hAnsi="微软雅黑" w:eastAsia="微软雅黑" w:cs="MicrosoftYaHei"/>
          <w:color w:val="000000" w:themeColor="text1"/>
          <w:kern w:val="0"/>
          <w:sz w:val="20"/>
          <w:szCs w:val="20"/>
          <w14:textFill>
            <w14:solidFill>
              <w14:schemeClr w14:val="tx1"/>
            </w14:solidFill>
          </w14:textFill>
        </w:rPr>
        <w:t>uality</w:t>
      </w:r>
      <w:r>
        <w:rPr>
          <w:rFonts w:ascii="微软雅黑" w:hAnsi="微软雅黑" w:eastAsia="微软雅黑" w:cs="MicrosoftYaHei"/>
          <w:color w:val="000000" w:themeColor="text1"/>
          <w:kern w:val="0"/>
          <w:sz w:val="20"/>
          <w:szCs w:val="20"/>
          <w14:textFill>
            <w14:solidFill>
              <w14:schemeClr w14:val="tx1"/>
            </w14:solidFill>
          </w14:textFill>
        </w:rPr>
        <w:t xml:space="preserve"> S</w:t>
      </w:r>
      <w:r>
        <w:rPr>
          <w:rFonts w:hint="eastAsia" w:ascii="微软雅黑" w:hAnsi="微软雅黑" w:eastAsia="微软雅黑" w:cs="MicrosoftYaHei"/>
          <w:color w:val="000000" w:themeColor="text1"/>
          <w:kern w:val="0"/>
          <w:sz w:val="20"/>
          <w:szCs w:val="20"/>
          <w14:textFill>
            <w14:solidFill>
              <w14:schemeClr w14:val="tx1"/>
            </w14:solidFill>
          </w14:textFill>
        </w:rPr>
        <w:t>core</w:t>
      </w:r>
      <w:r>
        <w:rPr>
          <w:rFonts w:ascii="微软雅黑" w:hAnsi="微软雅黑" w:eastAsia="微软雅黑" w:cs="MicrosoftYaHei"/>
          <w:color w:val="000000" w:themeColor="text1"/>
          <w:kern w:val="0"/>
          <w:sz w:val="20"/>
          <w:szCs w:val="20"/>
          <w14:textFill>
            <w14:solidFill>
              <w14:schemeClr w14:val="tx1"/>
            </w14:solidFill>
          </w14:textFill>
        </w:rPr>
        <w:t xml:space="preserve"> </w:t>
      </w:r>
      <w:r>
        <w:rPr>
          <w:rFonts w:hint="eastAsia" w:ascii="微软雅黑" w:hAnsi="微软雅黑" w:eastAsia="微软雅黑" w:cs="MicrosoftYaHei"/>
          <w:color w:val="000000" w:themeColor="text1"/>
          <w:kern w:val="0"/>
          <w:sz w:val="20"/>
          <w:szCs w:val="20"/>
          <w14:textFill>
            <w14:solidFill>
              <w14:schemeClr w14:val="tx1"/>
            </w14:solidFill>
          </w14:textFill>
        </w:rPr>
        <w:t>大于</w:t>
      </w:r>
      <w:r>
        <w:rPr>
          <w:rFonts w:ascii="微软雅黑" w:hAnsi="微软雅黑" w:eastAsia="微软雅黑" w:cs="MicrosoftYaHei"/>
          <w:color w:val="000000" w:themeColor="text1"/>
          <w:kern w:val="0"/>
          <w:sz w:val="20"/>
          <w:szCs w:val="20"/>
          <w14:textFill>
            <w14:solidFill>
              <w14:schemeClr w14:val="tx1"/>
            </w14:solidFill>
          </w14:textFill>
        </w:rPr>
        <w:t>30</w:t>
      </w:r>
      <w:r>
        <w:rPr>
          <w:rFonts w:hint="eastAsia" w:ascii="微软雅黑" w:hAnsi="微软雅黑" w:eastAsia="微软雅黑" w:cs="MicrosoftYaHei"/>
          <w:color w:val="000000" w:themeColor="text1"/>
          <w:kern w:val="0"/>
          <w:sz w:val="20"/>
          <w:szCs w:val="20"/>
          <w14:textFill>
            <w14:solidFill>
              <w14:schemeClr w14:val="tx1"/>
            </w14:solidFill>
          </w14:textFill>
        </w:rPr>
        <w:t>的剪辑所占比例（Q</w:t>
      </w:r>
      <w:r>
        <w:rPr>
          <w:rFonts w:ascii="微软雅黑" w:hAnsi="微软雅黑" w:eastAsia="微软雅黑" w:cs="MicrosoftYaHei"/>
          <w:color w:val="000000" w:themeColor="text1"/>
          <w:kern w:val="0"/>
          <w:sz w:val="20"/>
          <w:szCs w:val="20"/>
          <w14:textFill>
            <w14:solidFill>
              <w14:schemeClr w14:val="tx1"/>
            </w14:solidFill>
          </w14:textFill>
        </w:rPr>
        <w:t>30</w:t>
      </w:r>
      <w:r>
        <w:rPr>
          <w:rFonts w:hint="eastAsia" w:ascii="微软雅黑" w:hAnsi="微软雅黑" w:eastAsia="微软雅黑" w:cs="MicrosoftYaHei"/>
          <w:color w:val="000000" w:themeColor="text1"/>
          <w:kern w:val="0"/>
          <w:sz w:val="20"/>
          <w:szCs w:val="20"/>
          <w14:textFill>
            <w14:solidFill>
              <w14:schemeClr w14:val="tx1"/>
            </w14:solidFill>
          </w14:textFill>
        </w:rPr>
        <w:t>指标）大于9</w:t>
      </w:r>
      <w:r>
        <w:rPr>
          <w:rFonts w:ascii="微软雅黑" w:hAnsi="微软雅黑" w:eastAsia="微软雅黑" w:cs="MicrosoftYaHei"/>
          <w:color w:val="000000" w:themeColor="text1"/>
          <w:kern w:val="0"/>
          <w:sz w:val="20"/>
          <w:szCs w:val="20"/>
          <w14:textFill>
            <w14:solidFill>
              <w14:schemeClr w14:val="tx1"/>
            </w14:solidFill>
          </w14:textFill>
        </w:rPr>
        <w:t>0</w:t>
      </w:r>
      <w:r>
        <w:rPr>
          <w:rFonts w:hint="eastAsia" w:ascii="微软雅黑" w:hAnsi="微软雅黑" w:eastAsia="微软雅黑" w:cs="MicrosoftYaHei"/>
          <w:color w:val="000000" w:themeColor="text1"/>
          <w:kern w:val="0"/>
          <w:sz w:val="20"/>
          <w:szCs w:val="20"/>
          <w14:textFill>
            <w14:solidFill>
              <w14:schemeClr w14:val="tx1"/>
            </w14:solidFill>
          </w14:textFill>
        </w:rPr>
        <w:t>%被认为是质量良好的数据。</w:t>
      </w:r>
    </w:p>
    <w:p>
      <w:pPr>
        <w:widowControl/>
        <w:spacing w:line="400" w:lineRule="exact"/>
        <w:jc w:val="left"/>
        <w:rPr>
          <w:rFonts w:ascii="微软雅黑" w:hAnsi="微软雅黑" w:eastAsia="微软雅黑" w:cs="MicrosoftYaHei"/>
          <w:color w:val="000000" w:themeColor="text1"/>
          <w:kern w:val="0"/>
          <w:sz w:val="20"/>
          <w:szCs w:val="20"/>
          <w14:textFill>
            <w14:solidFill>
              <w14:schemeClr w14:val="tx1"/>
            </w14:solidFill>
          </w14:textFill>
        </w:rPr>
      </w:pPr>
    </w:p>
    <w:p>
      <w:pPr>
        <w:widowControl/>
        <w:jc w:val="center"/>
        <w:rPr>
          <w:rFonts w:ascii="微软雅黑" w:hAnsi="微软雅黑" w:eastAsia="微软雅黑" w:cs="MicrosoftYaHei"/>
          <w:b/>
          <w:color w:val="000000" w:themeColor="text1"/>
          <w:kern w:val="0"/>
          <w:sz w:val="22"/>
          <w:szCs w:val="24"/>
          <w14:textFill>
            <w14:solidFill>
              <w14:schemeClr w14:val="tx1"/>
            </w14:solidFill>
          </w14:textFill>
        </w:rPr>
      </w:pPr>
      <w:r>
        <w:rPr>
          <w:rFonts w:hint="eastAsia" w:ascii="微软雅黑" w:hAnsi="微软雅黑" w:eastAsia="微软雅黑" w:cs="MicrosoftYaHei"/>
          <w:b/>
          <w:color w:val="000000" w:themeColor="text1"/>
          <w:kern w:val="0"/>
          <w:sz w:val="22"/>
          <w:szCs w:val="24"/>
          <w14:textFill>
            <w14:solidFill>
              <w14:schemeClr w14:val="tx1"/>
            </w14:solidFill>
          </w14:textFill>
        </w:rPr>
        <w:t>基因组测序数据质量控制结果</w:t>
      </w:r>
    </w:p>
    <w:tbl>
      <w:tblPr>
        <w:tblStyle w:val="11"/>
        <w:tblW w:w="8306" w:type="dxa"/>
        <w:tblInd w:w="0" w:type="dxa"/>
        <w:tblLayout w:type="fixed"/>
        <w:tblCellMar>
          <w:top w:w="0" w:type="dxa"/>
          <w:left w:w="108" w:type="dxa"/>
          <w:bottom w:w="0" w:type="dxa"/>
          <w:right w:w="108" w:type="dxa"/>
        </w:tblCellMar>
      </w:tblPr>
      <w:tblGrid>
        <w:gridCol w:w="1950"/>
        <w:gridCol w:w="1507"/>
        <w:gridCol w:w="54"/>
        <w:gridCol w:w="1562"/>
        <w:gridCol w:w="1616"/>
        <w:gridCol w:w="1617"/>
      </w:tblGrid>
      <w:tr>
        <w:tblPrEx>
          <w:tblLayout w:type="fixed"/>
          <w:tblCellMar>
            <w:top w:w="0" w:type="dxa"/>
            <w:left w:w="108" w:type="dxa"/>
            <w:bottom w:w="0" w:type="dxa"/>
            <w:right w:w="108" w:type="dxa"/>
          </w:tblCellMar>
        </w:tblPrEx>
        <w:trPr>
          <w:trHeight w:val="170" w:hRule="atLeast"/>
        </w:trPr>
        <w:tc>
          <w:tcPr>
            <w:tcW w:w="1950" w:type="dxa"/>
            <w:vMerge w:val="restart"/>
            <w:shd w:val="clear" w:color="auto" w:fill="1F4E79" w:themeFill="accent5" w:themeFillShade="80"/>
            <w:vAlign w:val="center"/>
          </w:tcPr>
          <w:p>
            <w:pPr>
              <w:widowControl/>
              <w:jc w:val="center"/>
              <w:rPr>
                <w:rFonts w:ascii="微软雅黑" w:hAnsi="微软雅黑" w:eastAsia="微软雅黑" w:cs="MicrosoftYaHei"/>
                <w:b/>
                <w:bCs/>
                <w:color w:val="000000" w:themeColor="text1"/>
                <w:kern w:val="0"/>
                <w:sz w:val="20"/>
                <w:szCs w:val="20"/>
                <w14:textFill>
                  <w14:solidFill>
                    <w14:schemeClr w14:val="tx1"/>
                  </w14:solidFill>
                </w14:textFill>
              </w:rPr>
            </w:pPr>
            <w:r>
              <w:rPr>
                <w:rFonts w:hint="eastAsia" w:ascii="微软雅黑" w:hAnsi="微软雅黑" w:eastAsia="微软雅黑" w:cs="宋体"/>
                <w:b/>
                <w:bCs/>
                <w:color w:val="FFFFFF" w:themeColor="background1"/>
                <w:kern w:val="0"/>
                <w:sz w:val="22"/>
                <w:szCs w:val="18"/>
                <w14:textFill>
                  <w14:solidFill>
                    <w14:schemeClr w14:val="bg1"/>
                  </w14:solidFill>
                </w14:textFill>
              </w:rPr>
              <w:t>样本参数</w:t>
            </w:r>
          </w:p>
        </w:tc>
        <w:tc>
          <w:tcPr>
            <w:tcW w:w="3123" w:type="dxa"/>
            <w:gridSpan w:val="3"/>
            <w:shd w:val="clear" w:color="auto" w:fill="1F4E79" w:themeFill="accent5" w:themeFillShade="80"/>
            <w:vAlign w:val="center"/>
          </w:tcPr>
          <w:p>
            <w:pPr>
              <w:widowControl/>
              <w:jc w:val="center"/>
              <w:rPr>
                <w:rFonts w:ascii="微软雅黑" w:hAnsi="微软雅黑" w:eastAsia="微软雅黑" w:cs="宋体"/>
                <w:b/>
                <w:bCs/>
                <w:color w:val="FFFFFF" w:themeColor="background1"/>
                <w:kern w:val="0"/>
                <w:sz w:val="22"/>
                <w:szCs w:val="18"/>
                <w14:textFill>
                  <w14:solidFill>
                    <w14:schemeClr w14:val="bg1"/>
                  </w14:solidFill>
                </w14:textFill>
              </w:rPr>
            </w:pPr>
            <w:r>
              <w:rPr>
                <w:rFonts w:hint="eastAsia" w:ascii="微软雅黑" w:hAnsi="微软雅黑" w:eastAsia="微软雅黑" w:cs="宋体"/>
                <w:b/>
                <w:bCs/>
                <w:color w:val="FFFFFF" w:themeColor="background1"/>
                <w:kern w:val="0"/>
                <w:sz w:val="22"/>
                <w:szCs w:val="18"/>
                <w14:textFill>
                  <w14:solidFill>
                    <w14:schemeClr w14:val="bg1"/>
                  </w14:solidFill>
                </w14:textFill>
              </w:rPr>
              <w:t>对照测序样本</w:t>
            </w:r>
          </w:p>
        </w:tc>
        <w:tc>
          <w:tcPr>
            <w:tcW w:w="3233" w:type="dxa"/>
            <w:gridSpan w:val="2"/>
            <w:shd w:val="clear" w:color="auto" w:fill="1F4E79" w:themeFill="accent5" w:themeFillShade="80"/>
            <w:vAlign w:val="center"/>
          </w:tcPr>
          <w:p>
            <w:pPr>
              <w:widowControl/>
              <w:jc w:val="center"/>
              <w:rPr>
                <w:rFonts w:ascii="微软雅黑" w:hAnsi="微软雅黑" w:eastAsia="微软雅黑" w:cs="宋体"/>
                <w:b/>
                <w:bCs/>
                <w:color w:val="FFFFFF" w:themeColor="background1"/>
                <w:kern w:val="0"/>
                <w:sz w:val="22"/>
                <w:szCs w:val="18"/>
                <w14:textFill>
                  <w14:solidFill>
                    <w14:schemeClr w14:val="bg1"/>
                  </w14:solidFill>
                </w14:textFill>
              </w:rPr>
            </w:pPr>
            <w:r>
              <w:rPr>
                <w:rFonts w:hint="eastAsia" w:ascii="微软雅黑" w:hAnsi="微软雅黑" w:eastAsia="微软雅黑" w:cs="宋体"/>
                <w:b/>
                <w:bCs/>
                <w:color w:val="FFFFFF" w:themeColor="background1"/>
                <w:kern w:val="0"/>
                <w:sz w:val="22"/>
                <w:szCs w:val="18"/>
                <w14:textFill>
                  <w14:solidFill>
                    <w14:schemeClr w14:val="bg1"/>
                  </w14:solidFill>
                </w14:textFill>
              </w:rPr>
              <w:t>肿瘤测序样本</w:t>
            </w:r>
          </w:p>
        </w:tc>
      </w:tr>
      <w:tr>
        <w:tblPrEx>
          <w:tblLayout w:type="fixed"/>
          <w:tblCellMar>
            <w:top w:w="0" w:type="dxa"/>
            <w:left w:w="108" w:type="dxa"/>
            <w:bottom w:w="0" w:type="dxa"/>
            <w:right w:w="108" w:type="dxa"/>
          </w:tblCellMar>
        </w:tblPrEx>
        <w:trPr>
          <w:trHeight w:val="20" w:hRule="atLeast"/>
        </w:trPr>
        <w:tc>
          <w:tcPr>
            <w:tcW w:w="1950" w:type="dxa"/>
            <w:vMerge w:val="continue"/>
            <w:shd w:val="clear" w:color="auto" w:fill="1F4E79" w:themeFill="accent5" w:themeFillShade="80"/>
            <w:vAlign w:val="center"/>
          </w:tcPr>
          <w:p>
            <w:pPr>
              <w:widowControl/>
              <w:jc w:val="center"/>
              <w:rPr>
                <w:rFonts w:ascii="微软雅黑" w:hAnsi="微软雅黑" w:eastAsia="微软雅黑" w:cs="宋体"/>
                <w:b/>
                <w:bCs/>
                <w:color w:val="FFFFFF" w:themeColor="background1"/>
                <w:kern w:val="0"/>
                <w:sz w:val="22"/>
                <w:szCs w:val="18"/>
                <w14:textFill>
                  <w14:solidFill>
                    <w14:schemeClr w14:val="bg1"/>
                  </w14:solidFill>
                </w14:textFill>
              </w:rPr>
            </w:pPr>
          </w:p>
        </w:tc>
        <w:tc>
          <w:tcPr>
            <w:tcW w:w="1561" w:type="dxa"/>
            <w:gridSpan w:val="2"/>
            <w:shd w:val="clear" w:color="auto" w:fill="1F4E79" w:themeFill="accent5" w:themeFillShade="80"/>
            <w:vAlign w:val="center"/>
          </w:tcPr>
          <w:p>
            <w:pPr>
              <w:widowControl/>
              <w:jc w:val="center"/>
              <w:rPr>
                <w:rFonts w:ascii="微软雅黑" w:hAnsi="微软雅黑" w:eastAsia="微软雅黑" w:cs="宋体"/>
                <w:color w:val="FFFFFF" w:themeColor="background1"/>
                <w:kern w:val="0"/>
                <w:sz w:val="20"/>
                <w:szCs w:val="18"/>
                <w14:textFill>
                  <w14:solidFill>
                    <w14:schemeClr w14:val="bg1"/>
                  </w14:solidFill>
                </w14:textFill>
              </w:rPr>
            </w:pPr>
            <w:r>
              <w:rPr>
                <w:rFonts w:hint="eastAsia" w:ascii="微软雅黑" w:hAnsi="微软雅黑" w:eastAsia="微软雅黑" w:cs="宋体"/>
                <w:color w:val="FFFFFF" w:themeColor="background1"/>
                <w:kern w:val="0"/>
                <w:sz w:val="20"/>
                <w:szCs w:val="18"/>
                <w14:textFill>
                  <w14:solidFill>
                    <w14:schemeClr w14:val="bg1"/>
                  </w14:solidFill>
                </w14:textFill>
              </w:rPr>
              <w:t>原始数据</w:t>
            </w:r>
          </w:p>
        </w:tc>
        <w:tc>
          <w:tcPr>
            <w:tcW w:w="1562" w:type="dxa"/>
            <w:shd w:val="clear" w:color="auto" w:fill="1F4E79" w:themeFill="accent5" w:themeFillShade="80"/>
            <w:vAlign w:val="center"/>
          </w:tcPr>
          <w:p>
            <w:pPr>
              <w:widowControl/>
              <w:jc w:val="center"/>
              <w:rPr>
                <w:rFonts w:ascii="微软雅黑" w:hAnsi="微软雅黑" w:eastAsia="微软雅黑" w:cs="宋体"/>
                <w:color w:val="FFFFFF" w:themeColor="background1"/>
                <w:kern w:val="0"/>
                <w:sz w:val="20"/>
                <w:szCs w:val="18"/>
                <w14:textFill>
                  <w14:solidFill>
                    <w14:schemeClr w14:val="bg1"/>
                  </w14:solidFill>
                </w14:textFill>
              </w:rPr>
            </w:pPr>
            <w:r>
              <w:rPr>
                <w:rFonts w:hint="eastAsia" w:ascii="微软雅黑" w:hAnsi="微软雅黑" w:eastAsia="微软雅黑" w:cs="宋体"/>
                <w:color w:val="FFFFFF" w:themeColor="background1"/>
                <w:kern w:val="0"/>
                <w:sz w:val="20"/>
                <w:szCs w:val="18"/>
                <w14:textFill>
                  <w14:solidFill>
                    <w14:schemeClr w14:val="bg1"/>
                  </w14:solidFill>
                </w14:textFill>
              </w:rPr>
              <w:t>质控后数据</w:t>
            </w:r>
          </w:p>
        </w:tc>
        <w:tc>
          <w:tcPr>
            <w:tcW w:w="1616" w:type="dxa"/>
            <w:shd w:val="clear" w:color="auto" w:fill="1F4E79" w:themeFill="accent5" w:themeFillShade="80"/>
            <w:vAlign w:val="center"/>
          </w:tcPr>
          <w:p>
            <w:pPr>
              <w:widowControl/>
              <w:jc w:val="center"/>
              <w:rPr>
                <w:rFonts w:ascii="微软雅黑" w:hAnsi="微软雅黑" w:eastAsia="微软雅黑" w:cs="宋体"/>
                <w:color w:val="FFFFFF" w:themeColor="background1"/>
                <w:kern w:val="0"/>
                <w:sz w:val="20"/>
                <w:szCs w:val="18"/>
                <w14:textFill>
                  <w14:solidFill>
                    <w14:schemeClr w14:val="bg1"/>
                  </w14:solidFill>
                </w14:textFill>
              </w:rPr>
            </w:pPr>
            <w:r>
              <w:rPr>
                <w:rFonts w:hint="eastAsia" w:ascii="微软雅黑" w:hAnsi="微软雅黑" w:eastAsia="微软雅黑" w:cs="宋体"/>
                <w:color w:val="FFFFFF" w:themeColor="background1"/>
                <w:kern w:val="0"/>
                <w:sz w:val="20"/>
                <w:szCs w:val="18"/>
                <w14:textFill>
                  <w14:solidFill>
                    <w14:schemeClr w14:val="bg1"/>
                  </w14:solidFill>
                </w14:textFill>
              </w:rPr>
              <w:t>原始数据</w:t>
            </w:r>
          </w:p>
        </w:tc>
        <w:tc>
          <w:tcPr>
            <w:tcW w:w="1617" w:type="dxa"/>
            <w:shd w:val="clear" w:color="auto" w:fill="1F4E79" w:themeFill="accent5" w:themeFillShade="80"/>
            <w:vAlign w:val="center"/>
          </w:tcPr>
          <w:p>
            <w:pPr>
              <w:widowControl/>
              <w:jc w:val="center"/>
              <w:rPr>
                <w:rFonts w:ascii="微软雅黑" w:hAnsi="微软雅黑" w:eastAsia="微软雅黑" w:cs="宋体"/>
                <w:color w:val="FFFFFF" w:themeColor="background1"/>
                <w:kern w:val="0"/>
                <w:sz w:val="20"/>
                <w:szCs w:val="18"/>
                <w14:textFill>
                  <w14:solidFill>
                    <w14:schemeClr w14:val="bg1"/>
                  </w14:solidFill>
                </w14:textFill>
              </w:rPr>
            </w:pPr>
            <w:r>
              <w:rPr>
                <w:rFonts w:hint="eastAsia" w:ascii="微软雅黑" w:hAnsi="微软雅黑" w:eastAsia="微软雅黑" w:cs="宋体"/>
                <w:color w:val="FFFFFF" w:themeColor="background1"/>
                <w:kern w:val="0"/>
                <w:sz w:val="20"/>
                <w:szCs w:val="18"/>
                <w14:textFill>
                  <w14:solidFill>
                    <w14:schemeClr w14:val="bg1"/>
                  </w14:solidFill>
                </w14:textFill>
              </w:rPr>
              <w:t>质控后数据</w:t>
            </w:r>
          </w:p>
        </w:tc>
      </w:tr>
      <w:tr>
        <w:tblPrEx>
          <w:tblLayout w:type="fixed"/>
          <w:tblCellMar>
            <w:top w:w="0" w:type="dxa"/>
            <w:left w:w="108" w:type="dxa"/>
            <w:bottom w:w="0" w:type="dxa"/>
            <w:right w:w="108" w:type="dxa"/>
          </w:tblCellMar>
        </w:tblPrEx>
        <w:trPr>
          <w:trHeight w:val="624" w:hRule="atLeast"/>
        </w:trPr>
        <w:tc>
          <w:tcPr>
            <w:tcW w:w="1950" w:type="dxa"/>
            <w:vAlign w:val="center"/>
          </w:tcPr>
          <w:p>
            <w:pPr>
              <w:widowControl/>
              <w:jc w:val="center"/>
              <w:rPr>
                <w:rFonts w:ascii="微软雅黑" w:hAnsi="微软雅黑" w:eastAsia="微软雅黑" w:cs="宋体"/>
                <w:b w:val="0"/>
                <w:bCs/>
                <w:kern w:val="0"/>
                <w:sz w:val="20"/>
                <w:szCs w:val="18"/>
              </w:rPr>
            </w:pPr>
            <w:r>
              <w:rPr>
                <w:rFonts w:ascii="微软雅黑" w:hAnsi="微软雅黑" w:eastAsia="微软雅黑" w:cs="宋体"/>
                <w:b w:val="0"/>
                <w:bCs/>
                <w:kern w:val="0"/>
                <w:sz w:val="20"/>
                <w:szCs w:val="18"/>
              </w:rPr>
              <w:t>Read Pair 的</w:t>
            </w:r>
            <w:r>
              <w:rPr>
                <w:rFonts w:hint="eastAsia" w:ascii="微软雅黑" w:hAnsi="微软雅黑" w:eastAsia="微软雅黑" w:cs="宋体"/>
                <w:b w:val="0"/>
                <w:bCs/>
                <w:kern w:val="0"/>
                <w:sz w:val="20"/>
                <w:szCs w:val="18"/>
              </w:rPr>
              <w:t>数目</w:t>
            </w:r>
          </w:p>
        </w:tc>
        <w:tc>
          <w:tcPr>
            <w:tcW w:w="1507" w:type="dxa"/>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79440360</w:t>
            </w:r>
          </w:p>
        </w:tc>
        <w:tc>
          <w:tcPr>
            <w:tcW w:w="1616" w:type="dxa"/>
            <w:gridSpan w:val="2"/>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79426854</w:t>
            </w:r>
          </w:p>
        </w:tc>
        <w:tc>
          <w:tcPr>
            <w:tcW w:w="1616" w:type="dxa"/>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105835408</w:t>
            </w:r>
          </w:p>
        </w:tc>
        <w:tc>
          <w:tcPr>
            <w:tcW w:w="1617" w:type="dxa"/>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105823111</w:t>
            </w:r>
          </w:p>
        </w:tc>
      </w:tr>
      <w:tr>
        <w:tblPrEx>
          <w:tblLayout w:type="fixed"/>
          <w:tblCellMar>
            <w:top w:w="0" w:type="dxa"/>
            <w:left w:w="108" w:type="dxa"/>
            <w:bottom w:w="0" w:type="dxa"/>
            <w:right w:w="108" w:type="dxa"/>
          </w:tblCellMar>
        </w:tblPrEx>
        <w:trPr>
          <w:trHeight w:val="624" w:hRule="atLeast"/>
        </w:trPr>
        <w:tc>
          <w:tcPr>
            <w:tcW w:w="1950" w:type="dxa"/>
            <w:shd w:val="clear" w:color="auto" w:fill="F1F1F1" w:themeFill="background1" w:themeFillShade="F2"/>
            <w:vAlign w:val="center"/>
          </w:tcPr>
          <w:p>
            <w:pPr>
              <w:widowControl/>
              <w:jc w:val="center"/>
              <w:rPr>
                <w:rFonts w:ascii="微软雅黑" w:hAnsi="微软雅黑" w:eastAsia="微软雅黑" w:cs="宋体"/>
                <w:b w:val="0"/>
                <w:bCs/>
                <w:kern w:val="0"/>
                <w:sz w:val="20"/>
                <w:szCs w:val="18"/>
              </w:rPr>
            </w:pPr>
            <w:r>
              <w:rPr>
                <w:rFonts w:hint="eastAsia" w:ascii="微软雅黑" w:hAnsi="微软雅黑" w:eastAsia="微软雅黑" w:cs="宋体"/>
                <w:b w:val="0"/>
                <w:bCs/>
                <w:kern w:val="0"/>
                <w:sz w:val="20"/>
                <w:szCs w:val="18"/>
              </w:rPr>
              <w:t>总碱基数</w:t>
            </w:r>
          </w:p>
        </w:tc>
        <w:tc>
          <w:tcPr>
            <w:tcW w:w="1507" w:type="dxa"/>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23832108000</w:t>
            </w:r>
          </w:p>
        </w:tc>
        <w:tc>
          <w:tcPr>
            <w:tcW w:w="1616" w:type="dxa"/>
            <w:gridSpan w:val="2"/>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23444267734</w:t>
            </w:r>
          </w:p>
        </w:tc>
        <w:tc>
          <w:tcPr>
            <w:tcW w:w="1616" w:type="dxa"/>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31750622400</w:t>
            </w:r>
          </w:p>
        </w:tc>
        <w:tc>
          <w:tcPr>
            <w:tcW w:w="1617" w:type="dxa"/>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31180630487</w:t>
            </w:r>
          </w:p>
        </w:tc>
      </w:tr>
      <w:tr>
        <w:tblPrEx>
          <w:tblLayout w:type="fixed"/>
          <w:tblCellMar>
            <w:top w:w="0" w:type="dxa"/>
            <w:left w:w="108" w:type="dxa"/>
            <w:bottom w:w="0" w:type="dxa"/>
            <w:right w:w="108" w:type="dxa"/>
          </w:tblCellMar>
        </w:tblPrEx>
        <w:trPr>
          <w:trHeight w:val="624" w:hRule="atLeast"/>
        </w:trPr>
        <w:tc>
          <w:tcPr>
            <w:tcW w:w="1950" w:type="dxa"/>
            <w:vAlign w:val="center"/>
          </w:tcPr>
          <w:p>
            <w:pPr>
              <w:widowControl/>
              <w:jc w:val="center"/>
              <w:rPr>
                <w:rFonts w:ascii="微软雅黑" w:hAnsi="微软雅黑" w:eastAsia="微软雅黑" w:cs="宋体"/>
                <w:b w:val="0"/>
                <w:bCs/>
                <w:kern w:val="0"/>
                <w:sz w:val="20"/>
                <w:szCs w:val="18"/>
              </w:rPr>
            </w:pPr>
            <w:r>
              <w:rPr>
                <w:rFonts w:hint="eastAsia" w:ascii="微软雅黑" w:hAnsi="微软雅黑" w:eastAsia="微软雅黑" w:cs="宋体"/>
                <w:b w:val="0"/>
                <w:bCs/>
                <w:kern w:val="0"/>
                <w:sz w:val="20"/>
                <w:szCs w:val="18"/>
              </w:rPr>
              <w:t>Read</w:t>
            </w:r>
            <w:r>
              <w:rPr>
                <w:rFonts w:ascii="微软雅黑" w:hAnsi="微软雅黑" w:eastAsia="微软雅黑" w:cs="宋体"/>
                <w:b w:val="0"/>
                <w:bCs/>
                <w:kern w:val="0"/>
                <w:sz w:val="20"/>
                <w:szCs w:val="18"/>
              </w:rPr>
              <w:t>1</w:t>
            </w:r>
            <w:r>
              <w:rPr>
                <w:rFonts w:hint="eastAsia" w:ascii="微软雅黑" w:hAnsi="微软雅黑" w:eastAsia="微软雅黑" w:cs="宋体"/>
                <w:b w:val="0"/>
                <w:bCs/>
                <w:kern w:val="0"/>
                <w:sz w:val="20"/>
                <w:szCs w:val="18"/>
              </w:rPr>
              <w:t>碱基数</w:t>
            </w:r>
          </w:p>
        </w:tc>
        <w:tc>
          <w:tcPr>
            <w:tcW w:w="1507" w:type="dxa"/>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11916054000</w:t>
            </w:r>
          </w:p>
        </w:tc>
        <w:tc>
          <w:tcPr>
            <w:tcW w:w="1616" w:type="dxa"/>
            <w:gridSpan w:val="2"/>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11724463225</w:t>
            </w:r>
          </w:p>
        </w:tc>
        <w:tc>
          <w:tcPr>
            <w:tcW w:w="1616" w:type="dxa"/>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15875311200</w:t>
            </w:r>
          </w:p>
        </w:tc>
        <w:tc>
          <w:tcPr>
            <w:tcW w:w="1617" w:type="dxa"/>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15589624646</w:t>
            </w:r>
          </w:p>
        </w:tc>
      </w:tr>
      <w:tr>
        <w:tblPrEx>
          <w:tblLayout w:type="fixed"/>
          <w:tblCellMar>
            <w:top w:w="0" w:type="dxa"/>
            <w:left w:w="108" w:type="dxa"/>
            <w:bottom w:w="0" w:type="dxa"/>
            <w:right w:w="108" w:type="dxa"/>
          </w:tblCellMar>
        </w:tblPrEx>
        <w:trPr>
          <w:trHeight w:val="624" w:hRule="atLeast"/>
        </w:trPr>
        <w:tc>
          <w:tcPr>
            <w:tcW w:w="1950" w:type="dxa"/>
            <w:shd w:val="clear" w:color="auto" w:fill="F1F1F1" w:themeFill="background1" w:themeFillShade="F2"/>
            <w:vAlign w:val="center"/>
          </w:tcPr>
          <w:p>
            <w:pPr>
              <w:widowControl/>
              <w:jc w:val="center"/>
              <w:rPr>
                <w:rFonts w:ascii="微软雅黑" w:hAnsi="微软雅黑" w:eastAsia="微软雅黑" w:cs="宋体"/>
                <w:b w:val="0"/>
                <w:bCs/>
                <w:kern w:val="0"/>
                <w:sz w:val="20"/>
                <w:szCs w:val="18"/>
              </w:rPr>
            </w:pPr>
            <w:r>
              <w:rPr>
                <w:rFonts w:hint="eastAsia" w:ascii="微软雅黑" w:hAnsi="微软雅黑" w:eastAsia="微软雅黑" w:cs="宋体"/>
                <w:b w:val="0"/>
                <w:bCs/>
                <w:kern w:val="0"/>
                <w:sz w:val="20"/>
                <w:szCs w:val="18"/>
              </w:rPr>
              <w:t>Read</w:t>
            </w:r>
            <w:r>
              <w:rPr>
                <w:rFonts w:ascii="微软雅黑" w:hAnsi="微软雅黑" w:eastAsia="微软雅黑" w:cs="宋体"/>
                <w:b w:val="0"/>
                <w:bCs/>
                <w:kern w:val="0"/>
                <w:sz w:val="20"/>
                <w:szCs w:val="18"/>
              </w:rPr>
              <w:t>2</w:t>
            </w:r>
            <w:r>
              <w:rPr>
                <w:rFonts w:hint="eastAsia" w:ascii="微软雅黑" w:hAnsi="微软雅黑" w:eastAsia="微软雅黑" w:cs="宋体"/>
                <w:b w:val="0"/>
                <w:bCs/>
                <w:kern w:val="0"/>
                <w:sz w:val="20"/>
                <w:szCs w:val="18"/>
              </w:rPr>
              <w:t>碱基数</w:t>
            </w:r>
          </w:p>
        </w:tc>
        <w:tc>
          <w:tcPr>
            <w:tcW w:w="1507" w:type="dxa"/>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11916054000</w:t>
            </w:r>
          </w:p>
        </w:tc>
        <w:tc>
          <w:tcPr>
            <w:tcW w:w="1616" w:type="dxa"/>
            <w:gridSpan w:val="2"/>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11719804509</w:t>
            </w:r>
          </w:p>
        </w:tc>
        <w:tc>
          <w:tcPr>
            <w:tcW w:w="1616" w:type="dxa"/>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15875311200</w:t>
            </w:r>
          </w:p>
        </w:tc>
        <w:tc>
          <w:tcPr>
            <w:tcW w:w="1617" w:type="dxa"/>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15591005841</w:t>
            </w:r>
          </w:p>
        </w:tc>
      </w:tr>
      <w:tr>
        <w:tblPrEx>
          <w:tblLayout w:type="fixed"/>
          <w:tblCellMar>
            <w:top w:w="0" w:type="dxa"/>
            <w:left w:w="108" w:type="dxa"/>
            <w:bottom w:w="0" w:type="dxa"/>
            <w:right w:w="108" w:type="dxa"/>
          </w:tblCellMar>
        </w:tblPrEx>
        <w:trPr>
          <w:trHeight w:val="624" w:hRule="atLeast"/>
        </w:trPr>
        <w:tc>
          <w:tcPr>
            <w:tcW w:w="1950" w:type="dxa"/>
            <w:vAlign w:val="center"/>
          </w:tcPr>
          <w:p>
            <w:pPr>
              <w:widowControl/>
              <w:jc w:val="center"/>
              <w:rPr>
                <w:rFonts w:ascii="微软雅黑" w:hAnsi="微软雅黑" w:eastAsia="微软雅黑" w:cs="宋体"/>
                <w:b w:val="0"/>
                <w:bCs/>
                <w:kern w:val="0"/>
                <w:sz w:val="20"/>
                <w:szCs w:val="18"/>
              </w:rPr>
            </w:pPr>
            <w:r>
              <w:rPr>
                <w:rFonts w:hint="eastAsia" w:ascii="微软雅黑" w:hAnsi="微软雅黑" w:eastAsia="微软雅黑" w:cs="宋体"/>
                <w:b w:val="0"/>
                <w:bCs/>
                <w:kern w:val="0"/>
                <w:sz w:val="20"/>
                <w:szCs w:val="18"/>
              </w:rPr>
              <w:t>Read</w:t>
            </w:r>
            <w:r>
              <w:rPr>
                <w:rFonts w:ascii="微软雅黑" w:hAnsi="微软雅黑" w:eastAsia="微软雅黑" w:cs="宋体"/>
                <w:b w:val="0"/>
                <w:bCs/>
                <w:kern w:val="0"/>
                <w:sz w:val="20"/>
                <w:szCs w:val="18"/>
              </w:rPr>
              <w:t>1 Q30</w:t>
            </w:r>
          </w:p>
        </w:tc>
        <w:tc>
          <w:tcPr>
            <w:tcW w:w="1507" w:type="dxa"/>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97.01%</w:t>
            </w:r>
          </w:p>
        </w:tc>
        <w:tc>
          <w:tcPr>
            <w:tcW w:w="1616" w:type="dxa"/>
            <w:gridSpan w:val="2"/>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97.03%</w:t>
            </w:r>
          </w:p>
        </w:tc>
        <w:tc>
          <w:tcPr>
            <w:tcW w:w="1616" w:type="dxa"/>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96.69%</w:t>
            </w:r>
          </w:p>
        </w:tc>
        <w:tc>
          <w:tcPr>
            <w:tcW w:w="1617" w:type="dxa"/>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96.72%</w:t>
            </w:r>
          </w:p>
        </w:tc>
      </w:tr>
      <w:tr>
        <w:tblPrEx>
          <w:tblLayout w:type="fixed"/>
          <w:tblCellMar>
            <w:top w:w="0" w:type="dxa"/>
            <w:left w:w="108" w:type="dxa"/>
            <w:bottom w:w="0" w:type="dxa"/>
            <w:right w:w="108" w:type="dxa"/>
          </w:tblCellMar>
        </w:tblPrEx>
        <w:trPr>
          <w:trHeight w:val="624" w:hRule="atLeast"/>
        </w:trPr>
        <w:tc>
          <w:tcPr>
            <w:tcW w:w="1950" w:type="dxa"/>
            <w:shd w:val="clear" w:color="auto" w:fill="F1F1F1" w:themeFill="background1" w:themeFillShade="F2"/>
            <w:vAlign w:val="center"/>
          </w:tcPr>
          <w:p>
            <w:pPr>
              <w:widowControl/>
              <w:jc w:val="center"/>
              <w:rPr>
                <w:rFonts w:ascii="微软雅黑" w:hAnsi="微软雅黑" w:eastAsia="微软雅黑" w:cs="宋体"/>
                <w:b w:val="0"/>
                <w:bCs/>
                <w:kern w:val="0"/>
                <w:sz w:val="20"/>
                <w:szCs w:val="18"/>
              </w:rPr>
            </w:pPr>
            <w:r>
              <w:rPr>
                <w:rFonts w:hint="eastAsia" w:ascii="微软雅黑" w:hAnsi="微软雅黑" w:eastAsia="微软雅黑" w:cs="宋体"/>
                <w:b w:val="0"/>
                <w:bCs/>
                <w:kern w:val="0"/>
                <w:sz w:val="20"/>
                <w:szCs w:val="18"/>
              </w:rPr>
              <w:t>Read</w:t>
            </w:r>
            <w:r>
              <w:rPr>
                <w:rFonts w:ascii="微软雅黑" w:hAnsi="微软雅黑" w:eastAsia="微软雅黑" w:cs="宋体"/>
                <w:b w:val="0"/>
                <w:bCs/>
                <w:kern w:val="0"/>
                <w:sz w:val="20"/>
                <w:szCs w:val="18"/>
              </w:rPr>
              <w:t>2 Q30</w:t>
            </w:r>
          </w:p>
        </w:tc>
        <w:tc>
          <w:tcPr>
            <w:tcW w:w="1507" w:type="dxa"/>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97.10%</w:t>
            </w:r>
          </w:p>
        </w:tc>
        <w:tc>
          <w:tcPr>
            <w:tcW w:w="1616" w:type="dxa"/>
            <w:gridSpan w:val="2"/>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97.10%</w:t>
            </w:r>
          </w:p>
        </w:tc>
        <w:tc>
          <w:tcPr>
            <w:tcW w:w="1616" w:type="dxa"/>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96.80%</w:t>
            </w:r>
          </w:p>
        </w:tc>
        <w:tc>
          <w:tcPr>
            <w:tcW w:w="1617" w:type="dxa"/>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96.80%</w:t>
            </w:r>
          </w:p>
        </w:tc>
      </w:tr>
      <w:tr>
        <w:tblPrEx>
          <w:tblLayout w:type="fixed"/>
          <w:tblCellMar>
            <w:top w:w="0" w:type="dxa"/>
            <w:left w:w="108" w:type="dxa"/>
            <w:bottom w:w="0" w:type="dxa"/>
            <w:right w:w="108" w:type="dxa"/>
          </w:tblCellMar>
        </w:tblPrEx>
        <w:trPr>
          <w:trHeight w:val="624" w:hRule="atLeast"/>
        </w:trPr>
        <w:tc>
          <w:tcPr>
            <w:tcW w:w="1950" w:type="dxa"/>
            <w:vAlign w:val="center"/>
          </w:tcPr>
          <w:p>
            <w:pPr>
              <w:widowControl/>
              <w:jc w:val="center"/>
              <w:rPr>
                <w:rFonts w:ascii="微软雅黑" w:hAnsi="微软雅黑" w:eastAsia="微软雅黑" w:cs="宋体"/>
                <w:b w:val="0"/>
                <w:bCs/>
                <w:kern w:val="0"/>
                <w:sz w:val="20"/>
                <w:szCs w:val="18"/>
              </w:rPr>
            </w:pPr>
            <w:r>
              <w:rPr>
                <w:rFonts w:hint="eastAsia" w:ascii="微软雅黑" w:hAnsi="微软雅黑" w:eastAsia="微软雅黑" w:cs="宋体"/>
                <w:b w:val="0"/>
                <w:bCs/>
                <w:kern w:val="0"/>
                <w:sz w:val="20"/>
                <w:szCs w:val="18"/>
              </w:rPr>
              <w:t>Read</w:t>
            </w:r>
            <w:r>
              <w:rPr>
                <w:rFonts w:ascii="微软雅黑" w:hAnsi="微软雅黑" w:eastAsia="微软雅黑" w:cs="宋体"/>
                <w:b w:val="0"/>
                <w:bCs/>
                <w:kern w:val="0"/>
                <w:sz w:val="20"/>
                <w:szCs w:val="18"/>
              </w:rPr>
              <w:t>1 GC</w:t>
            </w:r>
            <w:r>
              <w:rPr>
                <w:rFonts w:hint="eastAsia" w:ascii="微软雅黑" w:hAnsi="微软雅黑" w:eastAsia="微软雅黑" w:cs="宋体"/>
                <w:b w:val="0"/>
                <w:bCs/>
                <w:kern w:val="0"/>
                <w:sz w:val="20"/>
                <w:szCs w:val="18"/>
              </w:rPr>
              <w:t>含量</w:t>
            </w:r>
          </w:p>
        </w:tc>
        <w:tc>
          <w:tcPr>
            <w:tcW w:w="1507" w:type="dxa"/>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55.23%</w:t>
            </w:r>
          </w:p>
        </w:tc>
        <w:tc>
          <w:tcPr>
            <w:tcW w:w="1616" w:type="dxa"/>
            <w:gridSpan w:val="2"/>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55.30%</w:t>
            </w:r>
          </w:p>
        </w:tc>
        <w:tc>
          <w:tcPr>
            <w:tcW w:w="1616" w:type="dxa"/>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54.87%</w:t>
            </w:r>
          </w:p>
        </w:tc>
        <w:tc>
          <w:tcPr>
            <w:tcW w:w="1617" w:type="dxa"/>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54.93%</w:t>
            </w:r>
          </w:p>
        </w:tc>
      </w:tr>
      <w:tr>
        <w:tblPrEx>
          <w:tblLayout w:type="fixed"/>
          <w:tblCellMar>
            <w:top w:w="0" w:type="dxa"/>
            <w:left w:w="108" w:type="dxa"/>
            <w:bottom w:w="0" w:type="dxa"/>
            <w:right w:w="108" w:type="dxa"/>
          </w:tblCellMar>
        </w:tblPrEx>
        <w:trPr>
          <w:trHeight w:val="624" w:hRule="atLeast"/>
        </w:trPr>
        <w:tc>
          <w:tcPr>
            <w:tcW w:w="1950" w:type="dxa"/>
            <w:shd w:val="clear" w:color="auto" w:fill="F1F1F1" w:themeFill="background1" w:themeFillShade="F2"/>
            <w:vAlign w:val="center"/>
          </w:tcPr>
          <w:p>
            <w:pPr>
              <w:widowControl/>
              <w:jc w:val="center"/>
              <w:rPr>
                <w:rFonts w:ascii="微软雅黑" w:hAnsi="微软雅黑" w:eastAsia="微软雅黑" w:cs="宋体"/>
                <w:b w:val="0"/>
                <w:bCs/>
                <w:kern w:val="0"/>
                <w:sz w:val="20"/>
                <w:szCs w:val="18"/>
              </w:rPr>
            </w:pPr>
            <w:r>
              <w:rPr>
                <w:rFonts w:hint="eastAsia" w:ascii="微软雅黑" w:hAnsi="微软雅黑" w:eastAsia="微软雅黑" w:cs="宋体"/>
                <w:b w:val="0"/>
                <w:bCs/>
                <w:kern w:val="0"/>
                <w:sz w:val="20"/>
                <w:szCs w:val="18"/>
              </w:rPr>
              <w:t>Read</w:t>
            </w:r>
            <w:r>
              <w:rPr>
                <w:rFonts w:ascii="微软雅黑" w:hAnsi="微软雅黑" w:eastAsia="微软雅黑" w:cs="宋体"/>
                <w:b w:val="0"/>
                <w:bCs/>
                <w:kern w:val="0"/>
                <w:sz w:val="20"/>
                <w:szCs w:val="18"/>
              </w:rPr>
              <w:t>2 GC</w:t>
            </w:r>
            <w:r>
              <w:rPr>
                <w:rFonts w:hint="eastAsia" w:ascii="微软雅黑" w:hAnsi="微软雅黑" w:eastAsia="微软雅黑" w:cs="宋体"/>
                <w:b w:val="0"/>
                <w:bCs/>
                <w:kern w:val="0"/>
                <w:sz w:val="20"/>
                <w:szCs w:val="18"/>
              </w:rPr>
              <w:t>含量</w:t>
            </w:r>
          </w:p>
        </w:tc>
        <w:tc>
          <w:tcPr>
            <w:tcW w:w="1507" w:type="dxa"/>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55.23%</w:t>
            </w:r>
          </w:p>
        </w:tc>
        <w:tc>
          <w:tcPr>
            <w:tcW w:w="1616" w:type="dxa"/>
            <w:gridSpan w:val="2"/>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55.30%</w:t>
            </w:r>
          </w:p>
        </w:tc>
        <w:tc>
          <w:tcPr>
            <w:tcW w:w="1616" w:type="dxa"/>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54.87%</w:t>
            </w:r>
          </w:p>
        </w:tc>
        <w:tc>
          <w:tcPr>
            <w:tcW w:w="1617" w:type="dxa"/>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54.93%</w:t>
            </w:r>
          </w:p>
        </w:tc>
      </w:tr>
      <w:tr>
        <w:tblPrEx>
          <w:tblLayout w:type="fixed"/>
          <w:tblCellMar>
            <w:top w:w="0" w:type="dxa"/>
            <w:left w:w="108" w:type="dxa"/>
            <w:bottom w:w="0" w:type="dxa"/>
            <w:right w:w="108" w:type="dxa"/>
          </w:tblCellMar>
        </w:tblPrEx>
        <w:trPr>
          <w:trHeight w:val="624" w:hRule="atLeast"/>
        </w:trPr>
        <w:tc>
          <w:tcPr>
            <w:tcW w:w="1950" w:type="dxa"/>
            <w:vAlign w:val="center"/>
          </w:tcPr>
          <w:p>
            <w:pPr>
              <w:widowControl/>
              <w:jc w:val="center"/>
              <w:rPr>
                <w:rFonts w:ascii="微软雅黑" w:hAnsi="微软雅黑" w:eastAsia="微软雅黑" w:cs="宋体"/>
                <w:b w:val="0"/>
                <w:bCs/>
                <w:kern w:val="0"/>
                <w:sz w:val="20"/>
                <w:szCs w:val="18"/>
              </w:rPr>
            </w:pPr>
            <w:r>
              <w:rPr>
                <w:rFonts w:hint="eastAsia" w:ascii="微软雅黑" w:hAnsi="微软雅黑" w:eastAsia="微软雅黑" w:cs="宋体"/>
                <w:b w:val="0"/>
                <w:bCs/>
                <w:kern w:val="0"/>
                <w:sz w:val="20"/>
                <w:szCs w:val="18"/>
              </w:rPr>
              <w:t>比对率</w:t>
            </w:r>
          </w:p>
        </w:tc>
        <w:tc>
          <w:tcPr>
            <w:tcW w:w="3123" w:type="dxa"/>
            <w:gridSpan w:val="3"/>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98.18%</w:t>
            </w:r>
          </w:p>
        </w:tc>
        <w:tc>
          <w:tcPr>
            <w:tcW w:w="3233" w:type="dxa"/>
            <w:gridSpan w:val="2"/>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98.36%</w:t>
            </w:r>
          </w:p>
        </w:tc>
      </w:tr>
      <w:tr>
        <w:tblPrEx>
          <w:tblLayout w:type="fixed"/>
          <w:tblCellMar>
            <w:top w:w="0" w:type="dxa"/>
            <w:left w:w="108" w:type="dxa"/>
            <w:bottom w:w="0" w:type="dxa"/>
            <w:right w:w="108" w:type="dxa"/>
          </w:tblCellMar>
        </w:tblPrEx>
        <w:trPr>
          <w:trHeight w:val="624" w:hRule="atLeast"/>
        </w:trPr>
        <w:tc>
          <w:tcPr>
            <w:tcW w:w="1950" w:type="dxa"/>
            <w:shd w:val="clear" w:color="auto" w:fill="F1F1F1" w:themeFill="background1" w:themeFillShade="F2"/>
            <w:vAlign w:val="center"/>
          </w:tcPr>
          <w:p>
            <w:pPr>
              <w:widowControl/>
              <w:jc w:val="center"/>
              <w:rPr>
                <w:rFonts w:ascii="微软雅黑" w:hAnsi="微软雅黑" w:eastAsia="微软雅黑" w:cs="宋体"/>
                <w:b w:val="0"/>
                <w:bCs/>
                <w:kern w:val="0"/>
                <w:sz w:val="20"/>
                <w:szCs w:val="18"/>
              </w:rPr>
            </w:pPr>
            <w:r>
              <w:rPr>
                <w:rFonts w:ascii="微软雅黑" w:hAnsi="微软雅黑" w:eastAsia="微软雅黑" w:cs="宋体"/>
                <w:b w:val="0"/>
                <w:bCs/>
                <w:kern w:val="0"/>
                <w:sz w:val="20"/>
                <w:szCs w:val="18"/>
              </w:rPr>
              <w:t>D</w:t>
            </w:r>
            <w:r>
              <w:rPr>
                <w:rFonts w:hint="eastAsia" w:ascii="微软雅黑" w:hAnsi="微软雅黑" w:eastAsia="微软雅黑" w:cs="宋体"/>
                <w:b w:val="0"/>
                <w:bCs/>
                <w:kern w:val="0"/>
                <w:sz w:val="20"/>
                <w:szCs w:val="18"/>
              </w:rPr>
              <w:t>uplicate</w:t>
            </w:r>
            <w:r>
              <w:rPr>
                <w:rFonts w:ascii="微软雅黑" w:hAnsi="微软雅黑" w:eastAsia="微软雅黑" w:cs="宋体"/>
                <w:b w:val="0"/>
                <w:bCs/>
                <w:kern w:val="0"/>
                <w:sz w:val="20"/>
                <w:szCs w:val="18"/>
              </w:rPr>
              <w:t xml:space="preserve"> </w:t>
            </w:r>
            <w:r>
              <w:rPr>
                <w:rFonts w:hint="eastAsia" w:ascii="微软雅黑" w:hAnsi="微软雅黑" w:eastAsia="微软雅黑" w:cs="宋体"/>
                <w:b w:val="0"/>
                <w:bCs/>
                <w:kern w:val="0"/>
                <w:sz w:val="20"/>
                <w:szCs w:val="18"/>
              </w:rPr>
              <w:t>比例</w:t>
            </w:r>
          </w:p>
        </w:tc>
        <w:tc>
          <w:tcPr>
            <w:tcW w:w="3123" w:type="dxa"/>
            <w:gridSpan w:val="3"/>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23.05%</w:t>
            </w:r>
          </w:p>
        </w:tc>
        <w:tc>
          <w:tcPr>
            <w:tcW w:w="3233" w:type="dxa"/>
            <w:gridSpan w:val="2"/>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24.11%</w:t>
            </w:r>
          </w:p>
        </w:tc>
      </w:tr>
      <w:tr>
        <w:tblPrEx>
          <w:tblLayout w:type="fixed"/>
          <w:tblCellMar>
            <w:top w:w="0" w:type="dxa"/>
            <w:left w:w="108" w:type="dxa"/>
            <w:bottom w:w="0" w:type="dxa"/>
            <w:right w:w="108" w:type="dxa"/>
          </w:tblCellMar>
        </w:tblPrEx>
        <w:trPr>
          <w:trHeight w:val="624" w:hRule="atLeast"/>
        </w:trPr>
        <w:tc>
          <w:tcPr>
            <w:tcW w:w="1950" w:type="dxa"/>
            <w:vAlign w:val="center"/>
          </w:tcPr>
          <w:p>
            <w:pPr>
              <w:widowControl/>
              <w:jc w:val="center"/>
              <w:rPr>
                <w:rFonts w:ascii="微软雅黑" w:hAnsi="微软雅黑" w:eastAsia="微软雅黑" w:cs="宋体"/>
                <w:b w:val="0"/>
                <w:bCs/>
                <w:kern w:val="0"/>
                <w:sz w:val="20"/>
                <w:szCs w:val="18"/>
              </w:rPr>
            </w:pPr>
            <w:r>
              <w:rPr>
                <w:rFonts w:hint="eastAsia" w:ascii="微软雅黑" w:hAnsi="微软雅黑" w:eastAsia="微软雅黑" w:cs="宋体"/>
                <w:b w:val="0"/>
                <w:bCs/>
                <w:kern w:val="0"/>
                <w:sz w:val="20"/>
                <w:szCs w:val="18"/>
              </w:rPr>
              <w:t>捕获效率</w:t>
            </w:r>
          </w:p>
        </w:tc>
        <w:tc>
          <w:tcPr>
            <w:tcW w:w="3123" w:type="dxa"/>
            <w:gridSpan w:val="3"/>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71.71%</w:t>
            </w:r>
          </w:p>
        </w:tc>
        <w:tc>
          <w:tcPr>
            <w:tcW w:w="3233" w:type="dxa"/>
            <w:gridSpan w:val="2"/>
            <w:vAlign w:val="center"/>
          </w:tcPr>
          <w:p>
            <w:pPr>
              <w:widowControl/>
              <w:jc w:val="center"/>
              <w:rPr>
                <w:rFonts w:ascii="微软雅黑" w:hAnsi="微软雅黑" w:eastAsia="微软雅黑" w:cs="宋体"/>
                <w:kern w:val="0"/>
                <w:sz w:val="20"/>
                <w:szCs w:val="18"/>
              </w:rPr>
            </w:pPr>
            <w:r>
              <w:rPr>
                <w:rFonts w:ascii="微软雅黑" w:hAnsi="微软雅黑" w:eastAsia="微软雅黑" w:cs="宋体"/>
                <w:kern w:val="0"/>
                <w:sz w:val="20"/>
                <w:szCs w:val="18"/>
              </w:rPr>
              <w:t>73.57%</w:t>
            </w:r>
          </w:p>
        </w:tc>
      </w:tr>
      <w:tr>
        <w:tblPrEx>
          <w:tblLayout w:type="fixed"/>
          <w:tblCellMar>
            <w:top w:w="0" w:type="dxa"/>
            <w:left w:w="108" w:type="dxa"/>
            <w:bottom w:w="0" w:type="dxa"/>
            <w:right w:w="108" w:type="dxa"/>
          </w:tblCellMar>
        </w:tblPrEx>
        <w:trPr>
          <w:trHeight w:val="624" w:hRule="atLeast"/>
        </w:trPr>
        <w:tc>
          <w:tcPr>
            <w:tcW w:w="1950" w:type="dxa"/>
            <w:shd w:val="clear" w:color="auto" w:fill="F1F1F1" w:themeFill="background1" w:themeFillShade="F2"/>
            <w:vAlign w:val="center"/>
          </w:tcPr>
          <w:p>
            <w:pPr>
              <w:widowControl/>
              <w:jc w:val="center"/>
              <w:rPr>
                <w:rFonts w:ascii="微软雅黑" w:hAnsi="微软雅黑" w:eastAsia="微软雅黑" w:cs="宋体"/>
                <w:b w:val="0"/>
                <w:bCs/>
                <w:kern w:val="0"/>
                <w:sz w:val="20"/>
                <w:szCs w:val="18"/>
              </w:rPr>
            </w:pPr>
            <w:r>
              <w:rPr>
                <w:rFonts w:hint="eastAsia" w:ascii="微软雅黑" w:hAnsi="微软雅黑" w:eastAsia="微软雅黑" w:cs="宋体"/>
                <w:b w:val="0"/>
                <w:bCs/>
                <w:kern w:val="0"/>
                <w:sz w:val="20"/>
                <w:szCs w:val="18"/>
              </w:rPr>
              <w:t>目标区域平均深度</w:t>
            </w:r>
          </w:p>
        </w:tc>
        <w:tc>
          <w:tcPr>
            <w:tcW w:w="3123" w:type="dxa"/>
            <w:gridSpan w:val="3"/>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138.33</w:t>
            </w:r>
          </w:p>
        </w:tc>
        <w:tc>
          <w:tcPr>
            <w:tcW w:w="3233" w:type="dxa"/>
            <w:gridSpan w:val="2"/>
            <w:shd w:val="clear" w:color="auto" w:fill="F1F1F1" w:themeFill="background1" w:themeFillShade="F2"/>
            <w:vAlign w:val="center"/>
          </w:tcPr>
          <w:p>
            <w:pPr>
              <w:widowControl/>
              <w:jc w:val="center"/>
              <w:rPr>
                <w:rFonts w:ascii="微软雅黑" w:hAnsi="微软雅黑" w:eastAsia="微软雅黑" w:cs="宋体"/>
                <w:bCs/>
                <w:kern w:val="0"/>
                <w:sz w:val="20"/>
                <w:szCs w:val="18"/>
              </w:rPr>
            </w:pPr>
            <w:r>
              <w:rPr>
                <w:rFonts w:ascii="微软雅黑" w:hAnsi="微软雅黑" w:eastAsia="微软雅黑" w:cs="宋体"/>
                <w:bCs/>
                <w:kern w:val="0"/>
                <w:sz w:val="20"/>
                <w:szCs w:val="18"/>
              </w:rPr>
              <w:t>186.02</w:t>
            </w:r>
          </w:p>
        </w:tc>
      </w:tr>
    </w:tbl>
    <w:p>
      <w:pPr>
        <w:widowControl/>
        <w:spacing w:line="400" w:lineRule="exact"/>
        <w:jc w:val="left"/>
        <w:rPr>
          <w:rFonts w:ascii="微软雅黑" w:hAnsi="微软雅黑" w:eastAsia="微软雅黑" w:cs="MicrosoftYaHei"/>
          <w:color w:val="000000" w:themeColor="text1"/>
          <w:kern w:val="0"/>
          <w:sz w:val="20"/>
          <w:szCs w:val="20"/>
          <w14:textFill>
            <w14:solidFill>
              <w14:schemeClr w14:val="tx1"/>
            </w14:solidFill>
          </w14:textFill>
        </w:rPr>
      </w:pPr>
    </w:p>
    <w:p>
      <w:pPr>
        <w:widowControl/>
        <w:jc w:val="left"/>
        <w:rPr>
          <w:rFonts w:ascii="微软雅黑" w:hAnsi="微软雅黑" w:eastAsia="微软雅黑" w:cs="MicrosoftYaHei"/>
          <w:color w:val="000000" w:themeColor="text1"/>
          <w:kern w:val="0"/>
          <w:sz w:val="20"/>
          <w:szCs w:val="20"/>
          <w14:textFill>
            <w14:solidFill>
              <w14:schemeClr w14:val="tx1"/>
            </w14:solidFill>
          </w14:textFill>
        </w:rPr>
      </w:pPr>
      <w:r>
        <w:rPr>
          <w:rFonts w:ascii="微软雅黑" w:hAnsi="微软雅黑" w:eastAsia="微软雅黑" w:cs="MicrosoftYaHei"/>
          <w:color w:val="000000" w:themeColor="text1"/>
          <w:kern w:val="0"/>
          <w:sz w:val="20"/>
          <w:szCs w:val="20"/>
          <w14:textFill>
            <w14:solidFill>
              <w14:schemeClr w14:val="tx1"/>
            </w14:solidFill>
          </w14:textFill>
        </w:rPr>
        <w:br w:type="page"/>
      </w:r>
    </w:p>
    <w:p>
      <w:pPr>
        <w:widowControl/>
        <w:jc w:val="left"/>
        <w:outlineLvl w:val="1"/>
        <w:rPr>
          <w:rFonts w:ascii="微软雅黑" w:hAnsi="微软雅黑" w:eastAsia="微软雅黑" w:cs="MicrosoftYaHei"/>
          <w:b/>
          <w:color w:val="000000" w:themeColor="text1"/>
          <w:kern w:val="0"/>
          <w:sz w:val="28"/>
          <w:szCs w:val="24"/>
          <w14:textFill>
            <w14:solidFill>
              <w14:schemeClr w14:val="tx1"/>
            </w14:solidFill>
          </w14:textFill>
        </w:rPr>
      </w:pPr>
      <w:bookmarkStart w:id="13" w:name="_Toc512352441"/>
      <w:r>
        <w:rPr>
          <w:rFonts w:hint="eastAsia" w:ascii="微软雅黑" w:hAnsi="微软雅黑" w:eastAsia="微软雅黑" w:cs="MicrosoftYaHei"/>
          <w:b/>
          <w:color w:val="000000" w:themeColor="text1"/>
          <w:kern w:val="0"/>
          <w:sz w:val="28"/>
          <w:szCs w:val="24"/>
          <w14:textFill>
            <w14:solidFill>
              <w14:schemeClr w14:val="tx1"/>
            </w14:solidFill>
          </w14:textFill>
        </w:rPr>
        <w:t>癌症相关的基因背景介绍</w:t>
      </w:r>
      <w:bookmarkEnd w:id="13"/>
    </w:p>
    <w:p>
      <w:pPr>
        <w:widowControl/>
        <w:jc w:val="center"/>
        <w:rPr>
          <w:rFonts w:ascii="微软雅黑" w:hAnsi="微软雅黑" w:eastAsia="微软雅黑" w:cs="MicrosoftYaHei"/>
          <w:b/>
          <w:color w:val="000000" w:themeColor="text1"/>
          <w:kern w:val="0"/>
          <w:sz w:val="24"/>
          <w:szCs w:val="24"/>
          <w14:textFill>
            <w14:solidFill>
              <w14:schemeClr w14:val="tx1"/>
            </w14:solidFill>
          </w14:textFill>
        </w:rPr>
      </w:pPr>
      <w:r>
        <w:rPr>
          <w:rFonts w:ascii="微软雅黑" w:hAnsi="微软雅黑" w:eastAsia="微软雅黑" w:cs="MicrosoftYaHei"/>
          <w:b/>
          <w:color w:val="000000" w:themeColor="text1"/>
          <w:kern w:val="0"/>
          <w:sz w:val="24"/>
          <w:szCs w:val="24"/>
          <w14:textFill>
            <w14:solidFill>
              <w14:schemeClr w14:val="tx1"/>
            </w14:solidFill>
          </w14:textFill>
        </w:rPr>
        <w:t>BCR-ABL1</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BCR-ABL1是个基因融合的产物，通常由 t(9;22) (q34;q11)易位形成，称为费城染色体（Philadelphia chromosome）</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。少数情况下会有 t(9;22)易位缺失，其它易位则形成 BCR-ABL1 基因融合</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 xml:space="preserve">有时候也有多个染色体易位的情况。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BCR-ABL1基因融合存在于所有慢性骨髓性白血病，包括小儿急性B淋巴细胞白血病（3-5%）、成人急性B淋巴细胞白血病(25-30%)、急性骨髓性白血病（少见）和T细胞急性淋巴性白血病（少见</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 xml:space="preserve">。BCR-ABL1也可见于其它癌症。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 xml:space="preserve">现已针对存在BCR-ABL1基因融合的肿瘤开发出了ABL1激酶的抑制剂（如格列卫，imatinib）作为靶向治疗恶性肿瘤的方案。 </w:t>
      </w:r>
    </w:p>
    <w:p>
      <w:pPr>
        <w:spacing w:after="183" w:line="259" w:lineRule="auto"/>
        <w:ind w:right="124"/>
        <w:jc w:val="center"/>
      </w:pPr>
      <w:r>
        <w:drawing>
          <wp:inline distT="0" distB="0" distL="0" distR="0">
            <wp:extent cx="3600450" cy="2457450"/>
            <wp:effectExtent l="0" t="0" r="0" b="0"/>
            <wp:docPr id="14432" name="Picture 14432"/>
            <wp:cNvGraphicFramePr/>
            <a:graphic xmlns:a="http://schemas.openxmlformats.org/drawingml/2006/main">
              <a:graphicData uri="http://schemas.openxmlformats.org/drawingml/2006/picture">
                <pic:pic xmlns:pic="http://schemas.openxmlformats.org/drawingml/2006/picture">
                  <pic:nvPicPr>
                    <pic:cNvPr id="14432" name="Picture 14432"/>
                    <pic:cNvPicPr/>
                  </pic:nvPicPr>
                  <pic:blipFill>
                    <a:blip r:embed="rId11"/>
                    <a:stretch>
                      <a:fillRect/>
                    </a:stretch>
                  </pic:blipFill>
                  <pic:spPr>
                    <a:xfrm>
                      <a:off x="0" y="0"/>
                      <a:ext cx="3600450" cy="2457450"/>
                    </a:xfrm>
                    <a:prstGeom prst="rect">
                      <a:avLst/>
                    </a:prstGeom>
                  </pic:spPr>
                </pic:pic>
              </a:graphicData>
            </a:graphic>
          </wp:inline>
        </w:drawing>
      </w:r>
      <w:r>
        <w:rPr>
          <w:rFonts w:ascii="Arial" w:hAnsi="Arial" w:eastAsia="Arial" w:cs="Arial"/>
          <w:sz w:val="22"/>
        </w:rPr>
        <w:t xml:space="preserve"> </w:t>
      </w:r>
    </w:p>
    <w:p>
      <w:pPr>
        <w:spacing w:after="362" w:line="265" w:lineRule="auto"/>
        <w:ind w:left="10" w:right="967" w:hanging="10"/>
        <w:jc w:val="center"/>
        <w:rPr>
          <w:rFonts w:ascii="微软雅黑" w:hAnsi="微软雅黑" w:eastAsia="微软雅黑"/>
          <w:sz w:val="18"/>
          <w:szCs w:val="18"/>
        </w:rPr>
      </w:pPr>
      <w:r>
        <w:rPr>
          <w:rFonts w:hint="eastAsia" w:ascii="微软雅黑" w:hAnsi="微软雅黑" w:eastAsia="微软雅黑" w:cs="微软雅黑"/>
          <w:sz w:val="18"/>
          <w:szCs w:val="18"/>
        </w:rPr>
        <w:t>（</w:t>
      </w:r>
      <w:r>
        <w:rPr>
          <w:rFonts w:ascii="微软雅黑" w:hAnsi="微软雅黑" w:eastAsia="微软雅黑" w:cs="微软雅黑"/>
          <w:sz w:val="18"/>
          <w:szCs w:val="18"/>
        </w:rPr>
        <w:t>图片来源：参考文献</w:t>
      </w:r>
      <w:r>
        <w:rPr>
          <w:rFonts w:ascii="微软雅黑" w:hAnsi="微软雅黑" w:eastAsia="微软雅黑" w:cs="微软雅黑"/>
          <w:sz w:val="18"/>
          <w:szCs w:val="18"/>
          <w:vertAlign w:val="superscript"/>
        </w:rPr>
        <w:t>3</w:t>
      </w:r>
      <w:r>
        <w:rPr>
          <w:rFonts w:hint="eastAsia" w:ascii="微软雅黑" w:hAnsi="微软雅黑" w:eastAsia="微软雅黑" w:cs="微软雅黑"/>
          <w:sz w:val="18"/>
          <w:szCs w:val="18"/>
        </w:rPr>
        <w:t>）</w:t>
      </w:r>
    </w:p>
    <w:p>
      <w:pPr>
        <w:spacing w:line="259" w:lineRule="auto"/>
        <w:ind w:left="-5" w:right="197" w:hanging="10"/>
      </w:pPr>
      <w:r>
        <w:rPr>
          <w:rFonts w:ascii="微软雅黑" w:hAnsi="微软雅黑" w:eastAsia="微软雅黑" w:cs="微软雅黑"/>
        </w:rPr>
        <w:t>参考文献</w:t>
      </w:r>
    </w:p>
    <w:p>
      <w:pPr>
        <w:widowControl/>
        <w:numPr>
          <w:ilvl w:val="0"/>
          <w:numId w:val="3"/>
        </w:numPr>
        <w:spacing w:after="31" w:line="247" w:lineRule="auto"/>
        <w:ind w:right="202" w:hanging="420"/>
        <w:rPr>
          <w:rFonts w:ascii="Times New Roman" w:hAnsi="Times New Roman" w:cs="Times New Roman"/>
          <w:sz w:val="20"/>
        </w:rPr>
      </w:pPr>
      <w:r>
        <w:rPr>
          <w:rFonts w:ascii="Times New Roman" w:hAnsi="Times New Roman" w:cs="Times New Roman"/>
          <w:sz w:val="20"/>
        </w:rPr>
        <w:t xml:space="preserve">Faderl S, et al. The biology of chronic myeloid leukemia. N Engl J Med. 1999, 341(3):164-72. </w:t>
      </w:r>
    </w:p>
    <w:p>
      <w:pPr>
        <w:widowControl/>
        <w:numPr>
          <w:ilvl w:val="0"/>
          <w:numId w:val="3"/>
        </w:numPr>
        <w:spacing w:after="26" w:line="247" w:lineRule="auto"/>
        <w:ind w:right="202" w:hanging="420"/>
        <w:rPr>
          <w:rFonts w:ascii="Times New Roman" w:hAnsi="Times New Roman" w:cs="Times New Roman"/>
          <w:sz w:val="20"/>
        </w:rPr>
      </w:pPr>
      <w:r>
        <w:rPr>
          <w:rFonts w:ascii="Times New Roman" w:hAnsi="Times New Roman" w:cs="Times New Roman"/>
          <w:sz w:val="20"/>
        </w:rPr>
        <w:t xml:space="preserve">De Braekeleer E,et al. ABL1 fusion genes in hematological malignancies: a review. Eur J Haematol. 2011, 86(5):361-71.  </w:t>
      </w:r>
    </w:p>
    <w:p>
      <w:pPr>
        <w:widowControl/>
        <w:numPr>
          <w:ilvl w:val="0"/>
          <w:numId w:val="3"/>
        </w:numPr>
        <w:spacing w:after="3" w:line="247" w:lineRule="auto"/>
        <w:ind w:right="202" w:hanging="420"/>
        <w:rPr>
          <w:rFonts w:ascii="Times New Roman" w:hAnsi="Times New Roman" w:cs="Times New Roman"/>
          <w:sz w:val="20"/>
        </w:rPr>
      </w:pPr>
      <w:r>
        <w:rPr>
          <w:rFonts w:ascii="Times New Roman" w:hAnsi="Times New Roman" w:cs="Times New Roman"/>
          <w:sz w:val="20"/>
        </w:rPr>
        <w:t xml:space="preserve">Mitelman F, et al. The impact of translocations and gene fusions on cancer causation. Nat Rev Cancer. 2007, 7(4):233-45.  </w:t>
      </w:r>
    </w:p>
    <w:p>
      <w:pPr>
        <w:widowControl/>
        <w:jc w:val="left"/>
        <w:rPr>
          <w:rFonts w:ascii="Times New Roman" w:hAnsi="Times New Roman" w:cs="Times New Roman"/>
          <w:sz w:val="20"/>
        </w:rPr>
      </w:pPr>
      <w:r>
        <w:rPr>
          <w:rFonts w:ascii="Times New Roman" w:hAnsi="Times New Roman" w:cs="Times New Roman"/>
          <w:sz w:val="20"/>
        </w:rPr>
        <w:br w:type="page"/>
      </w:r>
    </w:p>
    <w:p>
      <w:pPr>
        <w:widowControl/>
        <w:jc w:val="center"/>
      </w:pPr>
      <w:r>
        <w:rPr>
          <w:rFonts w:ascii="微软雅黑" w:hAnsi="微软雅黑" w:eastAsia="微软雅黑" w:cs="MicrosoftYaHei"/>
          <w:b/>
          <w:color w:val="000000" w:themeColor="text1"/>
          <w:kern w:val="0"/>
          <w:sz w:val="24"/>
          <w:szCs w:val="24"/>
          <w14:textFill>
            <w14:solidFill>
              <w14:schemeClr w14:val="tx1"/>
            </w14:solidFill>
          </w14:textFill>
        </w:rPr>
        <w:t>AKT1</w:t>
      </w:r>
      <w:r>
        <w:rPr>
          <w:rFonts w:ascii="Arial" w:hAnsi="Arial" w:eastAsia="Arial" w:cs="Arial"/>
          <w:sz w:val="44"/>
        </w:rPr>
        <w:t xml:space="preserve">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AKT1是丝氨酸-苏氨酸蛋白激酶家族的一个成员，该家族也包括AKT2和AKT3</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AKT1 在多个细胞生理流程中起关键作用，如生长、增殖、存活和血管形成</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AKT1是磷脂酰肌醇3-激酶的下游媒介者（图1）。所有非小细胞肺癌患者（组织学观察为腺癌或鳞状细胞癌）中，1%携带有AKT1基因体细胞突变</w:t>
      </w:r>
      <w:r>
        <w:rPr>
          <w:rFonts w:ascii="微软雅黑" w:hAnsi="微软雅黑" w:eastAsia="微软雅黑" w:cs="MicrosoftYaHei"/>
          <w:kern w:val="0"/>
          <w:sz w:val="22"/>
          <w:szCs w:val="24"/>
          <w:vertAlign w:val="superscript"/>
        </w:rPr>
        <w:t>1</w:t>
      </w:r>
      <w:r>
        <w:rPr>
          <w:rFonts w:hint="eastAsia" w:ascii="微软雅黑" w:hAnsi="微软雅黑" w:eastAsia="微软雅黑" w:cs="MicrosoftYaHei"/>
          <w:kern w:val="0"/>
          <w:sz w:val="22"/>
          <w:szCs w:val="24"/>
          <w:vertAlign w:val="superscript"/>
        </w:rPr>
        <w:t>，</w:t>
      </w:r>
      <w:r>
        <w:rPr>
          <w:rFonts w:ascii="微软雅黑" w:hAnsi="微软雅黑" w:eastAsia="微软雅黑" w:cs="MicrosoftYaHei"/>
          <w:kern w:val="0"/>
          <w:sz w:val="22"/>
          <w:szCs w:val="24"/>
          <w:vertAlign w:val="superscript"/>
        </w:rPr>
        <w:t>2，3</w:t>
      </w:r>
      <w:r>
        <w:rPr>
          <w:rFonts w:ascii="微软雅黑" w:hAnsi="微软雅黑" w:eastAsia="微软雅黑" w:cs="MicrosoftYaHei"/>
          <w:kern w:val="0"/>
          <w:sz w:val="22"/>
          <w:szCs w:val="24"/>
        </w:rPr>
        <w:t>。临床前的体外和体内研究表明，细胞中存在 AKT1 基因突变将导致细胞发生转化</w:t>
      </w:r>
      <w:r>
        <w:rPr>
          <w:rFonts w:ascii="微软雅黑" w:hAnsi="微软雅黑" w:eastAsia="微软雅黑" w:cs="MicrosoftYaHei"/>
          <w:kern w:val="0"/>
          <w:sz w:val="22"/>
          <w:szCs w:val="24"/>
          <w:vertAlign w:val="superscript"/>
        </w:rPr>
        <w:t>4</w:t>
      </w:r>
      <w:r>
        <w:rPr>
          <w:rFonts w:ascii="微软雅黑" w:hAnsi="微软雅黑" w:eastAsia="微软雅黑" w:cs="MicrosoftYaHei"/>
          <w:kern w:val="0"/>
          <w:sz w:val="22"/>
          <w:szCs w:val="24"/>
        </w:rPr>
        <w:t xml:space="preserve">。存在AKT1基因突变的肺癌患者的临床特征还有待详细阐述。绝大多数情况下，AKT1基因突变并不与其它原癌基因突变如EGFR突变、ALK重排等同时出现。 </w:t>
      </w:r>
    </w:p>
    <w:p>
      <w:pPr>
        <w:spacing w:line="259" w:lineRule="auto"/>
        <w:ind w:left="2794"/>
        <w:jc w:val="center"/>
      </w:pPr>
      <w:r>
        <w:drawing>
          <wp:anchor distT="0" distB="0" distL="114300" distR="114300" simplePos="0" relativeHeight="251671552" behindDoc="0" locked="0" layoutInCell="1" allowOverlap="1">
            <wp:simplePos x="0" y="0"/>
            <wp:positionH relativeFrom="margin">
              <wp:align>center</wp:align>
            </wp:positionH>
            <wp:positionV relativeFrom="paragraph">
              <wp:posOffset>64135</wp:posOffset>
            </wp:positionV>
            <wp:extent cx="2085975" cy="2857500"/>
            <wp:effectExtent l="0" t="0" r="9525" b="0"/>
            <wp:wrapNone/>
            <wp:docPr id="14580" name="Picture 14580"/>
            <wp:cNvGraphicFramePr/>
            <a:graphic xmlns:a="http://schemas.openxmlformats.org/drawingml/2006/main">
              <a:graphicData uri="http://schemas.openxmlformats.org/drawingml/2006/picture">
                <pic:pic xmlns:pic="http://schemas.openxmlformats.org/drawingml/2006/picture">
                  <pic:nvPicPr>
                    <pic:cNvPr id="14580" name="Picture 14580"/>
                    <pic:cNvPicPr/>
                  </pic:nvPicPr>
                  <pic:blipFill>
                    <a:blip r:embed="rId12">
                      <a:extLst>
                        <a:ext uri="{28A0092B-C50C-407E-A947-70E740481C1C}">
                          <a14:useLocalDpi xmlns:a14="http://schemas.microsoft.com/office/drawing/2010/main" val="0"/>
                        </a:ext>
                      </a:extLst>
                    </a:blip>
                    <a:stretch>
                      <a:fillRect/>
                    </a:stretch>
                  </pic:blipFill>
                  <pic:spPr>
                    <a:xfrm>
                      <a:off x="0" y="0"/>
                      <a:ext cx="2085975" cy="2857500"/>
                    </a:xfrm>
                    <a:prstGeom prst="rect">
                      <a:avLst/>
                    </a:prstGeom>
                  </pic:spPr>
                </pic:pic>
              </a:graphicData>
            </a:graphic>
          </wp:anchor>
        </w:drawing>
      </w:r>
    </w:p>
    <w:p>
      <w:pPr>
        <w:spacing w:line="400" w:lineRule="exact"/>
        <w:jc w:val="center"/>
        <w:rPr>
          <w:rFonts w:ascii="微软雅黑" w:hAnsi="微软雅黑" w:eastAsia="微软雅黑" w:cs="MicrosoftYaHei"/>
          <w:kern w:val="0"/>
          <w:sz w:val="18"/>
          <w:szCs w:val="18"/>
        </w:rPr>
      </w:pPr>
    </w:p>
    <w:p>
      <w:pPr>
        <w:spacing w:line="400" w:lineRule="exact"/>
        <w:jc w:val="center"/>
        <w:rPr>
          <w:rFonts w:ascii="微软雅黑" w:hAnsi="微软雅黑" w:eastAsia="微软雅黑" w:cs="MicrosoftYaHei"/>
          <w:kern w:val="0"/>
          <w:sz w:val="18"/>
          <w:szCs w:val="18"/>
        </w:rPr>
      </w:pPr>
    </w:p>
    <w:p>
      <w:pPr>
        <w:spacing w:line="400" w:lineRule="exact"/>
        <w:jc w:val="center"/>
        <w:rPr>
          <w:rFonts w:ascii="微软雅黑" w:hAnsi="微软雅黑" w:eastAsia="微软雅黑" w:cs="MicrosoftYaHei"/>
          <w:kern w:val="0"/>
          <w:sz w:val="18"/>
          <w:szCs w:val="18"/>
        </w:rPr>
      </w:pPr>
    </w:p>
    <w:p>
      <w:pPr>
        <w:spacing w:line="400" w:lineRule="exact"/>
        <w:jc w:val="center"/>
        <w:rPr>
          <w:rFonts w:ascii="微软雅黑" w:hAnsi="微软雅黑" w:eastAsia="微软雅黑" w:cs="MicrosoftYaHei"/>
          <w:kern w:val="0"/>
          <w:sz w:val="18"/>
          <w:szCs w:val="18"/>
        </w:rPr>
      </w:pPr>
    </w:p>
    <w:p>
      <w:pPr>
        <w:spacing w:line="400" w:lineRule="exact"/>
        <w:jc w:val="center"/>
        <w:rPr>
          <w:rFonts w:ascii="微软雅黑" w:hAnsi="微软雅黑" w:eastAsia="微软雅黑" w:cs="MicrosoftYaHei"/>
          <w:kern w:val="0"/>
          <w:sz w:val="18"/>
          <w:szCs w:val="18"/>
        </w:rPr>
      </w:pPr>
    </w:p>
    <w:p>
      <w:pPr>
        <w:spacing w:line="400" w:lineRule="exact"/>
        <w:jc w:val="center"/>
        <w:rPr>
          <w:rFonts w:ascii="微软雅黑" w:hAnsi="微软雅黑" w:eastAsia="微软雅黑" w:cs="MicrosoftYaHei"/>
          <w:kern w:val="0"/>
          <w:sz w:val="18"/>
          <w:szCs w:val="18"/>
        </w:rPr>
      </w:pPr>
    </w:p>
    <w:p>
      <w:pPr>
        <w:spacing w:line="400" w:lineRule="exact"/>
        <w:jc w:val="center"/>
        <w:rPr>
          <w:rFonts w:ascii="微软雅黑" w:hAnsi="微软雅黑" w:eastAsia="微软雅黑" w:cs="MicrosoftYaHei"/>
          <w:kern w:val="0"/>
          <w:sz w:val="18"/>
          <w:szCs w:val="18"/>
        </w:rPr>
      </w:pPr>
    </w:p>
    <w:p>
      <w:pPr>
        <w:spacing w:line="400" w:lineRule="exact"/>
        <w:jc w:val="center"/>
        <w:rPr>
          <w:rFonts w:ascii="微软雅黑" w:hAnsi="微软雅黑" w:eastAsia="微软雅黑" w:cs="MicrosoftYaHei"/>
          <w:kern w:val="0"/>
          <w:sz w:val="18"/>
          <w:szCs w:val="18"/>
        </w:rPr>
      </w:pPr>
    </w:p>
    <w:p>
      <w:pPr>
        <w:spacing w:line="400" w:lineRule="exact"/>
        <w:jc w:val="center"/>
        <w:rPr>
          <w:rFonts w:ascii="微软雅黑" w:hAnsi="微软雅黑" w:eastAsia="微软雅黑" w:cs="MicrosoftYaHei"/>
          <w:kern w:val="0"/>
          <w:sz w:val="18"/>
          <w:szCs w:val="18"/>
        </w:rPr>
      </w:pPr>
    </w:p>
    <w:p>
      <w:pPr>
        <w:spacing w:line="400" w:lineRule="exact"/>
        <w:jc w:val="center"/>
        <w:rPr>
          <w:rFonts w:ascii="微软雅黑" w:hAnsi="微软雅黑" w:eastAsia="微软雅黑" w:cs="MicrosoftYaHei"/>
          <w:kern w:val="0"/>
          <w:sz w:val="18"/>
          <w:szCs w:val="18"/>
        </w:rPr>
      </w:pPr>
    </w:p>
    <w:p>
      <w:pPr>
        <w:spacing w:line="400" w:lineRule="exact"/>
        <w:jc w:val="center"/>
        <w:rPr>
          <w:rFonts w:ascii="微软雅黑" w:hAnsi="微软雅黑" w:eastAsia="微软雅黑" w:cs="MicrosoftYaHei"/>
          <w:kern w:val="0"/>
          <w:sz w:val="18"/>
          <w:szCs w:val="18"/>
        </w:rPr>
      </w:pPr>
    </w:p>
    <w:p>
      <w:pPr>
        <w:spacing w:line="400" w:lineRule="exact"/>
        <w:jc w:val="center"/>
        <w:rPr>
          <w:rFonts w:ascii="微软雅黑" w:hAnsi="微软雅黑" w:eastAsia="微软雅黑" w:cs="MicrosoftYaHei"/>
          <w:kern w:val="0"/>
          <w:sz w:val="18"/>
          <w:szCs w:val="18"/>
        </w:rPr>
      </w:pPr>
      <w:r>
        <w:rPr>
          <w:rFonts w:ascii="微软雅黑" w:hAnsi="微软雅黑" w:eastAsia="微软雅黑" w:cs="MicrosoftYaHei"/>
          <w:kern w:val="0"/>
          <w:sz w:val="18"/>
          <w:szCs w:val="18"/>
        </w:rPr>
        <w:t>图1. AKT参与的MAPK和PI3K信号通路</w:t>
      </w:r>
      <w:r>
        <w:rPr>
          <w:rFonts w:hint="eastAsia" w:ascii="微软雅黑" w:hAnsi="微软雅黑" w:eastAsia="微软雅黑" w:cs="MicrosoftYaHei"/>
          <w:kern w:val="0"/>
          <w:sz w:val="18"/>
          <w:szCs w:val="18"/>
        </w:rPr>
        <w:t>。</w:t>
      </w:r>
      <w:r>
        <w:rPr>
          <w:rFonts w:ascii="微软雅黑" w:hAnsi="微软雅黑" w:eastAsia="微软雅黑" w:cs="MicrosoftYaHei"/>
          <w:kern w:val="0"/>
          <w:sz w:val="18"/>
          <w:szCs w:val="18"/>
        </w:rPr>
        <w:t>生长因子与酪氨酸激酶受体的结合导致 MAPK (RAS-RAF-MEK-ERK)和 PI3K (PI3K-AKT-mTOR)信号通路的激活。</w:t>
      </w:r>
    </w:p>
    <w:p>
      <w:pPr>
        <w:spacing w:line="400" w:lineRule="exact"/>
        <w:jc w:val="center"/>
        <w:rPr>
          <w:rFonts w:ascii="微软雅黑" w:hAnsi="微软雅黑" w:eastAsia="微软雅黑" w:cs="MicrosoftYaHei"/>
          <w:kern w:val="0"/>
          <w:sz w:val="18"/>
          <w:szCs w:val="18"/>
        </w:rPr>
      </w:pPr>
    </w:p>
    <w:p>
      <w:pPr>
        <w:spacing w:line="259" w:lineRule="auto"/>
        <w:ind w:left="-5" w:right="197" w:hanging="10"/>
        <w:rPr>
          <w:rFonts w:ascii="微软雅黑" w:hAnsi="微软雅黑" w:eastAsia="微软雅黑" w:cs="微软雅黑"/>
        </w:rPr>
      </w:pPr>
      <w:r>
        <w:rPr>
          <w:rFonts w:ascii="微软雅黑" w:hAnsi="微软雅黑" w:eastAsia="微软雅黑" w:cs="微软雅黑"/>
        </w:rPr>
        <w:t xml:space="preserve">参考文献 </w:t>
      </w:r>
    </w:p>
    <w:p>
      <w:pPr>
        <w:widowControl/>
        <w:numPr>
          <w:ilvl w:val="0"/>
          <w:numId w:val="4"/>
        </w:numPr>
        <w:spacing w:after="3" w:line="247" w:lineRule="auto"/>
        <w:ind w:right="202" w:hanging="358"/>
        <w:rPr>
          <w:rFonts w:ascii="Times New Roman" w:hAnsi="Times New Roman" w:cs="Times New Roman"/>
          <w:sz w:val="18"/>
          <w:szCs w:val="18"/>
        </w:rPr>
      </w:pPr>
      <w:r>
        <w:rPr>
          <w:rFonts w:ascii="Times New Roman" w:hAnsi="Times New Roman" w:cs="Times New Roman"/>
          <w:sz w:val="18"/>
          <w:szCs w:val="18"/>
        </w:rPr>
        <w:t xml:space="preserve">Bleeker FE, Felicioni L, Buttitta F, Lamba S, Cardone L, Rodolfo M, Scarpa A, Leenstra S, Frattini M, Barbareschi M, Grammastro MD, Sciarrotta MG, Zanon C, Marchetti A, Bardelli A. AKT1(E17K) in human solid tumours. Oncogene. 2008, 27(42):5648-50. </w:t>
      </w:r>
    </w:p>
    <w:p>
      <w:pPr>
        <w:widowControl/>
        <w:numPr>
          <w:ilvl w:val="0"/>
          <w:numId w:val="4"/>
        </w:numPr>
        <w:spacing w:after="3" w:line="247" w:lineRule="auto"/>
        <w:ind w:right="202" w:hanging="358"/>
        <w:rPr>
          <w:rFonts w:ascii="Times New Roman" w:hAnsi="Times New Roman" w:cs="Times New Roman"/>
          <w:sz w:val="18"/>
          <w:szCs w:val="18"/>
        </w:rPr>
      </w:pPr>
      <w:r>
        <w:rPr>
          <w:rFonts w:ascii="Times New Roman" w:hAnsi="Times New Roman" w:cs="Times New Roman"/>
          <w:sz w:val="18"/>
          <w:szCs w:val="18"/>
        </w:rPr>
        <w:t xml:space="preserve">Do H, et al. Detection of the transforming AKT1 mutation E17K in non-small cell lung cancer by high resolution melting. BMC Res Notes. 2008, 1:14. </w:t>
      </w:r>
    </w:p>
    <w:p>
      <w:pPr>
        <w:widowControl/>
        <w:numPr>
          <w:ilvl w:val="0"/>
          <w:numId w:val="4"/>
        </w:numPr>
        <w:spacing w:after="3" w:line="247" w:lineRule="auto"/>
        <w:ind w:right="202" w:hanging="358"/>
        <w:rPr>
          <w:rFonts w:ascii="Times New Roman" w:hAnsi="Times New Roman" w:cs="Times New Roman"/>
          <w:sz w:val="18"/>
          <w:szCs w:val="18"/>
        </w:rPr>
      </w:pPr>
      <w:r>
        <w:rPr>
          <w:rFonts w:ascii="Times New Roman" w:hAnsi="Times New Roman" w:cs="Times New Roman"/>
          <w:sz w:val="18"/>
          <w:szCs w:val="18"/>
        </w:rPr>
        <w:t xml:space="preserve">Malanga D, et al. Activating E17K mutation in the gene encoding the protein kinase AKT1 in a subset of squamous cell carcinoma of the lung. Cell Cycle. 2008, 7(5):665-9. </w:t>
      </w:r>
    </w:p>
    <w:p>
      <w:pPr>
        <w:widowControl/>
        <w:numPr>
          <w:ilvl w:val="0"/>
          <w:numId w:val="4"/>
        </w:numPr>
        <w:spacing w:after="3" w:line="247" w:lineRule="auto"/>
        <w:ind w:right="202" w:hanging="358"/>
        <w:rPr>
          <w:rFonts w:ascii="Times New Roman" w:hAnsi="Times New Roman" w:cs="Times New Roman"/>
          <w:sz w:val="18"/>
          <w:szCs w:val="18"/>
        </w:rPr>
      </w:pPr>
      <w:r>
        <w:rPr>
          <w:rFonts w:ascii="Times New Roman" w:hAnsi="Times New Roman" w:cs="Times New Roman"/>
          <w:sz w:val="18"/>
          <w:szCs w:val="18"/>
        </w:rPr>
        <w:t>Carpten JD, et al. A transforming mutation in the pleckstrin homology domain of AKT1 in cancer. Nature. 2007, 448(7152):439-44.</w:t>
      </w:r>
    </w:p>
    <w:p>
      <w:pPr>
        <w:widowControl/>
        <w:jc w:val="left"/>
        <w:rPr>
          <w:rFonts w:ascii="Times New Roman" w:hAnsi="Times New Roman" w:cs="Times New Roman"/>
        </w:rPr>
      </w:pPr>
      <w:r>
        <w:rPr>
          <w:rFonts w:ascii="Times New Roman" w:hAnsi="Times New Roman" w:cs="Times New Roman"/>
        </w:rPr>
        <w:br w:type="page"/>
      </w:r>
    </w:p>
    <w:p>
      <w:pPr>
        <w:widowControl/>
        <w:jc w:val="center"/>
        <w:rPr>
          <w:rFonts w:ascii="微软雅黑" w:hAnsi="微软雅黑" w:eastAsia="微软雅黑"/>
          <w:b/>
          <w:sz w:val="24"/>
          <w:szCs w:val="24"/>
        </w:rPr>
      </w:pPr>
      <w:r>
        <w:rPr>
          <w:rFonts w:ascii="微软雅黑" w:hAnsi="微软雅黑" w:eastAsia="微软雅黑" w:cs="Arial"/>
          <w:b/>
          <w:sz w:val="24"/>
          <w:szCs w:val="24"/>
        </w:rPr>
        <w:t>ALK</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间变性淋巴瘤激酶(ALK)是一种酪氨酸激酶受体，在多种恶性疾病中常出现异常。如在神经母细胞瘤的一些亚型中，ALK 的激活性错义突变可发现其全基因区域</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。相比之下，ALK基因融合则可见于如NPM-ALK形式</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，结直肠癌</w:t>
      </w:r>
      <w:r>
        <w:rPr>
          <w:rFonts w:ascii="微软雅黑" w:hAnsi="微软雅黑" w:eastAsia="微软雅黑" w:cs="MicrosoftYaHei"/>
          <w:kern w:val="0"/>
          <w:sz w:val="22"/>
          <w:szCs w:val="24"/>
          <w:vertAlign w:val="superscript"/>
        </w:rPr>
        <w:t>3</w:t>
      </w:r>
      <w:r>
        <w:rPr>
          <w:rFonts w:ascii="微软雅黑" w:hAnsi="微软雅黑" w:eastAsia="微软雅黑" w:cs="MicrosoftYaHei"/>
          <w:kern w:val="0"/>
          <w:sz w:val="22"/>
          <w:szCs w:val="24"/>
        </w:rPr>
        <w:t>，炎性肌纤维母细胞瘤</w:t>
      </w:r>
      <w:r>
        <w:rPr>
          <w:rFonts w:ascii="微软雅黑" w:hAnsi="微软雅黑" w:eastAsia="微软雅黑" w:cs="MicrosoftYaHei"/>
          <w:kern w:val="0"/>
          <w:sz w:val="22"/>
          <w:szCs w:val="24"/>
          <w:vertAlign w:val="superscript"/>
        </w:rPr>
        <w:t>4</w:t>
      </w:r>
      <w:r>
        <w:rPr>
          <w:rFonts w:ascii="微软雅黑" w:hAnsi="微软雅黑" w:eastAsia="微软雅黑" w:cs="MicrosoftYaHei"/>
          <w:kern w:val="0"/>
          <w:sz w:val="22"/>
          <w:szCs w:val="24"/>
        </w:rPr>
        <w:t>，非小细胞肺癌</w:t>
      </w:r>
      <w:r>
        <w:rPr>
          <w:rFonts w:ascii="微软雅黑" w:hAnsi="微软雅黑" w:eastAsia="微软雅黑" w:cs="MicrosoftYaHei"/>
          <w:kern w:val="0"/>
          <w:sz w:val="22"/>
          <w:szCs w:val="24"/>
          <w:vertAlign w:val="superscript"/>
        </w:rPr>
        <w:t>5</w:t>
      </w:r>
      <w:r>
        <w:rPr>
          <w:rFonts w:ascii="微软雅黑" w:hAnsi="微软雅黑" w:eastAsia="微软雅黑" w:cs="MicrosoftYaHei"/>
          <w:kern w:val="0"/>
          <w:sz w:val="22"/>
          <w:szCs w:val="24"/>
        </w:rPr>
        <w:t>和卵巢癌</w:t>
      </w:r>
      <w:r>
        <w:rPr>
          <w:rFonts w:ascii="微软雅黑" w:hAnsi="微软雅黑" w:eastAsia="微软雅黑" w:cs="MicrosoftYaHei"/>
          <w:kern w:val="0"/>
          <w:sz w:val="22"/>
          <w:szCs w:val="24"/>
          <w:vertAlign w:val="superscript"/>
        </w:rPr>
        <w:t>6</w:t>
      </w:r>
      <w:r>
        <w:rPr>
          <w:rFonts w:ascii="微软雅黑" w:hAnsi="微软雅黑" w:eastAsia="微软雅黑" w:cs="MicrosoftYaHei"/>
          <w:kern w:val="0"/>
          <w:sz w:val="22"/>
          <w:szCs w:val="24"/>
        </w:rPr>
        <w:t xml:space="preserve">等多种恶性肿瘤。所有的ALK融合基因均包含了其酪氨酸激酶功能域，且经体外、体内检测具有致癌活性。ALK基因融合和拷贝数增加可见于肾细胞癌 </w:t>
      </w:r>
      <w:r>
        <w:rPr>
          <w:rFonts w:ascii="微软雅黑" w:hAnsi="微软雅黑" w:eastAsia="微软雅黑" w:cs="MicrosoftYaHei"/>
          <w:kern w:val="0"/>
          <w:sz w:val="22"/>
          <w:szCs w:val="24"/>
          <w:vertAlign w:val="superscript"/>
        </w:rPr>
        <w:t>7</w:t>
      </w:r>
      <w:r>
        <w:rPr>
          <w:rFonts w:ascii="微软雅黑" w:hAnsi="微软雅黑" w:eastAsia="微软雅黑" w:cs="MicrosoftYaHei"/>
          <w:kern w:val="0"/>
          <w:sz w:val="22"/>
          <w:szCs w:val="24"/>
        </w:rPr>
        <w:t>。ALK拷贝数变异和蛋白表达变化也可见于横纹肌肉瘤中</w:t>
      </w:r>
      <w:r>
        <w:rPr>
          <w:rFonts w:ascii="微软雅黑" w:hAnsi="微软雅黑" w:eastAsia="微软雅黑" w:cs="MicrosoftYaHei"/>
          <w:kern w:val="0"/>
          <w:sz w:val="22"/>
          <w:szCs w:val="24"/>
          <w:vertAlign w:val="superscript"/>
        </w:rPr>
        <w:t>8</w:t>
      </w:r>
      <w:r>
        <w:rPr>
          <w:rFonts w:ascii="微软雅黑" w:hAnsi="微软雅黑" w:eastAsia="微软雅黑" w:cs="MicrosoftYaHei"/>
          <w:kern w:val="0"/>
          <w:sz w:val="22"/>
          <w:szCs w:val="24"/>
        </w:rPr>
        <w:t>。不同氨基末端融合子促进了二体化过程，从而具备了激酶活性</w:t>
      </w:r>
      <w:r>
        <w:rPr>
          <w:rFonts w:ascii="微软雅黑" w:hAnsi="微软雅黑" w:eastAsia="微软雅黑" w:cs="MicrosoftYaHei"/>
          <w:kern w:val="0"/>
          <w:sz w:val="22"/>
          <w:szCs w:val="24"/>
          <w:vertAlign w:val="superscript"/>
        </w:rPr>
        <w:t>9</w:t>
      </w:r>
      <w:r>
        <w:rPr>
          <w:rFonts w:ascii="微软雅黑" w:hAnsi="微软雅黑" w:eastAsia="微软雅黑" w:cs="MicrosoftYaHei"/>
          <w:kern w:val="0"/>
          <w:sz w:val="22"/>
          <w:szCs w:val="24"/>
        </w:rPr>
        <w:t xml:space="preserve">。ALK 融合蛋白向下游作用因子的传递导致包括细胞生长和增殖细胞通路的活化（如图所示）。 </w:t>
      </w:r>
    </w:p>
    <w:p>
      <w:pPr>
        <w:spacing w:after="230" w:line="259" w:lineRule="auto"/>
        <w:ind w:right="1518"/>
        <w:jc w:val="right"/>
      </w:pPr>
      <w:r>
        <w:drawing>
          <wp:inline distT="0" distB="0" distL="0" distR="0">
            <wp:extent cx="3552825" cy="2133600"/>
            <wp:effectExtent l="0" t="0" r="0" b="0"/>
            <wp:docPr id="14785" name="Picture 14785"/>
            <wp:cNvGraphicFramePr/>
            <a:graphic xmlns:a="http://schemas.openxmlformats.org/drawingml/2006/main">
              <a:graphicData uri="http://schemas.openxmlformats.org/drawingml/2006/picture">
                <pic:pic xmlns:pic="http://schemas.openxmlformats.org/drawingml/2006/picture">
                  <pic:nvPicPr>
                    <pic:cNvPr id="14785" name="Picture 14785"/>
                    <pic:cNvPicPr/>
                  </pic:nvPicPr>
                  <pic:blipFill>
                    <a:blip r:embed="rId13"/>
                    <a:stretch>
                      <a:fillRect/>
                    </a:stretch>
                  </pic:blipFill>
                  <pic:spPr>
                    <a:xfrm>
                      <a:off x="0" y="0"/>
                      <a:ext cx="3552825" cy="2133600"/>
                    </a:xfrm>
                    <a:prstGeom prst="rect">
                      <a:avLst/>
                    </a:prstGeom>
                  </pic:spPr>
                </pic:pic>
              </a:graphicData>
            </a:graphic>
          </wp:inline>
        </w:drawing>
      </w:r>
      <w:r>
        <w:rPr>
          <w:rFonts w:ascii="Arial" w:hAnsi="Arial" w:eastAsia="Arial" w:cs="Arial"/>
          <w:sz w:val="22"/>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5"/>
        </w:numPr>
        <w:spacing w:after="3" w:line="247" w:lineRule="auto"/>
        <w:ind w:right="202" w:hanging="358"/>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Chen Y, et al. Oncogenic mutations of ALK kinase in neuroblastoma. </w:t>
      </w:r>
      <w:r>
        <w:fldChar w:fldCharType="begin"/>
      </w:r>
      <w:r>
        <w:instrText xml:space="preserve"> HYPERLINK "http://www.ncbi.nlm.nih.gov/pubmed/18923524" \h </w:instrText>
      </w:r>
      <w:r>
        <w:fldChar w:fldCharType="separate"/>
      </w:r>
      <w:r>
        <w:rPr>
          <w:rFonts w:ascii="Times New Roman" w:hAnsi="Times New Roman" w:eastAsia="微软雅黑" w:cs="Times New Roman"/>
          <w:sz w:val="18"/>
          <w:szCs w:val="18"/>
        </w:rPr>
        <w:t>Nature.</w:t>
      </w:r>
      <w:r>
        <w:rPr>
          <w:rFonts w:ascii="Times New Roman" w:hAnsi="Times New Roman" w:eastAsia="微软雅黑" w:cs="Times New Roman"/>
          <w:sz w:val="18"/>
          <w:szCs w:val="18"/>
        </w:rPr>
        <w:fldChar w:fldCharType="end"/>
      </w:r>
      <w:r>
        <w:fldChar w:fldCharType="begin"/>
      </w:r>
      <w:r>
        <w:instrText xml:space="preserve"> HYPERLINK "http://www.ncbi.nlm.nih.gov/pubmed/18923524" \h </w:instrText>
      </w:r>
      <w:r>
        <w:fldChar w:fldCharType="separate"/>
      </w:r>
      <w:r>
        <w:rPr>
          <w:rFonts w:ascii="Times New Roman" w:hAnsi="Times New Roman" w:eastAsia="微软雅黑" w:cs="Times New Roman"/>
          <w:sz w:val="18"/>
          <w:szCs w:val="18"/>
        </w:rPr>
        <w:t xml:space="preserve"> </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2008, 455(7215):971-4. </w:t>
      </w:r>
    </w:p>
    <w:p>
      <w:pPr>
        <w:widowControl/>
        <w:numPr>
          <w:ilvl w:val="0"/>
          <w:numId w:val="5"/>
        </w:numPr>
        <w:spacing w:after="3" w:line="247" w:lineRule="auto"/>
        <w:ind w:right="202" w:hanging="358"/>
        <w:rPr>
          <w:rFonts w:ascii="Times New Roman" w:hAnsi="Times New Roman" w:eastAsia="微软雅黑" w:cs="Times New Roman"/>
          <w:sz w:val="18"/>
          <w:szCs w:val="18"/>
        </w:rPr>
      </w:pPr>
      <w:r>
        <w:fldChar w:fldCharType="begin"/>
      </w:r>
      <w:r>
        <w:instrText xml:space="preserve"> HYPERLINK "http://www.ncbi.nlm.nih.gov/pubmed?term=Morris%20SW%5BAuthor%5D&amp;cauthor=true&amp;cauthor_uid=8122112" \h </w:instrText>
      </w:r>
      <w:r>
        <w:fldChar w:fldCharType="separate"/>
      </w:r>
      <w:r>
        <w:rPr>
          <w:rFonts w:ascii="Times New Roman" w:hAnsi="Times New Roman" w:eastAsia="微软雅黑" w:cs="Times New Roman"/>
          <w:sz w:val="18"/>
          <w:szCs w:val="18"/>
        </w:rPr>
        <w:t>Morris SW,</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 et al. Fusion of a kinase gene, ALK, to a nucleolar protein gene, NPM, in non-Hodgkin's lymphoma. </w:t>
      </w:r>
      <w:r>
        <w:fldChar w:fldCharType="begin"/>
      </w:r>
      <w:r>
        <w:instrText xml:space="preserve"> HYPERLINK "http://www.ncbi.nlm.nih.gov/pubmed/8122112.1" \h </w:instrText>
      </w:r>
      <w:r>
        <w:fldChar w:fldCharType="separate"/>
      </w:r>
      <w:r>
        <w:rPr>
          <w:rFonts w:ascii="Times New Roman" w:hAnsi="Times New Roman" w:eastAsia="微软雅黑" w:cs="Times New Roman"/>
          <w:sz w:val="18"/>
          <w:szCs w:val="18"/>
        </w:rPr>
        <w:t>Science.</w:t>
      </w:r>
      <w:r>
        <w:rPr>
          <w:rFonts w:ascii="Times New Roman" w:hAnsi="Times New Roman" w:eastAsia="微软雅黑" w:cs="Times New Roman"/>
          <w:sz w:val="18"/>
          <w:szCs w:val="18"/>
        </w:rPr>
        <w:fldChar w:fldCharType="end"/>
      </w:r>
      <w:r>
        <w:fldChar w:fldCharType="begin"/>
      </w:r>
      <w:r>
        <w:instrText xml:space="preserve"> HYPERLINK "http://www.ncbi.nlm.nih.gov/pubmed/8122112.1" \h </w:instrText>
      </w:r>
      <w:r>
        <w:fldChar w:fldCharType="separate"/>
      </w:r>
      <w:r>
        <w:rPr>
          <w:rFonts w:ascii="Times New Roman" w:hAnsi="Times New Roman" w:eastAsia="微软雅黑" w:cs="Times New Roman"/>
          <w:sz w:val="18"/>
          <w:szCs w:val="18"/>
        </w:rPr>
        <w:t xml:space="preserve"> </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1994, 263(5151):1281-4. </w:t>
      </w:r>
    </w:p>
    <w:p>
      <w:pPr>
        <w:widowControl/>
        <w:numPr>
          <w:ilvl w:val="0"/>
          <w:numId w:val="5"/>
        </w:numPr>
        <w:spacing w:after="3" w:line="247" w:lineRule="auto"/>
        <w:ind w:right="202" w:hanging="358"/>
        <w:rPr>
          <w:rFonts w:ascii="Times New Roman" w:hAnsi="Times New Roman" w:eastAsia="微软雅黑" w:cs="Times New Roman"/>
          <w:sz w:val="18"/>
          <w:szCs w:val="18"/>
        </w:rPr>
      </w:pPr>
      <w:r>
        <w:fldChar w:fldCharType="begin"/>
      </w:r>
      <w:r>
        <w:instrText xml:space="preserve"> HYPERLINK "http://www.ncbi.nlm.nih.gov/pubmed?term=Lin%20E%5BAuthor%5D&amp;cauthor=true&amp;cauthor_uid=19737969" \h </w:instrText>
      </w:r>
      <w:r>
        <w:fldChar w:fldCharType="separate"/>
      </w:r>
      <w:r>
        <w:rPr>
          <w:rFonts w:ascii="Times New Roman" w:hAnsi="Times New Roman" w:eastAsia="微软雅黑" w:cs="Times New Roman"/>
          <w:sz w:val="18"/>
          <w:szCs w:val="18"/>
        </w:rPr>
        <w:t>Lin E,</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 et al. Exon array profiling detects EML4-ALK fusion in breast, colorectal, and non-small cell lung cancers. </w:t>
      </w:r>
      <w:r>
        <w:fldChar w:fldCharType="begin"/>
      </w:r>
      <w:r>
        <w:instrText xml:space="preserve"> HYPERLINK "http://www.ncbi.nlm.nih.gov/pubmed/19737969" \h </w:instrText>
      </w:r>
      <w:r>
        <w:fldChar w:fldCharType="separate"/>
      </w:r>
      <w:r>
        <w:rPr>
          <w:rFonts w:ascii="Times New Roman" w:hAnsi="Times New Roman" w:eastAsia="微软雅黑" w:cs="Times New Roman"/>
          <w:sz w:val="18"/>
          <w:szCs w:val="18"/>
        </w:rPr>
        <w:t>Mol Cancer Res.</w:t>
      </w:r>
      <w:r>
        <w:rPr>
          <w:rFonts w:ascii="Times New Roman" w:hAnsi="Times New Roman" w:eastAsia="微软雅黑" w:cs="Times New Roman"/>
          <w:sz w:val="18"/>
          <w:szCs w:val="18"/>
        </w:rPr>
        <w:fldChar w:fldCharType="end"/>
      </w:r>
      <w:r>
        <w:fldChar w:fldCharType="begin"/>
      </w:r>
      <w:r>
        <w:instrText xml:space="preserve"> HYPERLINK "http://www.ncbi.nlm.nih.gov/pubmed/19737969" \h </w:instrText>
      </w:r>
      <w:r>
        <w:fldChar w:fldCharType="separate"/>
      </w:r>
      <w:r>
        <w:rPr>
          <w:rFonts w:ascii="Times New Roman" w:hAnsi="Times New Roman" w:eastAsia="微软雅黑" w:cs="Times New Roman"/>
          <w:sz w:val="18"/>
          <w:szCs w:val="18"/>
        </w:rPr>
        <w:t xml:space="preserve"> </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2009, 7(9):1466-76. </w:t>
      </w:r>
    </w:p>
    <w:p>
      <w:pPr>
        <w:widowControl/>
        <w:numPr>
          <w:ilvl w:val="0"/>
          <w:numId w:val="5"/>
        </w:numPr>
        <w:spacing w:after="3" w:line="247" w:lineRule="auto"/>
        <w:ind w:right="202" w:hanging="358"/>
        <w:rPr>
          <w:rFonts w:ascii="Times New Roman" w:hAnsi="Times New Roman" w:eastAsia="微软雅黑" w:cs="Times New Roman"/>
          <w:sz w:val="18"/>
          <w:szCs w:val="18"/>
        </w:rPr>
      </w:pPr>
      <w:r>
        <w:fldChar w:fldCharType="begin"/>
      </w:r>
      <w:r>
        <w:instrText xml:space="preserve"> HYPERLINK "http://www.ncbi.nlm.nih.gov/pubmed?term=Lawrence%20B%5BAuthor%5D&amp;cauthor=true&amp;cauthor_uid=10934142" \h </w:instrText>
      </w:r>
      <w:r>
        <w:fldChar w:fldCharType="separate"/>
      </w:r>
      <w:r>
        <w:rPr>
          <w:rFonts w:ascii="Times New Roman" w:hAnsi="Times New Roman" w:eastAsia="微软雅黑" w:cs="Times New Roman"/>
          <w:sz w:val="18"/>
          <w:szCs w:val="18"/>
        </w:rPr>
        <w:t>Lawrence B,</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 et al. TPM3-ALK and TPM4-ALK oncogenes in inflammatory myofibroblastic tumors. </w:t>
      </w:r>
      <w:r>
        <w:fldChar w:fldCharType="begin"/>
      </w:r>
      <w:r>
        <w:instrText xml:space="preserve"> HYPERLINK "http://www.ncbi.nlm.nih.gov/pubmed/10934142" \h </w:instrText>
      </w:r>
      <w:r>
        <w:fldChar w:fldCharType="separate"/>
      </w:r>
      <w:r>
        <w:rPr>
          <w:rFonts w:ascii="Times New Roman" w:hAnsi="Times New Roman" w:eastAsia="微软雅黑" w:cs="Times New Roman"/>
          <w:sz w:val="18"/>
          <w:szCs w:val="18"/>
        </w:rPr>
        <w:t xml:space="preserve">Am J </w:t>
      </w:r>
      <w:r>
        <w:rPr>
          <w:rFonts w:ascii="Times New Roman" w:hAnsi="Times New Roman" w:eastAsia="微软雅黑" w:cs="Times New Roman"/>
          <w:sz w:val="18"/>
          <w:szCs w:val="18"/>
        </w:rPr>
        <w:fldChar w:fldCharType="end"/>
      </w:r>
      <w:r>
        <w:fldChar w:fldCharType="begin"/>
      </w:r>
      <w:r>
        <w:instrText xml:space="preserve"> HYPERLINK "http://www.ncbi.nlm.nih.gov/pubmed/10934142" \h </w:instrText>
      </w:r>
      <w:r>
        <w:fldChar w:fldCharType="separate"/>
      </w:r>
      <w:r>
        <w:rPr>
          <w:rFonts w:ascii="Times New Roman" w:hAnsi="Times New Roman" w:eastAsia="微软雅黑" w:cs="Times New Roman"/>
          <w:sz w:val="18"/>
          <w:szCs w:val="18"/>
        </w:rPr>
        <w:t>Pathol.</w:t>
      </w:r>
      <w:r>
        <w:rPr>
          <w:rFonts w:ascii="Times New Roman" w:hAnsi="Times New Roman" w:eastAsia="微软雅黑" w:cs="Times New Roman"/>
          <w:sz w:val="18"/>
          <w:szCs w:val="18"/>
        </w:rPr>
        <w:fldChar w:fldCharType="end"/>
      </w:r>
      <w:r>
        <w:fldChar w:fldCharType="begin"/>
      </w:r>
      <w:r>
        <w:instrText xml:space="preserve"> HYPERLINK "http://www.ncbi.nlm.nih.gov/pubmed/10934142" \h </w:instrText>
      </w:r>
      <w:r>
        <w:fldChar w:fldCharType="separate"/>
      </w:r>
      <w:r>
        <w:rPr>
          <w:rFonts w:ascii="Times New Roman" w:hAnsi="Times New Roman" w:eastAsia="微软雅黑" w:cs="Times New Roman"/>
          <w:sz w:val="18"/>
          <w:szCs w:val="18"/>
        </w:rPr>
        <w:t xml:space="preserve"> </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2000, 157(2):377-84. </w:t>
      </w:r>
    </w:p>
    <w:p>
      <w:pPr>
        <w:widowControl/>
        <w:numPr>
          <w:ilvl w:val="0"/>
          <w:numId w:val="5"/>
        </w:numPr>
        <w:spacing w:after="3" w:line="247" w:lineRule="auto"/>
        <w:ind w:right="202" w:hanging="358"/>
        <w:rPr>
          <w:rFonts w:ascii="Times New Roman" w:hAnsi="Times New Roman" w:eastAsia="微软雅黑" w:cs="Times New Roman"/>
          <w:sz w:val="18"/>
          <w:szCs w:val="18"/>
        </w:rPr>
      </w:pPr>
      <w:r>
        <w:fldChar w:fldCharType="begin"/>
      </w:r>
      <w:r>
        <w:instrText xml:space="preserve"> HYPERLINK "http://www.ncbi.nlm.nih.gov/pubmed?term=Choi%20YL%5BAuthor%5D&amp;cauthor=true&amp;cauthor_uid=18593892" \h </w:instrText>
      </w:r>
      <w:r>
        <w:fldChar w:fldCharType="separate"/>
      </w:r>
      <w:r>
        <w:rPr>
          <w:rFonts w:ascii="Times New Roman" w:hAnsi="Times New Roman" w:eastAsia="微软雅黑" w:cs="Times New Roman"/>
          <w:sz w:val="18"/>
          <w:szCs w:val="18"/>
        </w:rPr>
        <w:t>Choi YL,</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 et al. Identification of novel isoforms of the EML4-ALK transforming gene in non-small cell lung cancer. </w:t>
      </w:r>
      <w:r>
        <w:fldChar w:fldCharType="begin"/>
      </w:r>
      <w:r>
        <w:instrText xml:space="preserve"> HYPERLINK "http://www.ncbi.nlm.nih.gov/pubmed/18593892" \h </w:instrText>
      </w:r>
      <w:r>
        <w:fldChar w:fldCharType="separate"/>
      </w:r>
      <w:r>
        <w:rPr>
          <w:rFonts w:ascii="Times New Roman" w:hAnsi="Times New Roman" w:eastAsia="微软雅黑" w:cs="Times New Roman"/>
          <w:sz w:val="18"/>
          <w:szCs w:val="18"/>
        </w:rPr>
        <w:t>Cancer Res.</w:t>
      </w:r>
      <w:r>
        <w:rPr>
          <w:rFonts w:ascii="Times New Roman" w:hAnsi="Times New Roman" w:eastAsia="微软雅黑" w:cs="Times New Roman"/>
          <w:sz w:val="18"/>
          <w:szCs w:val="18"/>
        </w:rPr>
        <w:fldChar w:fldCharType="end"/>
      </w:r>
      <w:r>
        <w:fldChar w:fldCharType="begin"/>
      </w:r>
      <w:r>
        <w:instrText xml:space="preserve"> HYPERLINK "http://www.ncbi.nlm.nih.gov/pubmed/18593892" \h </w:instrText>
      </w:r>
      <w:r>
        <w:fldChar w:fldCharType="separate"/>
      </w:r>
      <w:r>
        <w:rPr>
          <w:rFonts w:ascii="Times New Roman" w:hAnsi="Times New Roman" w:eastAsia="微软雅黑" w:cs="Times New Roman"/>
          <w:sz w:val="18"/>
          <w:szCs w:val="18"/>
        </w:rPr>
        <w:t xml:space="preserve"> </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2008, 68(13):4971-6.  </w:t>
      </w:r>
    </w:p>
    <w:p>
      <w:pPr>
        <w:widowControl/>
        <w:numPr>
          <w:ilvl w:val="0"/>
          <w:numId w:val="5"/>
        </w:numPr>
        <w:spacing w:after="3" w:line="247" w:lineRule="auto"/>
        <w:ind w:right="202" w:hanging="358"/>
        <w:rPr>
          <w:rFonts w:ascii="Times New Roman" w:hAnsi="Times New Roman" w:eastAsia="微软雅黑" w:cs="Times New Roman"/>
          <w:sz w:val="18"/>
          <w:szCs w:val="18"/>
        </w:rPr>
      </w:pPr>
      <w:r>
        <w:fldChar w:fldCharType="begin"/>
      </w:r>
      <w:r>
        <w:instrText xml:space="preserve"> HYPERLINK "http://www.ncbi.nlm.nih.gov/pubmed?term=Ren%20H%5BAuthor%5D&amp;cauthor=true&amp;cauthor_uid=22570254" \h </w:instrText>
      </w:r>
      <w:r>
        <w:fldChar w:fldCharType="separate"/>
      </w:r>
      <w:r>
        <w:rPr>
          <w:rFonts w:ascii="Times New Roman" w:hAnsi="Times New Roman" w:eastAsia="微软雅黑" w:cs="Times New Roman"/>
          <w:sz w:val="18"/>
          <w:szCs w:val="18"/>
        </w:rPr>
        <w:t>Ren H,</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 et al. Identification of anaplastic lymphoma kinase as a potential therapeutic target in ovarian cancer. </w:t>
      </w:r>
      <w:r>
        <w:fldChar w:fldCharType="begin"/>
      </w:r>
      <w:r>
        <w:instrText xml:space="preserve"> HYPERLINK "http://www.ncbi.nlm.nih.gov/pubmed/22570254" \h </w:instrText>
      </w:r>
      <w:r>
        <w:fldChar w:fldCharType="separate"/>
      </w:r>
      <w:r>
        <w:rPr>
          <w:rFonts w:ascii="Times New Roman" w:hAnsi="Times New Roman" w:eastAsia="微软雅黑" w:cs="Times New Roman"/>
          <w:sz w:val="18"/>
          <w:szCs w:val="18"/>
        </w:rPr>
        <w:t>Cancer Res.</w:t>
      </w:r>
      <w:r>
        <w:rPr>
          <w:rFonts w:ascii="Times New Roman" w:hAnsi="Times New Roman" w:eastAsia="微软雅黑" w:cs="Times New Roman"/>
          <w:sz w:val="18"/>
          <w:szCs w:val="18"/>
        </w:rPr>
        <w:fldChar w:fldCharType="end"/>
      </w:r>
      <w:r>
        <w:fldChar w:fldCharType="begin"/>
      </w:r>
      <w:r>
        <w:instrText xml:space="preserve"> HYPERLINK "http://www.ncbi.nlm.nih.gov/pubmed/22570254" \h </w:instrText>
      </w:r>
      <w:r>
        <w:fldChar w:fldCharType="separate"/>
      </w:r>
      <w:r>
        <w:rPr>
          <w:rFonts w:ascii="Times New Roman" w:hAnsi="Times New Roman" w:eastAsia="微软雅黑" w:cs="Times New Roman"/>
          <w:sz w:val="18"/>
          <w:szCs w:val="18"/>
        </w:rPr>
        <w:t xml:space="preserve"> </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2012, 72(13):3312-23.  </w:t>
      </w:r>
    </w:p>
    <w:p>
      <w:pPr>
        <w:widowControl/>
        <w:numPr>
          <w:ilvl w:val="0"/>
          <w:numId w:val="5"/>
        </w:numPr>
        <w:spacing w:after="3" w:line="247" w:lineRule="auto"/>
        <w:ind w:right="202" w:hanging="358"/>
        <w:rPr>
          <w:rFonts w:ascii="Times New Roman" w:hAnsi="Times New Roman" w:eastAsia="微软雅黑" w:cs="Times New Roman"/>
          <w:sz w:val="18"/>
          <w:szCs w:val="18"/>
        </w:rPr>
      </w:pPr>
      <w:r>
        <w:fldChar w:fldCharType="begin"/>
      </w:r>
      <w:r>
        <w:instrText xml:space="preserve"> HYPERLINK "http://www.ncbi.nlm.nih.gov/pubmed?term=Debelenko%20LV%5BAuthor%5D&amp;cauthor=true&amp;cauthor_uid=21076462" \h </w:instrText>
      </w:r>
      <w:r>
        <w:fldChar w:fldCharType="separate"/>
      </w:r>
      <w:r>
        <w:rPr>
          <w:rFonts w:ascii="Times New Roman" w:hAnsi="Times New Roman" w:eastAsia="微软雅黑" w:cs="Times New Roman"/>
          <w:sz w:val="18"/>
          <w:szCs w:val="18"/>
        </w:rPr>
        <w:t>Debelenko LV,</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 et al. Renal cell carcinoma with novel VCL-ALK fusion: new representative of ALKassociated tumor spectrum. </w:t>
      </w:r>
      <w:r>
        <w:fldChar w:fldCharType="begin"/>
      </w:r>
      <w:r>
        <w:instrText xml:space="preserve"> HYPERLINK "http://www.ncbi.nlm.nih.gov/pubmed/21076462" \h </w:instrText>
      </w:r>
      <w:r>
        <w:fldChar w:fldCharType="separate"/>
      </w:r>
      <w:r>
        <w:rPr>
          <w:rFonts w:ascii="Times New Roman" w:hAnsi="Times New Roman" w:eastAsia="微软雅黑" w:cs="Times New Roman"/>
          <w:sz w:val="18"/>
          <w:szCs w:val="18"/>
        </w:rPr>
        <w:t>Mod Pathol</w:t>
      </w:r>
      <w:r>
        <w:rPr>
          <w:rFonts w:ascii="Times New Roman" w:hAnsi="Times New Roman" w:eastAsia="微软雅黑" w:cs="Times New Roman"/>
          <w:sz w:val="18"/>
          <w:szCs w:val="18"/>
        </w:rPr>
        <w:fldChar w:fldCharType="end"/>
      </w:r>
      <w:r>
        <w:fldChar w:fldCharType="begin"/>
      </w:r>
      <w:r>
        <w:instrText xml:space="preserve"> HYPERLINK "http://www.ncbi.nlm.nih.gov/pubmed/21076462" \h </w:instrText>
      </w:r>
      <w:r>
        <w:fldChar w:fldCharType="separate"/>
      </w:r>
      <w:r>
        <w:rPr>
          <w:rFonts w:ascii="Times New Roman" w:hAnsi="Times New Roman" w:eastAsia="微软雅黑" w:cs="Times New Roman"/>
          <w:sz w:val="18"/>
          <w:szCs w:val="18"/>
        </w:rPr>
        <w:t>.</w:t>
      </w:r>
      <w:r>
        <w:rPr>
          <w:rFonts w:ascii="Times New Roman" w:hAnsi="Times New Roman" w:eastAsia="微软雅黑" w:cs="Times New Roman"/>
          <w:sz w:val="18"/>
          <w:szCs w:val="18"/>
        </w:rPr>
        <w:fldChar w:fldCharType="end"/>
      </w:r>
      <w:r>
        <w:fldChar w:fldCharType="begin"/>
      </w:r>
      <w:r>
        <w:instrText xml:space="preserve"> HYPERLINK "http://www.ncbi.nlm.nih.gov/pubmed/21076462" \h </w:instrText>
      </w:r>
      <w:r>
        <w:fldChar w:fldCharType="separate"/>
      </w:r>
      <w:r>
        <w:rPr>
          <w:rFonts w:ascii="Times New Roman" w:hAnsi="Times New Roman" w:eastAsia="微软雅黑" w:cs="Times New Roman"/>
          <w:sz w:val="18"/>
          <w:szCs w:val="18"/>
        </w:rPr>
        <w:t xml:space="preserve"> </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2011, 24(3):430-42.  </w:t>
      </w:r>
    </w:p>
    <w:p>
      <w:pPr>
        <w:widowControl/>
        <w:numPr>
          <w:ilvl w:val="0"/>
          <w:numId w:val="5"/>
        </w:numPr>
        <w:spacing w:after="3" w:line="247" w:lineRule="auto"/>
        <w:ind w:right="202" w:hanging="358"/>
        <w:rPr>
          <w:rFonts w:ascii="Times New Roman" w:hAnsi="Times New Roman" w:eastAsia="微软雅黑" w:cs="Times New Roman"/>
          <w:sz w:val="18"/>
          <w:szCs w:val="18"/>
        </w:rPr>
      </w:pPr>
      <w:r>
        <w:fldChar w:fldCharType="begin"/>
      </w:r>
      <w:r>
        <w:instrText xml:space="preserve"> HYPERLINK "http://www.ncbi.nlm.nih.gov/pubmed?term=van%20Gaal%20JC%5BAuthor%5D&amp;cauthor=true&amp;cauthor_uid=22184391" \h </w:instrText>
      </w:r>
      <w:r>
        <w:fldChar w:fldCharType="separate"/>
      </w:r>
      <w:r>
        <w:rPr>
          <w:rFonts w:ascii="Times New Roman" w:hAnsi="Times New Roman" w:eastAsia="微软雅黑" w:cs="Times New Roman"/>
          <w:sz w:val="18"/>
          <w:szCs w:val="18"/>
        </w:rPr>
        <w:t>van Gaal JC,</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 et al. Anaplastic lymphoma kinase aberrations in rhabdomyosarcoma: clinical and prognostic implications.</w:t>
      </w:r>
      <w:r>
        <w:fldChar w:fldCharType="begin"/>
      </w:r>
      <w:r>
        <w:instrText xml:space="preserve"> HYPERLINK "http://www.ncbi.nlm.nih.gov/pubmed/22184391" \h </w:instrText>
      </w:r>
      <w:r>
        <w:fldChar w:fldCharType="separate"/>
      </w:r>
      <w:r>
        <w:rPr>
          <w:rFonts w:ascii="Times New Roman" w:hAnsi="Times New Roman" w:eastAsia="微软雅黑" w:cs="Times New Roman"/>
          <w:sz w:val="18"/>
          <w:szCs w:val="18"/>
        </w:rPr>
        <w:t xml:space="preserve"> </w:t>
      </w:r>
      <w:r>
        <w:rPr>
          <w:rFonts w:ascii="Times New Roman" w:hAnsi="Times New Roman" w:eastAsia="微软雅黑" w:cs="Times New Roman"/>
          <w:sz w:val="18"/>
          <w:szCs w:val="18"/>
        </w:rPr>
        <w:fldChar w:fldCharType="end"/>
      </w:r>
      <w:r>
        <w:fldChar w:fldCharType="begin"/>
      </w:r>
      <w:r>
        <w:instrText xml:space="preserve"> HYPERLINK "http://www.ncbi.nlm.nih.gov/pubmed/22184391" \h </w:instrText>
      </w:r>
      <w:r>
        <w:fldChar w:fldCharType="separate"/>
      </w:r>
      <w:r>
        <w:rPr>
          <w:rFonts w:ascii="Times New Roman" w:hAnsi="Times New Roman" w:eastAsia="微软雅黑" w:cs="Times New Roman"/>
          <w:sz w:val="18"/>
          <w:szCs w:val="18"/>
        </w:rPr>
        <w:t>J Clin Oncol.</w:t>
      </w:r>
      <w:r>
        <w:rPr>
          <w:rFonts w:ascii="Times New Roman" w:hAnsi="Times New Roman" w:eastAsia="微软雅黑" w:cs="Times New Roman"/>
          <w:sz w:val="18"/>
          <w:szCs w:val="18"/>
        </w:rPr>
        <w:fldChar w:fldCharType="end"/>
      </w:r>
      <w:r>
        <w:fldChar w:fldCharType="begin"/>
      </w:r>
      <w:r>
        <w:instrText xml:space="preserve"> HYPERLINK "http://www.ncbi.nlm.nih.gov/pubmed/22184391" \h </w:instrText>
      </w:r>
      <w:r>
        <w:fldChar w:fldCharType="separate"/>
      </w:r>
      <w:r>
        <w:rPr>
          <w:rFonts w:ascii="Times New Roman" w:hAnsi="Times New Roman" w:eastAsia="微软雅黑" w:cs="Times New Roman"/>
          <w:sz w:val="18"/>
          <w:szCs w:val="18"/>
        </w:rPr>
        <w:t xml:space="preserve"> </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2012, 30(3):308-15.  </w:t>
      </w:r>
    </w:p>
    <w:p>
      <w:pPr>
        <w:widowControl/>
        <w:numPr>
          <w:ilvl w:val="0"/>
          <w:numId w:val="5"/>
        </w:numPr>
        <w:spacing w:after="3" w:line="247" w:lineRule="auto"/>
        <w:ind w:right="202" w:hanging="358"/>
        <w:rPr>
          <w:rFonts w:ascii="Times New Roman" w:hAnsi="Times New Roman" w:eastAsia="微软雅黑" w:cs="Times New Roman"/>
          <w:sz w:val="18"/>
          <w:szCs w:val="18"/>
        </w:rPr>
      </w:pPr>
      <w:r>
        <w:fldChar w:fldCharType="begin"/>
      </w:r>
      <w:r>
        <w:instrText xml:space="preserve"> HYPERLINK "http://www.ncbi.nlm.nih.gov/pubmed?term=Moss%C3%A9%20YP%5BAuthor%5D&amp;cauthor=true&amp;cauthor_uid=19737948" \h </w:instrText>
      </w:r>
      <w:r>
        <w:fldChar w:fldCharType="separate"/>
      </w:r>
      <w:r>
        <w:rPr>
          <w:rFonts w:ascii="Times New Roman" w:hAnsi="Times New Roman" w:eastAsia="微软雅黑" w:cs="Times New Roman"/>
          <w:sz w:val="18"/>
          <w:szCs w:val="18"/>
        </w:rPr>
        <w:t>Mosse YP,</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 et al. Inhibition of ALK signaling for cancer therapy. </w:t>
      </w:r>
      <w:r>
        <w:fldChar w:fldCharType="begin"/>
      </w:r>
      <w:r>
        <w:instrText xml:space="preserve"> HYPERLINK "http://www.ncbi.nlm.nih.gov/pubmed/19737948" \h </w:instrText>
      </w:r>
      <w:r>
        <w:fldChar w:fldCharType="separate"/>
      </w:r>
      <w:r>
        <w:rPr>
          <w:rFonts w:ascii="Times New Roman" w:hAnsi="Times New Roman" w:eastAsia="微软雅黑" w:cs="Times New Roman"/>
          <w:sz w:val="18"/>
          <w:szCs w:val="18"/>
        </w:rPr>
        <w:t>Clin Cancer Res.</w:t>
      </w:r>
      <w:r>
        <w:rPr>
          <w:rFonts w:ascii="Times New Roman" w:hAnsi="Times New Roman" w:eastAsia="微软雅黑" w:cs="Times New Roman"/>
          <w:sz w:val="18"/>
          <w:szCs w:val="18"/>
        </w:rPr>
        <w:fldChar w:fldCharType="end"/>
      </w:r>
      <w:r>
        <w:fldChar w:fldCharType="begin"/>
      </w:r>
      <w:r>
        <w:instrText xml:space="preserve"> HYPERLINK "http://www.ncbi.nlm.nih.gov/pubmed/19737948" \h </w:instrText>
      </w:r>
      <w:r>
        <w:fldChar w:fldCharType="separate"/>
      </w:r>
      <w:r>
        <w:rPr>
          <w:rFonts w:ascii="Times New Roman" w:hAnsi="Times New Roman" w:eastAsia="微软雅黑" w:cs="Times New Roman"/>
          <w:sz w:val="18"/>
          <w:szCs w:val="18"/>
        </w:rPr>
        <w:t xml:space="preserve"> </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2009, 15(18):5609-14.</w:t>
      </w:r>
    </w:p>
    <w:p>
      <w:pPr>
        <w:widowControl/>
        <w:jc w:val="left"/>
        <w:rPr>
          <w:rFonts w:ascii="Times New Roman" w:hAnsi="Times New Roman" w:eastAsia="微软雅黑" w:cs="Times New Roman"/>
          <w:sz w:val="18"/>
          <w:szCs w:val="18"/>
        </w:rPr>
      </w:pPr>
      <w:r>
        <w:rPr>
          <w:rFonts w:ascii="Times New Roman" w:hAnsi="Times New Roman" w:eastAsia="微软雅黑" w:cs="Times New Roman"/>
          <w:sz w:val="18"/>
          <w:szCs w:val="18"/>
        </w:rPr>
        <w:br w:type="page"/>
      </w:r>
    </w:p>
    <w:p>
      <w:pPr>
        <w:spacing w:line="259" w:lineRule="auto"/>
        <w:ind w:left="-5" w:hanging="10"/>
        <w:jc w:val="center"/>
        <w:rPr>
          <w:rFonts w:ascii="微软雅黑" w:hAnsi="微软雅黑" w:eastAsia="微软雅黑"/>
          <w:b/>
          <w:sz w:val="24"/>
          <w:szCs w:val="24"/>
        </w:rPr>
      </w:pPr>
      <w:r>
        <w:rPr>
          <w:rFonts w:ascii="微软雅黑" w:hAnsi="微软雅黑" w:eastAsia="微软雅黑" w:cs="Arial"/>
          <w:b/>
          <w:sz w:val="24"/>
          <w:szCs w:val="24"/>
        </w:rPr>
        <w:t>BRAF</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BRAF是丝氨酸-苏氨酸蛋白激酶家族的一员，其它成员包括 ARAF、BRAF和CRAF (RAF1)。</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 xml:space="preserve">RAF激酶是MAP激酶信号通路级联中的中心调节者，主要通过磷酸化和激活MEK起作用，这通常需要同源或异源RAF分子构成双体。作为MAP激酶通路的部分，RAF参与众多细胞生理过程，包括增殖、分化和转录调控。临床研究表明，BRAF突变体出现于多种癌症的发病过程，如黑色素瘤、非小细胞肺癌、结直肠癌、乳头状甲状腺癌和卵巢癌等。 </w:t>
      </w:r>
    </w:p>
    <w:p>
      <w:pPr>
        <w:spacing w:after="187" w:line="259" w:lineRule="auto"/>
        <w:ind w:right="124"/>
        <w:jc w:val="center"/>
      </w:pPr>
      <w:r>
        <w:drawing>
          <wp:inline distT="0" distB="0" distL="0" distR="0">
            <wp:extent cx="2809875" cy="2476500"/>
            <wp:effectExtent l="0" t="0" r="0" b="0"/>
            <wp:docPr id="14949" name="Picture 14949"/>
            <wp:cNvGraphicFramePr/>
            <a:graphic xmlns:a="http://schemas.openxmlformats.org/drawingml/2006/main">
              <a:graphicData uri="http://schemas.openxmlformats.org/drawingml/2006/picture">
                <pic:pic xmlns:pic="http://schemas.openxmlformats.org/drawingml/2006/picture">
                  <pic:nvPicPr>
                    <pic:cNvPr id="14949" name="Picture 14949"/>
                    <pic:cNvPicPr/>
                  </pic:nvPicPr>
                  <pic:blipFill>
                    <a:blip r:embed="rId14"/>
                    <a:stretch>
                      <a:fillRect/>
                    </a:stretch>
                  </pic:blipFill>
                  <pic:spPr>
                    <a:xfrm>
                      <a:off x="0" y="0"/>
                      <a:ext cx="2809875" cy="2476500"/>
                    </a:xfrm>
                    <a:prstGeom prst="rect">
                      <a:avLst/>
                    </a:prstGeom>
                  </pic:spPr>
                </pic:pic>
              </a:graphicData>
            </a:graphic>
          </wp:inline>
        </w:drawing>
      </w:r>
      <w:r>
        <w:rPr>
          <w:rFonts w:ascii="Arial" w:hAnsi="Arial" w:eastAsia="Arial" w:cs="Arial"/>
          <w:sz w:val="22"/>
        </w:rPr>
        <w:t xml:space="preserve"> </w:t>
      </w:r>
    </w:p>
    <w:p>
      <w:pPr>
        <w:spacing w:line="400" w:lineRule="exact"/>
        <w:jc w:val="center"/>
        <w:rPr>
          <w:rFonts w:ascii="微软雅黑" w:hAnsi="微软雅黑" w:eastAsia="微软雅黑" w:cs="MicrosoftYaHei"/>
          <w:kern w:val="0"/>
          <w:sz w:val="18"/>
          <w:szCs w:val="18"/>
        </w:rPr>
      </w:pPr>
      <w:r>
        <w:rPr>
          <w:rFonts w:ascii="微软雅黑" w:hAnsi="微软雅黑" w:eastAsia="微软雅黑" w:cs="MicrosoftYaHei"/>
          <w:kern w:val="0"/>
          <w:sz w:val="18"/>
          <w:szCs w:val="18"/>
        </w:rPr>
        <w:t xml:space="preserve">图示：甲状腺癌有丝分裂原活性蛋白激酶MAPK通路的活化。图中显示，BRAF突变体 (BRAF*) 可直接刺激MEK。BRAF的化学抑制剂如 Sorafenib 等可抑制其下游信号通路传递。 </w:t>
      </w:r>
    </w:p>
    <w:p>
      <w:pPr>
        <w:spacing w:line="400" w:lineRule="exact"/>
        <w:jc w:val="center"/>
        <w:rPr>
          <w:rFonts w:ascii="微软雅黑" w:hAnsi="微软雅黑" w:eastAsia="微软雅黑" w:cs="MicrosoftYaHei"/>
          <w:kern w:val="0"/>
          <w:sz w:val="18"/>
          <w:szCs w:val="18"/>
        </w:rPr>
      </w:pPr>
    </w:p>
    <w:p>
      <w:pPr>
        <w:spacing w:line="259" w:lineRule="auto"/>
        <w:ind w:left="-5" w:right="197" w:hanging="10"/>
      </w:pPr>
      <w:r>
        <w:rPr>
          <w:rFonts w:ascii="微软雅黑" w:hAnsi="微软雅黑" w:eastAsia="微软雅黑" w:cs="微软雅黑"/>
        </w:rPr>
        <w:t xml:space="preserve">参考文献 </w:t>
      </w:r>
    </w:p>
    <w:p>
      <w:pPr>
        <w:pStyle w:val="20"/>
        <w:widowControl/>
        <w:numPr>
          <w:ilvl w:val="0"/>
          <w:numId w:val="6"/>
        </w:numPr>
        <w:spacing w:after="3" w:line="247" w:lineRule="auto"/>
        <w:ind w:right="202" w:firstLineChars="0"/>
        <w:rPr>
          <w:rFonts w:ascii="Times New Roman" w:hAnsi="Times New Roman" w:cs="Times New Roman"/>
          <w:sz w:val="18"/>
          <w:szCs w:val="18"/>
        </w:rPr>
      </w:pPr>
      <w:r>
        <w:rPr>
          <w:rFonts w:ascii="Times New Roman" w:hAnsi="Times New Roman" w:cs="Times New Roman"/>
          <w:sz w:val="18"/>
          <w:szCs w:val="18"/>
        </w:rPr>
        <w:t>Davies H, et al. Mutations of the BRAF gene in human cancer. Nature. 2002, 417(6892):949-54.</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97" w:line="259" w:lineRule="auto"/>
        <w:jc w:val="center"/>
        <w:rPr>
          <w:rFonts w:ascii="微软雅黑" w:hAnsi="微软雅黑" w:eastAsia="微软雅黑"/>
          <w:b/>
          <w:sz w:val="24"/>
          <w:szCs w:val="24"/>
        </w:rPr>
      </w:pPr>
      <w:r>
        <w:rPr>
          <w:rFonts w:ascii="微软雅黑" w:hAnsi="微软雅黑" w:eastAsia="微软雅黑" w:cs="Arial"/>
          <w:b/>
          <w:sz w:val="24"/>
          <w:szCs w:val="24"/>
        </w:rPr>
        <w:t>CRLF2</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细胞因子受体样因子2 (CRLF2)编码的受体蛋白可能通过JAK通路而参与激活STAT。这些通路在免疫系统调节中起重要作用。癌症病人尤其是一些高风险急性淋巴性白血病患者中，CRLF2重排和一种复发突变会导致基因的过表达，预后效果极差。已有开展前期临床研究将JAK和mTOR抑制剂作为潜在的治疗手段靶向针对CRLF2重排阳性的急性淋巴性白血病</w:t>
      </w:r>
      <w:r>
        <w:rPr>
          <w:rFonts w:hint="eastAsia"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 xml:space="preserve">。 </w:t>
      </w:r>
    </w:p>
    <w:p>
      <w:pPr>
        <w:spacing w:after="128" w:line="259" w:lineRule="auto"/>
        <w:ind w:left="420"/>
        <w:jc w:val="left"/>
      </w:pPr>
      <w:r>
        <w:drawing>
          <wp:anchor distT="0" distB="0" distL="114300" distR="114300" simplePos="0" relativeHeight="251672576" behindDoc="0" locked="0" layoutInCell="1" allowOverlap="1">
            <wp:simplePos x="0" y="0"/>
            <wp:positionH relativeFrom="margin">
              <wp:posOffset>589280</wp:posOffset>
            </wp:positionH>
            <wp:positionV relativeFrom="paragraph">
              <wp:posOffset>167005</wp:posOffset>
            </wp:positionV>
            <wp:extent cx="4095750" cy="2028825"/>
            <wp:effectExtent l="0" t="0" r="0" b="9525"/>
            <wp:wrapNone/>
            <wp:docPr id="15051" name="Picture 15051"/>
            <wp:cNvGraphicFramePr/>
            <a:graphic xmlns:a="http://schemas.openxmlformats.org/drawingml/2006/main">
              <a:graphicData uri="http://schemas.openxmlformats.org/drawingml/2006/picture">
                <pic:pic xmlns:pic="http://schemas.openxmlformats.org/drawingml/2006/picture">
                  <pic:nvPicPr>
                    <pic:cNvPr id="15051" name="Picture 15051"/>
                    <pic:cNvPicPr/>
                  </pic:nvPicPr>
                  <pic:blipFill>
                    <a:blip r:embed="rId15">
                      <a:extLst>
                        <a:ext uri="{28A0092B-C50C-407E-A947-70E740481C1C}">
                          <a14:useLocalDpi xmlns:a14="http://schemas.microsoft.com/office/drawing/2010/main" val="0"/>
                        </a:ext>
                      </a:extLst>
                    </a:blip>
                    <a:stretch>
                      <a:fillRect/>
                    </a:stretch>
                  </pic:blipFill>
                  <pic:spPr>
                    <a:xfrm>
                      <a:off x="0" y="0"/>
                      <a:ext cx="4095750" cy="2028825"/>
                    </a:xfrm>
                    <a:prstGeom prst="rect">
                      <a:avLst/>
                    </a:prstGeom>
                  </pic:spPr>
                </pic:pic>
              </a:graphicData>
            </a:graphic>
          </wp:anchor>
        </w:drawing>
      </w:r>
      <w:r>
        <w:t xml:space="preserve"> </w:t>
      </w:r>
    </w:p>
    <w:p>
      <w:pPr>
        <w:spacing w:after="128" w:line="259" w:lineRule="auto"/>
        <w:ind w:left="420"/>
        <w:jc w:val="left"/>
      </w:pPr>
    </w:p>
    <w:p>
      <w:pPr>
        <w:spacing w:after="128" w:line="259" w:lineRule="auto"/>
        <w:ind w:left="420"/>
        <w:jc w:val="left"/>
      </w:pPr>
    </w:p>
    <w:p>
      <w:pPr>
        <w:spacing w:after="128" w:line="259" w:lineRule="auto"/>
        <w:ind w:left="420"/>
        <w:jc w:val="left"/>
      </w:pPr>
    </w:p>
    <w:p>
      <w:pPr>
        <w:spacing w:after="128" w:line="259" w:lineRule="auto"/>
        <w:ind w:left="420"/>
        <w:jc w:val="left"/>
      </w:pPr>
    </w:p>
    <w:p>
      <w:pPr>
        <w:spacing w:after="128" w:line="259" w:lineRule="auto"/>
        <w:ind w:left="420"/>
        <w:jc w:val="left"/>
      </w:pPr>
    </w:p>
    <w:p>
      <w:pPr>
        <w:spacing w:after="128" w:line="259" w:lineRule="auto"/>
        <w:ind w:left="420"/>
        <w:jc w:val="left"/>
      </w:pPr>
    </w:p>
    <w:p>
      <w:pPr>
        <w:spacing w:after="76" w:line="259" w:lineRule="auto"/>
        <w:ind w:right="1587"/>
        <w:jc w:val="right"/>
      </w:pPr>
    </w:p>
    <w:p>
      <w:pPr>
        <w:spacing w:after="126" w:line="259" w:lineRule="auto"/>
        <w:jc w:val="center"/>
        <w:rPr>
          <w:rFonts w:ascii="微软雅黑" w:hAnsi="微软雅黑" w:eastAsia="微软雅黑" w:cs="MicrosoftYaHei"/>
          <w:kern w:val="0"/>
          <w:sz w:val="18"/>
          <w:szCs w:val="18"/>
        </w:rPr>
      </w:pPr>
      <w:r>
        <w:rPr>
          <w:rFonts w:ascii="微软雅黑" w:hAnsi="微软雅黑" w:eastAsia="微软雅黑" w:cs="MicrosoftYaHei"/>
          <w:kern w:val="0"/>
          <w:sz w:val="18"/>
          <w:szCs w:val="18"/>
        </w:rPr>
        <w:t>图示：DS-ALL 病人 CRLF2 表达量与生存期关系曲线 3。</w:t>
      </w:r>
    </w:p>
    <w:p>
      <w:pPr>
        <w:spacing w:after="126" w:line="259" w:lineRule="auto"/>
        <w:jc w:val="center"/>
      </w:pPr>
    </w:p>
    <w:p>
      <w:pPr>
        <w:spacing w:line="259" w:lineRule="auto"/>
        <w:ind w:left="-5" w:right="197" w:hanging="10"/>
      </w:pPr>
      <w:r>
        <w:rPr>
          <w:rFonts w:ascii="微软雅黑" w:hAnsi="微软雅黑" w:eastAsia="微软雅黑" w:cs="微软雅黑"/>
        </w:rPr>
        <w:t xml:space="preserve">参考文献 </w:t>
      </w:r>
    </w:p>
    <w:p>
      <w:pPr>
        <w:widowControl/>
        <w:numPr>
          <w:ilvl w:val="0"/>
          <w:numId w:val="7"/>
        </w:numPr>
        <w:spacing w:after="143" w:line="247" w:lineRule="auto"/>
        <w:ind w:right="202" w:hanging="358"/>
        <w:rPr>
          <w:rFonts w:ascii="Times New Roman" w:hAnsi="Times New Roman" w:cs="Times New Roman"/>
          <w:sz w:val="18"/>
          <w:szCs w:val="18"/>
        </w:rPr>
      </w:pPr>
      <w:r>
        <w:rPr>
          <w:rFonts w:ascii="Times New Roman" w:hAnsi="Times New Roman" w:cs="Times New Roman"/>
          <w:sz w:val="18"/>
          <w:szCs w:val="18"/>
        </w:rPr>
        <w:t xml:space="preserve">Maude, et al. Targeting mTOR and JAK2 in Xenograft Models of CRLF2-Overexpressing Acute Lymphoblastic Leukemia (ALL). 53rd ASH Annual Meeting and Exposition. 2011, Dec 12. </w:t>
      </w:r>
    </w:p>
    <w:p>
      <w:pPr>
        <w:widowControl/>
        <w:numPr>
          <w:ilvl w:val="0"/>
          <w:numId w:val="7"/>
        </w:numPr>
        <w:spacing w:after="143" w:line="247" w:lineRule="auto"/>
        <w:ind w:right="202" w:hanging="358"/>
        <w:rPr>
          <w:rFonts w:ascii="Times New Roman" w:hAnsi="Times New Roman" w:cs="Times New Roman"/>
          <w:sz w:val="18"/>
          <w:szCs w:val="18"/>
        </w:rPr>
      </w:pPr>
      <w:r>
        <w:rPr>
          <w:rFonts w:ascii="Times New Roman" w:hAnsi="Times New Roman" w:cs="Times New Roman"/>
          <w:sz w:val="18"/>
          <w:szCs w:val="18"/>
        </w:rPr>
        <w:t xml:space="preserve">Tasian, et al. In vivo monitoring of JAK/STAT and PI3K/mTOR signal transduction inhibition in pediatric CRLF2-rearranged acute lymphoblastic leukemia (ALL). J Clin Oncol 30, 2012 (suppl; abstr 9506) </w:t>
      </w:r>
    </w:p>
    <w:p>
      <w:pPr>
        <w:widowControl/>
        <w:numPr>
          <w:ilvl w:val="0"/>
          <w:numId w:val="7"/>
        </w:numPr>
        <w:spacing w:after="143" w:line="247" w:lineRule="auto"/>
        <w:ind w:right="202" w:hanging="358"/>
        <w:rPr>
          <w:rFonts w:ascii="Times New Roman" w:hAnsi="Times New Roman" w:cs="Times New Roman"/>
          <w:sz w:val="18"/>
          <w:szCs w:val="18"/>
        </w:rPr>
      </w:pPr>
      <w:r>
        <w:rPr>
          <w:rFonts w:ascii="Times New Roman" w:hAnsi="Times New Roman" w:cs="Times New Roman"/>
          <w:sz w:val="18"/>
          <w:szCs w:val="18"/>
        </w:rPr>
        <w:t>Hertzberg, et al. Down syndrome acute lymphoblastic leukemia, a highly heterogeneous disease in which aberrant expression of CRLF2 is associated with mutated JAK2: a report from the International BFM Study Group. Blood. 2010, 115(5):1006-17.</w:t>
      </w:r>
    </w:p>
    <w:p>
      <w:pPr>
        <w:widowControl/>
        <w:jc w:val="left"/>
      </w:pPr>
      <w:r>
        <w:br w:type="page"/>
      </w:r>
    </w:p>
    <w:p>
      <w:pPr>
        <w:spacing w:after="97" w:line="259" w:lineRule="auto"/>
        <w:ind w:left="-5" w:hanging="10"/>
        <w:jc w:val="center"/>
        <w:rPr>
          <w:rFonts w:ascii="微软雅黑" w:hAnsi="微软雅黑" w:eastAsia="微软雅黑"/>
          <w:b/>
          <w:sz w:val="24"/>
          <w:szCs w:val="24"/>
        </w:rPr>
      </w:pPr>
      <w:r>
        <w:rPr>
          <w:rFonts w:ascii="微软雅黑" w:hAnsi="微软雅黑" w:eastAsia="微软雅黑" w:cs="Arial"/>
          <w:b/>
          <w:sz w:val="24"/>
          <w:szCs w:val="24"/>
        </w:rPr>
        <w:t>CTNNB1</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CTNNB1基因编码ß-连锁蛋白，是粘合连接复合体蛋白的组分，该复合体通过调节细胞生长和相邻细胞的粘合而在表皮细胞层的建立和维护中起重要作用</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。ß-连锁蛋白也是经典的Wnt信号通路的成员（图示）。缺乏Wnt信号时，糖原合成酶激酶-3磷酸化 ß-连锁蛋白，由此通过泛素-蛋白酶体途径降解ß-连锁蛋白。Wnt与其受体Frizzled蛋白结合时，ß-连锁蛋白磷酸化和泛素调控的降解被阻遏，此时ß-连锁蛋白可转移到细胞核，作为T-细胞因子/淋巴增强因子（TCF/LEF）转录因子的辅助因子。ß-连锁蛋白- TCF/LEF复合体最终使包括c-MYC 和 Cyclin-D1在内的靶蛋白活化</w:t>
      </w:r>
      <w:r>
        <w:rPr>
          <w:rFonts w:hint="eastAsia"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 xml:space="preserve">。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 xml:space="preserve">临床研究表明，CTNNB1 基因突变被发现参与了多种癌症的发病过程，包括黑色素瘤、结直肠癌、肝细胞癌和卵巢癌等。 </w:t>
      </w:r>
    </w:p>
    <w:p>
      <w:pPr>
        <w:spacing w:after="66" w:line="216" w:lineRule="auto"/>
        <w:ind w:left="4681" w:right="1899" w:hanging="2911"/>
        <w:jc w:val="left"/>
        <w:rPr>
          <w:rFonts w:ascii="Arial" w:hAnsi="Arial" w:eastAsia="Arial" w:cs="Arial"/>
          <w:b/>
          <w:sz w:val="20"/>
        </w:rPr>
      </w:pPr>
      <w:r>
        <w:drawing>
          <wp:anchor distT="0" distB="0" distL="114300" distR="114300" simplePos="0" relativeHeight="251674624" behindDoc="0" locked="0" layoutInCell="1" allowOverlap="1">
            <wp:simplePos x="0" y="0"/>
            <wp:positionH relativeFrom="margin">
              <wp:align>center</wp:align>
            </wp:positionH>
            <wp:positionV relativeFrom="paragraph">
              <wp:posOffset>35560</wp:posOffset>
            </wp:positionV>
            <wp:extent cx="3714750" cy="2495550"/>
            <wp:effectExtent l="0" t="0" r="0" b="0"/>
            <wp:wrapNone/>
            <wp:docPr id="15205" name="Picture 15205"/>
            <wp:cNvGraphicFramePr/>
            <a:graphic xmlns:a="http://schemas.openxmlformats.org/drawingml/2006/main">
              <a:graphicData uri="http://schemas.openxmlformats.org/drawingml/2006/picture">
                <pic:pic xmlns:pic="http://schemas.openxmlformats.org/drawingml/2006/picture">
                  <pic:nvPicPr>
                    <pic:cNvPr id="15205" name="Picture 15205"/>
                    <pic:cNvPicPr/>
                  </pic:nvPicPr>
                  <pic:blipFill>
                    <a:blip r:embed="rId16">
                      <a:extLst>
                        <a:ext uri="{28A0092B-C50C-407E-A947-70E740481C1C}">
                          <a14:useLocalDpi xmlns:a14="http://schemas.microsoft.com/office/drawing/2010/main" val="0"/>
                        </a:ext>
                      </a:extLst>
                    </a:blip>
                    <a:stretch>
                      <a:fillRect/>
                    </a:stretch>
                  </pic:blipFill>
                  <pic:spPr>
                    <a:xfrm>
                      <a:off x="0" y="0"/>
                      <a:ext cx="3714750" cy="2495550"/>
                    </a:xfrm>
                    <a:prstGeom prst="rect">
                      <a:avLst/>
                    </a:prstGeom>
                  </pic:spPr>
                </pic:pic>
              </a:graphicData>
            </a:graphic>
          </wp:anchor>
        </w:drawing>
      </w:r>
    </w:p>
    <w:p>
      <w:pPr>
        <w:spacing w:after="66" w:line="216" w:lineRule="auto"/>
        <w:ind w:left="4681" w:right="1899" w:hanging="2911"/>
        <w:jc w:val="left"/>
        <w:rPr>
          <w:rFonts w:ascii="Arial" w:hAnsi="Arial" w:eastAsia="Arial" w:cs="Arial"/>
          <w:b/>
          <w:sz w:val="20"/>
        </w:rPr>
      </w:pPr>
    </w:p>
    <w:p>
      <w:pPr>
        <w:spacing w:after="66" w:line="216" w:lineRule="auto"/>
        <w:ind w:left="4681" w:right="1899" w:hanging="2911"/>
        <w:jc w:val="left"/>
        <w:rPr>
          <w:rFonts w:ascii="Arial" w:hAnsi="Arial" w:eastAsia="Arial" w:cs="Arial"/>
          <w:b/>
          <w:sz w:val="20"/>
        </w:rPr>
      </w:pPr>
    </w:p>
    <w:p>
      <w:pPr>
        <w:spacing w:after="66" w:line="216" w:lineRule="auto"/>
        <w:ind w:left="4681" w:right="1899" w:hanging="2911"/>
        <w:jc w:val="left"/>
        <w:rPr>
          <w:rFonts w:ascii="Arial" w:hAnsi="Arial" w:cs="Arial"/>
          <w:b/>
          <w:sz w:val="20"/>
        </w:rPr>
      </w:pPr>
    </w:p>
    <w:p>
      <w:pPr>
        <w:spacing w:after="66" w:line="216" w:lineRule="auto"/>
        <w:ind w:left="4681" w:right="1899" w:hanging="2911"/>
        <w:jc w:val="left"/>
        <w:rPr>
          <w:rFonts w:ascii="Arial" w:hAnsi="Arial" w:cs="Arial"/>
          <w:b/>
          <w:sz w:val="20"/>
        </w:rPr>
      </w:pPr>
    </w:p>
    <w:p>
      <w:pPr>
        <w:spacing w:after="66" w:line="216" w:lineRule="auto"/>
        <w:ind w:left="4681" w:right="1899" w:hanging="2911"/>
        <w:jc w:val="left"/>
        <w:rPr>
          <w:rFonts w:ascii="Arial" w:hAnsi="Arial" w:cs="Arial"/>
          <w:b/>
          <w:sz w:val="20"/>
        </w:rPr>
      </w:pPr>
    </w:p>
    <w:p>
      <w:pPr>
        <w:spacing w:after="66" w:line="216" w:lineRule="auto"/>
        <w:ind w:left="4681" w:right="1899" w:hanging="2911"/>
        <w:jc w:val="left"/>
        <w:rPr>
          <w:rFonts w:ascii="Arial" w:hAnsi="Arial" w:cs="Arial"/>
          <w:b/>
          <w:sz w:val="20"/>
        </w:rPr>
      </w:pPr>
    </w:p>
    <w:p>
      <w:pPr>
        <w:spacing w:after="66" w:line="216" w:lineRule="auto"/>
        <w:ind w:left="4681" w:right="1899" w:hanging="2911"/>
        <w:jc w:val="left"/>
        <w:rPr>
          <w:rFonts w:ascii="Arial" w:hAnsi="Arial" w:cs="Arial"/>
          <w:b/>
          <w:sz w:val="20"/>
        </w:rPr>
      </w:pPr>
    </w:p>
    <w:p>
      <w:pPr>
        <w:spacing w:after="66" w:line="216" w:lineRule="auto"/>
        <w:ind w:left="4681" w:right="1899" w:hanging="2911"/>
        <w:jc w:val="left"/>
        <w:rPr>
          <w:rFonts w:ascii="Arial" w:hAnsi="Arial" w:cs="Arial"/>
          <w:b/>
          <w:sz w:val="20"/>
        </w:rPr>
      </w:pPr>
    </w:p>
    <w:p>
      <w:pPr>
        <w:spacing w:after="66" w:line="216" w:lineRule="auto"/>
        <w:ind w:right="1899"/>
        <w:jc w:val="left"/>
        <w:rPr>
          <w:rFonts w:ascii="Arial" w:hAnsi="Arial" w:cs="Arial"/>
          <w:b/>
          <w:sz w:val="20"/>
        </w:rPr>
      </w:pPr>
    </w:p>
    <w:p>
      <w:pPr>
        <w:spacing w:after="66" w:line="216" w:lineRule="auto"/>
        <w:ind w:left="4681" w:right="1899" w:hanging="2911"/>
        <w:jc w:val="left"/>
      </w:pPr>
      <w:r>
        <w:rPr>
          <w:rFonts w:ascii="Arial" w:hAnsi="Arial" w:eastAsia="Arial" w:cs="Arial"/>
          <w:b/>
          <w:sz w:val="20"/>
        </w:rPr>
        <w:t xml:space="preserve">  </w:t>
      </w:r>
    </w:p>
    <w:p>
      <w:pPr>
        <w:spacing w:after="126" w:line="259" w:lineRule="auto"/>
        <w:jc w:val="center"/>
      </w:pPr>
      <w:r>
        <w:rPr>
          <w:b/>
          <w:sz w:val="18"/>
        </w:rPr>
        <w:t xml:space="preserve">  </w:t>
      </w:r>
      <w:r>
        <w:rPr>
          <w:rFonts w:ascii="微软雅黑" w:hAnsi="微软雅黑" w:eastAsia="微软雅黑" w:cs="MicrosoftYaHei"/>
          <w:kern w:val="0"/>
          <w:sz w:val="18"/>
          <w:szCs w:val="18"/>
        </w:rPr>
        <w:t xml:space="preserve">图示： ß-连锁蛋白参与的 Wnt 信号通路。没有 Wnt 信号时，ß-连锁蛋白被磷酸化，之后泛素聚集而被 20S 蛋白酶体降  解；Wnt 结合受体时，ß-连锁蛋白稳定存在，之后移至细胞核参加 TCF/LEF 家族的转录活动。 </w:t>
      </w:r>
    </w:p>
    <w:p>
      <w:pPr>
        <w:spacing w:after="114" w:line="259" w:lineRule="auto"/>
        <w:jc w:val="left"/>
      </w:pPr>
      <w:r>
        <w:rPr>
          <w:rFonts w:ascii="微软雅黑" w:hAnsi="微软雅黑" w:eastAsia="微软雅黑" w:cs="微软雅黑"/>
          <w:sz w:val="18"/>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8"/>
        </w:numPr>
        <w:spacing w:after="143" w:line="247" w:lineRule="auto"/>
        <w:ind w:right="202" w:hanging="358"/>
        <w:rPr>
          <w:rFonts w:ascii="Times New Roman" w:hAnsi="Times New Roman" w:cs="Times New Roman"/>
          <w:sz w:val="18"/>
          <w:szCs w:val="18"/>
        </w:rPr>
      </w:pPr>
      <w:r>
        <w:rPr>
          <w:rFonts w:ascii="Times New Roman" w:hAnsi="Times New Roman" w:cs="Times New Roman"/>
          <w:sz w:val="18"/>
          <w:szCs w:val="18"/>
        </w:rPr>
        <w:t xml:space="preserve">Hartsock A, Nelson WJ. Adherens and tight junctions: structure, function and connections to the actin cytoskeleton. Biochim Biophys Acta. 2008, 1778(3):660-9. </w:t>
      </w:r>
    </w:p>
    <w:p>
      <w:pPr>
        <w:widowControl/>
        <w:numPr>
          <w:ilvl w:val="0"/>
          <w:numId w:val="8"/>
        </w:numPr>
        <w:spacing w:after="3" w:line="247" w:lineRule="auto"/>
        <w:ind w:right="202" w:hanging="358"/>
        <w:rPr>
          <w:rFonts w:ascii="Times New Roman" w:hAnsi="Times New Roman" w:cs="Times New Roman"/>
          <w:sz w:val="18"/>
          <w:szCs w:val="18"/>
        </w:rPr>
      </w:pPr>
      <w:r>
        <w:rPr>
          <w:rFonts w:ascii="Times New Roman" w:hAnsi="Times New Roman" w:cs="Times New Roman"/>
          <w:sz w:val="18"/>
          <w:szCs w:val="18"/>
        </w:rPr>
        <w:t>Giles RH, et al. Caught up in a Wnt storm: Wnt signaling in cancer. Biochim Biophys Acta. 2003, 1653(1):1-24.</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line="259" w:lineRule="auto"/>
        <w:jc w:val="center"/>
        <w:rPr>
          <w:rFonts w:ascii="微软雅黑" w:hAnsi="微软雅黑" w:eastAsia="微软雅黑"/>
          <w:b/>
          <w:sz w:val="24"/>
          <w:szCs w:val="24"/>
        </w:rPr>
      </w:pPr>
      <w:r>
        <w:rPr>
          <w:rFonts w:ascii="微软雅黑" w:hAnsi="微软雅黑" w:eastAsia="微软雅黑" w:cs="Arial"/>
          <w:b/>
          <w:sz w:val="24"/>
          <w:szCs w:val="24"/>
        </w:rPr>
        <w:t>DDR2</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 xml:space="preserve">盘状死亡受体(DDR2)是DDR酪氨酸激酶受体家族的成员，这类激酶被胶原蛋白而非肽生长因子激活（下图示）；其在癌症细胞中的下游信号通路并不清晰，但可能通过SRC 和STAT信号通路。与整合受体相似，DDR2可能在调节细胞与胞外基质反应中起作用。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临床研究表明，DDR2突变低频出现于一些癌症，如肾细胞癌、胶质母细胞瘤、子宫癌、结直肠癌（COSMIC）；被报道出现频率最高是在鳞状细胞肺癌</w:t>
      </w:r>
      <w:r>
        <w:rPr>
          <w:rFonts w:hint="eastAsia"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 xml:space="preserve">。 </w:t>
      </w:r>
    </w:p>
    <w:p>
      <w:pPr>
        <w:spacing w:after="211" w:line="259" w:lineRule="auto"/>
        <w:jc w:val="left"/>
      </w:pPr>
      <w:r>
        <w:drawing>
          <wp:anchor distT="0" distB="0" distL="114300" distR="114300" simplePos="0" relativeHeight="251673600" behindDoc="0" locked="0" layoutInCell="1" allowOverlap="1">
            <wp:simplePos x="0" y="0"/>
            <wp:positionH relativeFrom="margin">
              <wp:align>center</wp:align>
            </wp:positionH>
            <wp:positionV relativeFrom="paragraph">
              <wp:posOffset>133985</wp:posOffset>
            </wp:positionV>
            <wp:extent cx="3924300" cy="2876550"/>
            <wp:effectExtent l="0" t="0" r="0" b="0"/>
            <wp:wrapNone/>
            <wp:docPr id="15278" name="Picture 15278"/>
            <wp:cNvGraphicFramePr/>
            <a:graphic xmlns:a="http://schemas.openxmlformats.org/drawingml/2006/main">
              <a:graphicData uri="http://schemas.openxmlformats.org/drawingml/2006/picture">
                <pic:pic xmlns:pic="http://schemas.openxmlformats.org/drawingml/2006/picture">
                  <pic:nvPicPr>
                    <pic:cNvPr id="15278" name="Picture 15278"/>
                    <pic:cNvPicPr/>
                  </pic:nvPicPr>
                  <pic:blipFill>
                    <a:blip r:embed="rId17">
                      <a:extLst>
                        <a:ext uri="{28A0092B-C50C-407E-A947-70E740481C1C}">
                          <a14:useLocalDpi xmlns:a14="http://schemas.microsoft.com/office/drawing/2010/main" val="0"/>
                        </a:ext>
                      </a:extLst>
                    </a:blip>
                    <a:stretch>
                      <a:fillRect/>
                    </a:stretch>
                  </pic:blipFill>
                  <pic:spPr>
                    <a:xfrm>
                      <a:off x="0" y="0"/>
                      <a:ext cx="3924300" cy="2876550"/>
                    </a:xfrm>
                    <a:prstGeom prst="rect">
                      <a:avLst/>
                    </a:prstGeom>
                  </pic:spPr>
                </pic:pic>
              </a:graphicData>
            </a:graphic>
          </wp:anchor>
        </w:drawing>
      </w:r>
      <w:r>
        <w:rPr>
          <w:rFonts w:ascii="Arial" w:hAnsi="Arial" w:eastAsia="Arial" w:cs="Arial"/>
          <w:sz w:val="22"/>
        </w:rPr>
        <w:t xml:space="preserve"> </w:t>
      </w:r>
    </w:p>
    <w:p>
      <w:pPr>
        <w:spacing w:after="189" w:line="259" w:lineRule="auto"/>
        <w:ind w:left="1605"/>
        <w:jc w:val="center"/>
      </w:pPr>
    </w:p>
    <w:p>
      <w:pPr>
        <w:spacing w:after="189" w:line="259" w:lineRule="auto"/>
        <w:ind w:left="1605"/>
        <w:jc w:val="center"/>
      </w:pPr>
    </w:p>
    <w:p>
      <w:pPr>
        <w:spacing w:after="189" w:line="259" w:lineRule="auto"/>
        <w:ind w:left="1605"/>
        <w:jc w:val="center"/>
      </w:pPr>
    </w:p>
    <w:p>
      <w:pPr>
        <w:spacing w:after="189" w:line="259" w:lineRule="auto"/>
        <w:ind w:left="1605"/>
        <w:jc w:val="center"/>
      </w:pPr>
    </w:p>
    <w:p>
      <w:pPr>
        <w:spacing w:after="189" w:line="259" w:lineRule="auto"/>
        <w:ind w:left="1605"/>
        <w:jc w:val="center"/>
      </w:pPr>
    </w:p>
    <w:p>
      <w:pPr>
        <w:spacing w:after="189" w:line="259" w:lineRule="auto"/>
        <w:ind w:left="1605"/>
        <w:jc w:val="center"/>
      </w:pPr>
    </w:p>
    <w:p>
      <w:pPr>
        <w:spacing w:after="189" w:line="259" w:lineRule="auto"/>
        <w:ind w:left="1605"/>
        <w:jc w:val="center"/>
      </w:pPr>
    </w:p>
    <w:p>
      <w:pPr>
        <w:spacing w:after="189" w:line="259" w:lineRule="auto"/>
      </w:pPr>
    </w:p>
    <w:p>
      <w:pPr>
        <w:spacing w:after="315" w:line="265" w:lineRule="auto"/>
        <w:ind w:left="216" w:right="495" w:hanging="10"/>
        <w:jc w:val="center"/>
      </w:pPr>
      <w:r>
        <w:rPr>
          <w:rFonts w:ascii="微软雅黑" w:hAnsi="微软雅黑" w:eastAsia="微软雅黑" w:cs="微软雅黑"/>
          <w:sz w:val="18"/>
        </w:rPr>
        <w:t>图</w:t>
      </w:r>
      <w:r>
        <w:rPr>
          <w:rFonts w:ascii="微软雅黑" w:hAnsi="微软雅黑" w:eastAsia="微软雅黑" w:cs="MicrosoftYaHei"/>
          <w:kern w:val="0"/>
          <w:sz w:val="18"/>
          <w:szCs w:val="18"/>
        </w:rPr>
        <w:t>示： DDR2的信号通路。胶原蛋白与DDR2的结合激活了下游的信号通路。</w:t>
      </w:r>
    </w:p>
    <w:p>
      <w:pPr>
        <w:spacing w:line="259" w:lineRule="auto"/>
        <w:ind w:left="-5" w:right="197" w:hanging="10"/>
      </w:pPr>
      <w:r>
        <w:rPr>
          <w:rFonts w:ascii="微软雅黑" w:hAnsi="微软雅黑" w:eastAsia="微软雅黑" w:cs="微软雅黑"/>
        </w:rPr>
        <w:t xml:space="preserve">参考文献 </w:t>
      </w:r>
    </w:p>
    <w:p>
      <w:pPr>
        <w:widowControl/>
        <w:jc w:val="left"/>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1. Hammerman, et al. Mutations in the DDR2 kinase gene identify a novel therapeutic target in squamous cell lung cancer. Cancer Discov. 2011, 1(1):78-89.  </w:t>
      </w:r>
    </w:p>
    <w:p>
      <w:pPr>
        <w:widowControl/>
        <w:jc w:val="left"/>
        <w:rPr>
          <w:rFonts w:ascii="Times New Roman" w:hAnsi="Times New Roman" w:eastAsia="微软雅黑" w:cs="Times New Roman"/>
          <w:sz w:val="18"/>
          <w:szCs w:val="18"/>
        </w:rPr>
      </w:pPr>
      <w:r>
        <w:rPr>
          <w:rFonts w:ascii="Times New Roman" w:hAnsi="Times New Roman" w:eastAsia="微软雅黑" w:cs="Times New Roman"/>
          <w:sz w:val="18"/>
          <w:szCs w:val="18"/>
        </w:rPr>
        <w:br w:type="page"/>
      </w:r>
    </w:p>
    <w:p>
      <w:pPr>
        <w:spacing w:after="38" w:line="259" w:lineRule="auto"/>
        <w:ind w:left="-5" w:hanging="10"/>
        <w:jc w:val="center"/>
        <w:rPr>
          <w:rFonts w:ascii="微软雅黑" w:hAnsi="微软雅黑" w:eastAsia="微软雅黑"/>
          <w:b/>
          <w:sz w:val="24"/>
          <w:szCs w:val="24"/>
        </w:rPr>
      </w:pPr>
      <w:r>
        <w:rPr>
          <w:rFonts w:ascii="微软雅黑" w:hAnsi="微软雅黑" w:eastAsia="微软雅黑" w:cs="Arial"/>
          <w:b/>
          <w:sz w:val="24"/>
          <w:szCs w:val="24"/>
        </w:rPr>
        <w:t>DNMT3A</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DNA（胞嘧啶-5-）甲级转移酶 3α（DNMT3A）基因编码的蛋白在表观基因调控中起作用</w:t>
      </w:r>
      <w:r>
        <w:rPr>
          <w:rFonts w:ascii="微软雅黑" w:hAnsi="微软雅黑" w:eastAsia="微软雅黑" w:cs="MicrosoftYaHei"/>
          <w:kern w:val="0"/>
          <w:sz w:val="22"/>
          <w:szCs w:val="24"/>
          <w:vertAlign w:val="superscript"/>
        </w:rPr>
        <w:t>1，2</w:t>
      </w:r>
      <w:r>
        <w:rPr>
          <w:rFonts w:ascii="微软雅黑" w:hAnsi="微软雅黑" w:eastAsia="微软雅黑" w:cs="MicrosoftYaHei"/>
          <w:kern w:val="0"/>
          <w:sz w:val="22"/>
          <w:szCs w:val="24"/>
        </w:rPr>
        <w:t>。常可在恶性血液疾病中发现DNMT3A突变，但也可在诸如肺癌中观察到</w:t>
      </w:r>
      <w:r>
        <w:rPr>
          <w:rFonts w:ascii="微软雅黑" w:hAnsi="微软雅黑" w:eastAsia="微软雅黑" w:cs="MicrosoftYaHei"/>
          <w:kern w:val="0"/>
          <w:sz w:val="22"/>
          <w:szCs w:val="24"/>
          <w:vertAlign w:val="superscript"/>
        </w:rPr>
        <w:t>3</w:t>
      </w:r>
      <w:r>
        <w:rPr>
          <w:rFonts w:ascii="微软雅黑" w:hAnsi="微软雅黑" w:eastAsia="微软雅黑" w:cs="MicrosoftYaHei"/>
          <w:kern w:val="0"/>
          <w:sz w:val="22"/>
          <w:szCs w:val="24"/>
        </w:rPr>
        <w:t>。在 17.1%的急性骨髓性白血病中有DNMT3A基因突变(COSMIC)。DNMT3A突变常发生在编码蛋白的R882位置，由此导致蛋白功能丧失</w:t>
      </w:r>
      <w:r>
        <w:rPr>
          <w:rFonts w:ascii="微软雅黑" w:hAnsi="微软雅黑" w:eastAsia="微软雅黑" w:cs="MicrosoftYaHei"/>
          <w:kern w:val="0"/>
          <w:sz w:val="22"/>
          <w:szCs w:val="24"/>
          <w:vertAlign w:val="superscript"/>
        </w:rPr>
        <w:t>4</w:t>
      </w:r>
      <w:r>
        <w:rPr>
          <w:rFonts w:ascii="微软雅黑" w:hAnsi="微软雅黑" w:eastAsia="微软雅黑" w:cs="MicrosoftYaHei"/>
          <w:kern w:val="0"/>
          <w:sz w:val="22"/>
          <w:szCs w:val="24"/>
        </w:rPr>
        <w:t>。DNMT3A基因突变不在白血病发病的“双击假说”范围之内，有学者提出将其列为新的一类突变；新出现的这种类---III 类可定义为表观遗传调控基因突变</w:t>
      </w:r>
      <w:r>
        <w:rPr>
          <w:rFonts w:ascii="微软雅黑" w:hAnsi="微软雅黑" w:eastAsia="微软雅黑" w:cs="MicrosoftYaHei"/>
          <w:kern w:val="0"/>
          <w:sz w:val="22"/>
          <w:szCs w:val="24"/>
          <w:vertAlign w:val="superscript"/>
        </w:rPr>
        <w:t>4，5</w:t>
      </w:r>
      <w:r>
        <w:rPr>
          <w:rFonts w:ascii="微软雅黑" w:hAnsi="微软雅黑" w:eastAsia="微软雅黑" w:cs="MicrosoftYaHei"/>
          <w:kern w:val="0"/>
          <w:sz w:val="22"/>
          <w:szCs w:val="24"/>
        </w:rPr>
        <w:t>。与IDH1和IDH2基因突变相似，</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 xml:space="preserve">DNMT3A突变因影响到DNA甲基化，从而通过了复调控基因表达而在癌症发生中起一定作用。 </w:t>
      </w:r>
    </w:p>
    <w:p>
      <w:pPr>
        <w:spacing w:line="259" w:lineRule="auto"/>
        <w:jc w:val="left"/>
      </w:pPr>
      <w:r>
        <w:t xml:space="preserve"> </w:t>
      </w:r>
    </w:p>
    <w:p>
      <w:pPr>
        <w:spacing w:line="259" w:lineRule="auto"/>
        <w:ind w:left="420"/>
        <w:jc w:val="left"/>
      </w:pPr>
      <w:r>
        <w:drawing>
          <wp:anchor distT="0" distB="0" distL="114300" distR="114300" simplePos="0" relativeHeight="251675648" behindDoc="0" locked="0" layoutInCell="1" allowOverlap="1">
            <wp:simplePos x="0" y="0"/>
            <wp:positionH relativeFrom="margin">
              <wp:align>center</wp:align>
            </wp:positionH>
            <wp:positionV relativeFrom="paragraph">
              <wp:posOffset>26670</wp:posOffset>
            </wp:positionV>
            <wp:extent cx="3419475" cy="2362200"/>
            <wp:effectExtent l="0" t="0" r="9525" b="0"/>
            <wp:wrapNone/>
            <wp:docPr id="15442" name="Picture 15442"/>
            <wp:cNvGraphicFramePr/>
            <a:graphic xmlns:a="http://schemas.openxmlformats.org/drawingml/2006/main">
              <a:graphicData uri="http://schemas.openxmlformats.org/drawingml/2006/picture">
                <pic:pic xmlns:pic="http://schemas.openxmlformats.org/drawingml/2006/picture">
                  <pic:nvPicPr>
                    <pic:cNvPr id="15442" name="Picture 15442"/>
                    <pic:cNvPicPr/>
                  </pic:nvPicPr>
                  <pic:blipFill>
                    <a:blip r:embed="rId18">
                      <a:extLst>
                        <a:ext uri="{28A0092B-C50C-407E-A947-70E740481C1C}">
                          <a14:useLocalDpi xmlns:a14="http://schemas.microsoft.com/office/drawing/2010/main" val="0"/>
                        </a:ext>
                      </a:extLst>
                    </a:blip>
                    <a:stretch>
                      <a:fillRect/>
                    </a:stretch>
                  </pic:blipFill>
                  <pic:spPr>
                    <a:xfrm>
                      <a:off x="0" y="0"/>
                      <a:ext cx="3419475" cy="2362200"/>
                    </a:xfrm>
                    <a:prstGeom prst="rect">
                      <a:avLst/>
                    </a:prstGeom>
                  </pic:spPr>
                </pic:pic>
              </a:graphicData>
            </a:graphic>
          </wp:anchor>
        </w:drawing>
      </w:r>
    </w:p>
    <w:p>
      <w:pPr>
        <w:spacing w:line="259" w:lineRule="auto"/>
        <w:ind w:left="420"/>
        <w:jc w:val="left"/>
      </w:pPr>
    </w:p>
    <w:p>
      <w:pPr>
        <w:spacing w:line="259" w:lineRule="auto"/>
        <w:ind w:left="420"/>
        <w:jc w:val="left"/>
      </w:pPr>
    </w:p>
    <w:p>
      <w:pPr>
        <w:spacing w:line="259" w:lineRule="auto"/>
        <w:ind w:left="420"/>
        <w:jc w:val="left"/>
      </w:pPr>
    </w:p>
    <w:p>
      <w:pPr>
        <w:spacing w:line="259" w:lineRule="auto"/>
        <w:ind w:left="420"/>
        <w:jc w:val="left"/>
      </w:pPr>
    </w:p>
    <w:p>
      <w:pPr>
        <w:spacing w:line="259" w:lineRule="auto"/>
        <w:ind w:left="420"/>
        <w:jc w:val="left"/>
      </w:pPr>
    </w:p>
    <w:p>
      <w:pPr>
        <w:spacing w:line="259" w:lineRule="auto"/>
        <w:ind w:left="420"/>
        <w:jc w:val="left"/>
      </w:pPr>
    </w:p>
    <w:p>
      <w:pPr>
        <w:spacing w:line="259" w:lineRule="auto"/>
        <w:ind w:left="420"/>
        <w:jc w:val="left"/>
      </w:pPr>
    </w:p>
    <w:p>
      <w:pPr>
        <w:spacing w:line="259" w:lineRule="auto"/>
        <w:jc w:val="left"/>
      </w:pPr>
    </w:p>
    <w:p>
      <w:pPr>
        <w:spacing w:line="259" w:lineRule="auto"/>
        <w:jc w:val="left"/>
      </w:pPr>
    </w:p>
    <w:p>
      <w:pPr>
        <w:spacing w:line="259" w:lineRule="auto"/>
        <w:ind w:left="420"/>
        <w:jc w:val="left"/>
      </w:pPr>
      <w:r>
        <w:t xml:space="preserve"> </w:t>
      </w:r>
    </w:p>
    <w:p>
      <w:pPr>
        <w:spacing w:after="59" w:line="216" w:lineRule="auto"/>
        <w:ind w:left="401" w:right="1884" w:firstLine="1834"/>
        <w:jc w:val="left"/>
      </w:pPr>
      <w:r>
        <w:rPr>
          <w:rFonts w:ascii="Arial" w:hAnsi="Arial" w:eastAsia="Arial" w:cs="Arial"/>
          <w:sz w:val="20"/>
        </w:rPr>
        <w:t xml:space="preserve">  </w:t>
      </w:r>
    </w:p>
    <w:p>
      <w:pPr>
        <w:spacing w:after="126" w:line="259" w:lineRule="auto"/>
        <w:jc w:val="center"/>
        <w:rPr>
          <w:rFonts w:ascii="微软雅黑" w:hAnsi="微软雅黑" w:eastAsia="微软雅黑"/>
          <w:sz w:val="18"/>
        </w:rPr>
      </w:pPr>
      <w:r>
        <w:rPr>
          <w:rFonts w:ascii="微软雅黑" w:hAnsi="微软雅黑" w:eastAsia="微软雅黑"/>
          <w:sz w:val="18"/>
        </w:rPr>
        <w:t xml:space="preserve">图示： DNMT3A 影响 DNA 甲基化（图片来源 6） </w:t>
      </w:r>
    </w:p>
    <w:p>
      <w:pPr>
        <w:spacing w:line="259" w:lineRule="auto"/>
        <w:ind w:left="-5" w:right="197" w:hanging="10"/>
      </w:pPr>
      <w:r>
        <w:rPr>
          <w:rFonts w:ascii="微软雅黑" w:hAnsi="微软雅黑" w:eastAsia="微软雅黑" w:cs="微软雅黑"/>
        </w:rPr>
        <w:t xml:space="preserve">参考文献 </w:t>
      </w:r>
    </w:p>
    <w:p>
      <w:pPr>
        <w:widowControl/>
        <w:numPr>
          <w:ilvl w:val="0"/>
          <w:numId w:val="9"/>
        </w:numPr>
        <w:spacing w:after="31" w:line="247" w:lineRule="auto"/>
        <w:ind w:right="202" w:hanging="420"/>
        <w:rPr>
          <w:rFonts w:ascii="Times New Roman" w:hAnsi="Times New Roman" w:cs="Times New Roman"/>
          <w:sz w:val="18"/>
          <w:szCs w:val="18"/>
        </w:rPr>
      </w:pPr>
      <w:r>
        <w:rPr>
          <w:rFonts w:ascii="Times New Roman" w:hAnsi="Times New Roman" w:cs="Times New Roman"/>
          <w:sz w:val="18"/>
          <w:szCs w:val="18"/>
        </w:rPr>
        <w:t xml:space="preserve">NCBI Gene database. http://www.ncbi.nlm.nih.gov/gene/1788. </w:t>
      </w:r>
    </w:p>
    <w:p>
      <w:pPr>
        <w:widowControl/>
        <w:numPr>
          <w:ilvl w:val="0"/>
          <w:numId w:val="9"/>
        </w:numPr>
        <w:spacing w:after="26" w:line="247" w:lineRule="auto"/>
        <w:ind w:right="202" w:hanging="420"/>
        <w:rPr>
          <w:rFonts w:ascii="Times New Roman" w:hAnsi="Times New Roman" w:cs="Times New Roman"/>
          <w:sz w:val="18"/>
          <w:szCs w:val="18"/>
        </w:rPr>
      </w:pPr>
      <w:r>
        <w:rPr>
          <w:rFonts w:ascii="Times New Roman" w:hAnsi="Times New Roman" w:cs="Times New Roman"/>
          <w:sz w:val="18"/>
          <w:szCs w:val="18"/>
        </w:rPr>
        <w:t xml:space="preserve">Li, et al. Synergistic function of DNA methyltransferases Dnmt3a and Dnmt3b in the methylation of Oct4 and Nanog. Mol Cell Biol. 2007, 27(24):8748-59.  </w:t>
      </w:r>
    </w:p>
    <w:p>
      <w:pPr>
        <w:widowControl/>
        <w:numPr>
          <w:ilvl w:val="0"/>
          <w:numId w:val="9"/>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 xml:space="preserve">Kim, et al. Mutational analysis of DNMT3A gene in acute leukemias and common solid cancers. APMIS. 2013, 121(2):85-94. </w:t>
      </w:r>
    </w:p>
    <w:p>
      <w:pPr>
        <w:widowControl/>
        <w:numPr>
          <w:ilvl w:val="0"/>
          <w:numId w:val="9"/>
        </w:numPr>
        <w:spacing w:after="28" w:line="247" w:lineRule="auto"/>
        <w:ind w:right="202" w:hanging="420"/>
        <w:rPr>
          <w:rFonts w:ascii="Times New Roman" w:hAnsi="Times New Roman" w:cs="Times New Roman"/>
          <w:sz w:val="18"/>
          <w:szCs w:val="18"/>
        </w:rPr>
      </w:pPr>
      <w:r>
        <w:rPr>
          <w:rFonts w:ascii="Times New Roman" w:hAnsi="Times New Roman" w:cs="Times New Roman"/>
          <w:sz w:val="18"/>
          <w:szCs w:val="18"/>
        </w:rPr>
        <w:t xml:space="preserve">Shih et al. The role of mutations in epigenetic regulators in myeloid malignancies. Nat Rev Cancer. 2012, 12(9):599-612.  </w:t>
      </w:r>
    </w:p>
    <w:p>
      <w:pPr>
        <w:widowControl/>
        <w:numPr>
          <w:ilvl w:val="0"/>
          <w:numId w:val="9"/>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 xml:space="preserve">Naoe T, Kiyoi H. Gene mutations of acute myeloid leukemia in the genome era. Int J Hematol. 2013, 97(2):165-74. </w:t>
      </w:r>
    </w:p>
    <w:p>
      <w:pPr>
        <w:widowControl/>
        <w:numPr>
          <w:ilvl w:val="0"/>
          <w:numId w:val="9"/>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Shah MY, Licht JD. DNMT3A mutations in acute myeloid leukemia. Nat Genet. 2011, 29;43(4):289-90.</w:t>
      </w:r>
    </w:p>
    <w:p>
      <w:pPr>
        <w:widowControl/>
        <w:jc w:val="left"/>
        <w:rPr>
          <w:rFonts w:ascii="Times New Roman" w:hAnsi="Times New Roman" w:eastAsia="微软雅黑" w:cs="Times New Roman"/>
          <w:sz w:val="18"/>
          <w:szCs w:val="18"/>
        </w:rPr>
      </w:pPr>
    </w:p>
    <w:p>
      <w:pPr>
        <w:widowControl/>
        <w:jc w:val="left"/>
        <w:rPr>
          <w:rFonts w:ascii="Times New Roman" w:hAnsi="Times New Roman" w:eastAsia="微软雅黑" w:cs="Times New Roman"/>
          <w:sz w:val="18"/>
          <w:szCs w:val="18"/>
        </w:rPr>
      </w:pPr>
      <w:r>
        <w:rPr>
          <w:rFonts w:ascii="Times New Roman" w:hAnsi="Times New Roman" w:eastAsia="微软雅黑" w:cs="Times New Roman"/>
          <w:sz w:val="18"/>
          <w:szCs w:val="18"/>
        </w:rPr>
        <w:br w:type="page"/>
      </w:r>
    </w:p>
    <w:p>
      <w:pPr>
        <w:spacing w:after="38" w:line="259" w:lineRule="auto"/>
        <w:ind w:left="-5" w:hanging="10"/>
        <w:jc w:val="center"/>
      </w:pPr>
      <w:r>
        <w:rPr>
          <w:rFonts w:ascii="微软雅黑" w:hAnsi="微软雅黑" w:eastAsia="微软雅黑" w:cs="Arial"/>
          <w:b/>
          <w:sz w:val="24"/>
          <w:szCs w:val="24"/>
        </w:rPr>
        <w:t>EGFR</w:t>
      </w:r>
      <w:r>
        <w:rPr>
          <w:rFonts w:ascii="Arial" w:hAnsi="Arial" w:eastAsia="Arial" w:cs="Arial"/>
          <w:sz w:val="44"/>
        </w:rPr>
        <w:t xml:space="preserve">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表皮生长因子受体（EGFR）属于受体酪氨酸激酶（RTKs）家族，包括EGFR/ERBB1、</w:t>
      </w:r>
    </w:p>
    <w:p>
      <w:pPr>
        <w:spacing w:line="400" w:lineRule="exact"/>
        <w:rPr>
          <w:rFonts w:ascii="微软雅黑" w:hAnsi="微软雅黑" w:eastAsia="微软雅黑"/>
        </w:rPr>
      </w:pPr>
      <w:r>
        <w:rPr>
          <w:rFonts w:ascii="微软雅黑" w:hAnsi="微软雅黑" w:eastAsia="微软雅黑" w:cs="MicrosoftYaHei"/>
          <w:kern w:val="0"/>
          <w:sz w:val="22"/>
          <w:szCs w:val="24"/>
        </w:rPr>
        <w:t>HER2/ERBB2/NEU、HER3/ERBB3 以及HER4/ERBB4。与配体如表皮生长因子（EGF）的结合，诱导其构象变化而更有利于受体的同源或异源二聚体的形成，由此导致EGFR 酪氨酸激酶的激活（图示）。之后，活化的EGFR磷酸化其下游底物，从而活化了细胞内多种下游途径，包括涉及细胞存活的PI3K-AKT-mTOR途径，和参与细胞增殖的 RAS-RAF-MEK-ERK通路。</w:t>
      </w:r>
      <w:r>
        <w:rPr>
          <w:rFonts w:ascii="微软雅黑" w:hAnsi="微软雅黑" w:eastAsia="微软雅黑"/>
        </w:rPr>
        <w:t xml:space="preserve"> </w:t>
      </w:r>
    </w:p>
    <w:p>
      <w:pPr>
        <w:spacing w:line="400" w:lineRule="exact"/>
        <w:rPr>
          <w:rFonts w:ascii="微软雅黑" w:hAnsi="微软雅黑" w:eastAsia="微软雅黑"/>
        </w:rPr>
      </w:pPr>
    </w:p>
    <w:p>
      <w:pPr>
        <w:spacing w:after="137" w:line="259" w:lineRule="auto"/>
        <w:ind w:left="420"/>
        <w:jc w:val="left"/>
      </w:pPr>
      <w:r>
        <w:drawing>
          <wp:anchor distT="0" distB="0" distL="114300" distR="114300" simplePos="0" relativeHeight="251676672" behindDoc="0" locked="0" layoutInCell="1" allowOverlap="1">
            <wp:simplePos x="0" y="0"/>
            <wp:positionH relativeFrom="margin">
              <wp:align>center</wp:align>
            </wp:positionH>
            <wp:positionV relativeFrom="paragraph">
              <wp:posOffset>27305</wp:posOffset>
            </wp:positionV>
            <wp:extent cx="3752850" cy="2809875"/>
            <wp:effectExtent l="0" t="0" r="0" b="9525"/>
            <wp:wrapNone/>
            <wp:docPr id="15536" name="Picture 15536"/>
            <wp:cNvGraphicFramePr/>
            <a:graphic xmlns:a="http://schemas.openxmlformats.org/drawingml/2006/main">
              <a:graphicData uri="http://schemas.openxmlformats.org/drawingml/2006/picture">
                <pic:pic xmlns:pic="http://schemas.openxmlformats.org/drawingml/2006/picture">
                  <pic:nvPicPr>
                    <pic:cNvPr id="15536" name="Picture 155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2850" cy="2809875"/>
                    </a:xfrm>
                    <a:prstGeom prst="rect">
                      <a:avLst/>
                    </a:prstGeom>
                  </pic:spPr>
                </pic:pic>
              </a:graphicData>
            </a:graphic>
          </wp:anchor>
        </w:drawing>
      </w:r>
      <w:r>
        <w:t xml:space="preserve"> </w:t>
      </w:r>
    </w:p>
    <w:p>
      <w:pPr>
        <w:spacing w:after="185" w:line="259" w:lineRule="auto"/>
        <w:ind w:left="1740"/>
        <w:jc w:val="left"/>
        <w:rPr>
          <w:rFonts w:ascii="Arial" w:hAnsi="Arial" w:eastAsia="Arial" w:cs="Arial"/>
          <w:sz w:val="22"/>
        </w:rPr>
      </w:pPr>
    </w:p>
    <w:p>
      <w:pPr>
        <w:spacing w:after="185" w:line="259" w:lineRule="auto"/>
        <w:ind w:left="1740"/>
        <w:jc w:val="left"/>
        <w:rPr>
          <w:rFonts w:ascii="Arial" w:hAnsi="Arial" w:eastAsia="Arial" w:cs="Arial"/>
          <w:sz w:val="22"/>
        </w:rPr>
      </w:pPr>
    </w:p>
    <w:p>
      <w:pPr>
        <w:spacing w:after="185" w:line="259" w:lineRule="auto"/>
        <w:ind w:left="1740"/>
        <w:jc w:val="left"/>
        <w:rPr>
          <w:rFonts w:ascii="Arial" w:hAnsi="Arial" w:eastAsia="Arial" w:cs="Arial"/>
          <w:sz w:val="22"/>
        </w:rPr>
      </w:pPr>
    </w:p>
    <w:p>
      <w:pPr>
        <w:spacing w:after="185" w:line="259" w:lineRule="auto"/>
        <w:ind w:left="1740"/>
        <w:jc w:val="left"/>
        <w:rPr>
          <w:rFonts w:ascii="Arial" w:hAnsi="Arial" w:eastAsia="Arial" w:cs="Arial"/>
          <w:sz w:val="22"/>
        </w:rPr>
      </w:pPr>
    </w:p>
    <w:p>
      <w:pPr>
        <w:spacing w:after="185" w:line="259" w:lineRule="auto"/>
        <w:ind w:left="1740"/>
        <w:jc w:val="left"/>
        <w:rPr>
          <w:rFonts w:ascii="Arial" w:hAnsi="Arial" w:eastAsia="Arial" w:cs="Arial"/>
          <w:sz w:val="22"/>
        </w:rPr>
      </w:pPr>
    </w:p>
    <w:p>
      <w:pPr>
        <w:spacing w:after="185" w:line="259" w:lineRule="auto"/>
        <w:ind w:left="1740"/>
        <w:jc w:val="left"/>
        <w:rPr>
          <w:rFonts w:ascii="Arial" w:hAnsi="Arial" w:eastAsia="Arial" w:cs="Arial"/>
          <w:sz w:val="22"/>
        </w:rPr>
      </w:pPr>
    </w:p>
    <w:p>
      <w:pPr>
        <w:spacing w:after="185" w:line="259" w:lineRule="auto"/>
        <w:ind w:left="1740"/>
        <w:jc w:val="left"/>
        <w:rPr>
          <w:rFonts w:ascii="Arial" w:hAnsi="Arial" w:eastAsia="Arial" w:cs="Arial"/>
          <w:sz w:val="22"/>
        </w:rPr>
      </w:pPr>
    </w:p>
    <w:p>
      <w:pPr>
        <w:spacing w:after="185" w:line="259" w:lineRule="auto"/>
        <w:ind w:left="1740"/>
        <w:jc w:val="left"/>
      </w:pPr>
      <w:r>
        <w:rPr>
          <w:rFonts w:ascii="Arial" w:hAnsi="Arial" w:eastAsia="Arial" w:cs="Arial"/>
          <w:sz w:val="22"/>
        </w:rPr>
        <w:t xml:space="preserve"> </w:t>
      </w:r>
    </w:p>
    <w:p>
      <w:pPr>
        <w:spacing w:after="361" w:line="265" w:lineRule="auto"/>
        <w:ind w:left="216" w:right="422" w:hanging="10"/>
        <w:jc w:val="center"/>
      </w:pPr>
      <w:r>
        <w:rPr>
          <w:rFonts w:ascii="微软雅黑" w:hAnsi="微软雅黑" w:eastAsia="微软雅黑" w:cs="微软雅黑"/>
          <w:sz w:val="18"/>
        </w:rPr>
        <w:t xml:space="preserve">图示： EGFR 的活化及其常见突变类型 </w:t>
      </w:r>
      <w:r>
        <w:rPr>
          <w:rFonts w:ascii="微软雅黑" w:hAnsi="微软雅黑" w:eastAsia="微软雅黑" w:cs="微软雅黑"/>
          <w:sz w:val="18"/>
          <w:vertAlign w:val="superscript"/>
        </w:rPr>
        <w:t>1</w:t>
      </w:r>
      <w:r>
        <w:rPr>
          <w:rFonts w:ascii="微软雅黑" w:hAnsi="微软雅黑" w:eastAsia="微软雅黑" w:cs="微软雅黑"/>
          <w:sz w:val="18"/>
        </w:rPr>
        <w:t xml:space="preserve"> </w:t>
      </w:r>
    </w:p>
    <w:p>
      <w:pPr>
        <w:spacing w:after="87" w:line="259" w:lineRule="auto"/>
        <w:jc w:val="left"/>
      </w:pPr>
    </w:p>
    <w:p>
      <w:pPr>
        <w:spacing w:line="259" w:lineRule="auto"/>
        <w:ind w:left="-5" w:right="197" w:hanging="10"/>
      </w:pPr>
      <w:r>
        <w:rPr>
          <w:rFonts w:ascii="微软雅黑" w:hAnsi="微软雅黑" w:eastAsia="微软雅黑" w:cs="微软雅黑"/>
        </w:rPr>
        <w:t>参考文献</w:t>
      </w:r>
      <w:r>
        <w:t xml:space="preserve"> </w:t>
      </w:r>
    </w:p>
    <w:p>
      <w:pPr>
        <w:spacing w:after="35"/>
        <w:ind w:right="202"/>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eastAsia="Arial" w:cs="Times New Roman"/>
          <w:sz w:val="18"/>
          <w:szCs w:val="18"/>
        </w:rPr>
        <w:t xml:space="preserve"> </w:t>
      </w:r>
      <w:r>
        <w:rPr>
          <w:rFonts w:ascii="Times New Roman" w:hAnsi="Times New Roman" w:cs="Times New Roman"/>
          <w:sz w:val="18"/>
          <w:szCs w:val="18"/>
        </w:rPr>
        <w:t xml:space="preserve">Sequist LV, et al. Molecular predictors of response to epidermal growth factor receptor antagonists in non-small-cell lung cancer. J Clin Oncol. 2007, 25(5):587-95. </w:t>
      </w:r>
    </w:p>
    <w:p>
      <w:pPr>
        <w:widowControl/>
        <w:jc w:val="left"/>
        <w:rPr>
          <w:rFonts w:ascii="Times New Roman" w:hAnsi="Times New Roman" w:eastAsia="微软雅黑" w:cs="Times New Roman"/>
          <w:sz w:val="18"/>
          <w:szCs w:val="18"/>
        </w:rPr>
      </w:pPr>
    </w:p>
    <w:p>
      <w:pPr>
        <w:widowControl/>
        <w:jc w:val="left"/>
        <w:rPr>
          <w:rFonts w:ascii="Times New Roman" w:hAnsi="Times New Roman" w:eastAsia="微软雅黑" w:cs="Times New Roman"/>
          <w:sz w:val="18"/>
          <w:szCs w:val="18"/>
        </w:rPr>
      </w:pPr>
    </w:p>
    <w:p>
      <w:pPr>
        <w:widowControl/>
        <w:jc w:val="left"/>
        <w:rPr>
          <w:rFonts w:ascii="Times New Roman" w:hAnsi="Times New Roman" w:eastAsia="微软雅黑"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pPr>
      <w:r>
        <w:rPr>
          <w:rFonts w:ascii="微软雅黑" w:hAnsi="微软雅黑" w:eastAsia="微软雅黑" w:cs="Arial"/>
          <w:b/>
          <w:sz w:val="24"/>
          <w:szCs w:val="24"/>
        </w:rPr>
        <w:t>ERBB2 (HER2)</w:t>
      </w:r>
      <w:r>
        <w:rPr>
          <w:rFonts w:ascii="Arial" w:hAnsi="Arial" w:eastAsia="Arial" w:cs="Arial"/>
          <w:sz w:val="44"/>
        </w:rPr>
        <w:t xml:space="preserve">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HER2 属 于受体酪氨酸激酶（RTK）家族，包括EGFR/ERBB1， HER2/ERBB2/NEU， HER3/ERBB3，和HER4/ERBB4。HER2的编码基因位于人类17号染色体上。有研究报道，在多种癌症鉴定到基因拷贝数增加</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（图示）。HER2基因扩增被认为促进了肿瘤发生进程，参与几种癌症的发病机制</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 xml:space="preserve">。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迄今为止，还没有鉴定到HER2的配体。HER2似乎适合与ErbB家族所有成员形成二聚体</w:t>
      </w:r>
      <w:r>
        <w:rPr>
          <w:rFonts w:ascii="微软雅黑" w:hAnsi="微软雅黑" w:eastAsia="微软雅黑" w:cs="MicrosoftYaHei"/>
          <w:kern w:val="0"/>
          <w:sz w:val="22"/>
          <w:szCs w:val="24"/>
          <w:vertAlign w:val="superscript"/>
        </w:rPr>
        <w:t>3</w:t>
      </w:r>
      <w:r>
        <w:rPr>
          <w:rFonts w:ascii="微软雅黑" w:hAnsi="微软雅黑" w:eastAsia="微软雅黑" w:cs="MicrosoftYaHei"/>
          <w:kern w:val="0"/>
          <w:sz w:val="22"/>
          <w:szCs w:val="24"/>
        </w:rPr>
        <w:t xml:space="preserve">。配体结合及随后的异源二聚体化可激活HER2的酪氨酸激酶活性。活化的HER2 然后磷酸化它的底物，以至于激活下游多个细胞内通路，如决定细胞存活的PI3K-AKT-mTOR 通路，参与细胞增殖的RAS-RAF-MEK-ERK通路。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 xml:space="preserve"> </w:t>
      </w:r>
    </w:p>
    <w:p>
      <w:pPr>
        <w:spacing w:after="187" w:line="259" w:lineRule="auto"/>
        <w:ind w:left="1665"/>
        <w:jc w:val="left"/>
      </w:pPr>
      <w:r>
        <w:drawing>
          <wp:inline distT="0" distB="0" distL="0" distR="0">
            <wp:extent cx="3838575" cy="2171700"/>
            <wp:effectExtent l="0" t="0" r="0" b="0"/>
            <wp:docPr id="15660" name="Picture 15660"/>
            <wp:cNvGraphicFramePr/>
            <a:graphic xmlns:a="http://schemas.openxmlformats.org/drawingml/2006/main">
              <a:graphicData uri="http://schemas.openxmlformats.org/drawingml/2006/picture">
                <pic:pic xmlns:pic="http://schemas.openxmlformats.org/drawingml/2006/picture">
                  <pic:nvPicPr>
                    <pic:cNvPr id="15660" name="Picture 15660"/>
                    <pic:cNvPicPr/>
                  </pic:nvPicPr>
                  <pic:blipFill>
                    <a:blip r:embed="rId20"/>
                    <a:stretch>
                      <a:fillRect/>
                    </a:stretch>
                  </pic:blipFill>
                  <pic:spPr>
                    <a:xfrm>
                      <a:off x="0" y="0"/>
                      <a:ext cx="3838575" cy="2171700"/>
                    </a:xfrm>
                    <a:prstGeom prst="rect">
                      <a:avLst/>
                    </a:prstGeom>
                  </pic:spPr>
                </pic:pic>
              </a:graphicData>
            </a:graphic>
          </wp:inline>
        </w:drawing>
      </w:r>
      <w:r>
        <w:rPr>
          <w:rFonts w:ascii="Arial" w:hAnsi="Arial" w:eastAsia="Arial" w:cs="Arial"/>
          <w:sz w:val="22"/>
        </w:rPr>
        <w:t xml:space="preserve"> </w:t>
      </w:r>
    </w:p>
    <w:p>
      <w:pPr>
        <w:spacing w:after="315" w:line="265" w:lineRule="auto"/>
        <w:ind w:left="216" w:right="420" w:hanging="10"/>
        <w:jc w:val="center"/>
      </w:pPr>
      <w:r>
        <w:rPr>
          <w:rFonts w:ascii="微软雅黑" w:hAnsi="微软雅黑" w:eastAsia="微软雅黑" w:cs="微软雅黑"/>
          <w:sz w:val="18"/>
        </w:rPr>
        <w:t xml:space="preserve">图示：癌症细胞内由于HER2基因拷贝数增加导致过表达 </w:t>
      </w:r>
    </w:p>
    <w:p>
      <w:pPr>
        <w:spacing w:after="356" w:line="259" w:lineRule="auto"/>
        <w:ind w:right="160"/>
        <w:jc w:val="center"/>
      </w:pPr>
      <w:r>
        <w:rPr>
          <w:rFonts w:ascii="微软雅黑" w:hAnsi="微软雅黑" w:eastAsia="微软雅黑" w:cs="微软雅黑"/>
          <w:sz w:val="18"/>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10"/>
        </w:numPr>
        <w:spacing w:after="3" w:line="247" w:lineRule="auto"/>
        <w:ind w:right="202" w:hanging="420"/>
        <w:rPr>
          <w:rFonts w:ascii="Times New Roman" w:hAnsi="Times New Roman" w:eastAsia="微软雅黑" w:cs="Times New Roman"/>
          <w:sz w:val="18"/>
          <w:szCs w:val="18"/>
        </w:rPr>
      </w:pPr>
      <w:r>
        <w:fldChar w:fldCharType="begin"/>
      </w:r>
      <w:r>
        <w:instrText xml:space="preserve"> HYPERLINK "http://www.ncbi.nlm.nih.gov/pubmed?term=J%C3%B8rgensen%20JT%5BAuthor%5D&amp;cauthor=true&amp;cauthor_uid=20185938" \h </w:instrText>
      </w:r>
      <w:r>
        <w:fldChar w:fldCharType="separate"/>
      </w:r>
      <w:r>
        <w:rPr>
          <w:rFonts w:ascii="Times New Roman" w:hAnsi="Times New Roman" w:eastAsia="微软雅黑" w:cs="Times New Roman"/>
          <w:sz w:val="18"/>
          <w:szCs w:val="18"/>
        </w:rPr>
        <w:t>Jorgensen JT.</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 Targeted HER2 treatment in advanced gastric cancer. Oncology. 2010, 78(1):26-33.  </w:t>
      </w:r>
    </w:p>
    <w:p>
      <w:pPr>
        <w:widowControl/>
        <w:numPr>
          <w:ilvl w:val="0"/>
          <w:numId w:val="10"/>
        </w:numPr>
        <w:spacing w:after="3" w:line="247" w:lineRule="auto"/>
        <w:ind w:right="202" w:hanging="420"/>
        <w:rPr>
          <w:rFonts w:ascii="Times New Roman" w:hAnsi="Times New Roman" w:eastAsia="微软雅黑" w:cs="Times New Roman"/>
          <w:sz w:val="18"/>
          <w:szCs w:val="18"/>
        </w:rPr>
      </w:pPr>
      <w:r>
        <w:fldChar w:fldCharType="begin"/>
      </w:r>
      <w:r>
        <w:instrText xml:space="preserve"> HYPERLINK "http://www.ncbi.nlm.nih.gov/pubmed?term=Moasser%20MM%5BAuthor%5D&amp;cauthor=true&amp;cauthor_uid=17471238" \h </w:instrText>
      </w:r>
      <w:r>
        <w:fldChar w:fldCharType="separate"/>
      </w:r>
      <w:r>
        <w:rPr>
          <w:rFonts w:ascii="Times New Roman" w:hAnsi="Times New Roman" w:eastAsia="微软雅黑" w:cs="Times New Roman"/>
          <w:sz w:val="18"/>
          <w:szCs w:val="18"/>
        </w:rPr>
        <w:t>Moasser MM.</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 The oncogene HER2: its signaling and transforming functions and its role in human cancer pathogenesis. Oncology. 2007, 26(45):6469-87. </w:t>
      </w:r>
    </w:p>
    <w:p>
      <w:pPr>
        <w:widowControl/>
        <w:numPr>
          <w:ilvl w:val="0"/>
          <w:numId w:val="10"/>
        </w:numPr>
        <w:spacing w:after="3" w:line="247" w:lineRule="auto"/>
        <w:ind w:right="202" w:hanging="420"/>
        <w:rPr>
          <w:rFonts w:ascii="Times New Roman" w:hAnsi="Times New Roman" w:eastAsia="微软雅黑" w:cs="Times New Roman"/>
          <w:sz w:val="18"/>
          <w:szCs w:val="18"/>
        </w:rPr>
      </w:pPr>
      <w:r>
        <w:fldChar w:fldCharType="begin"/>
      </w:r>
      <w:r>
        <w:instrText xml:space="preserve"> HYPERLINK "http://www.ncbi.nlm.nih.gov/pubmed?term=Graus-Porta%20D%5BAuthor%5D&amp;cauthor=true&amp;cauthor_uid=9130710" \h </w:instrText>
      </w:r>
      <w:r>
        <w:fldChar w:fldCharType="separate"/>
      </w:r>
      <w:r>
        <w:rPr>
          <w:rFonts w:ascii="Times New Roman" w:hAnsi="Times New Roman" w:eastAsia="微软雅黑" w:cs="Times New Roman"/>
          <w:sz w:val="18"/>
          <w:szCs w:val="18"/>
        </w:rPr>
        <w:t>Graus</w:t>
      </w:r>
      <w:r>
        <w:rPr>
          <w:rFonts w:ascii="Times New Roman" w:hAnsi="Times New Roman" w:eastAsia="微软雅黑" w:cs="Times New Roman"/>
          <w:sz w:val="18"/>
          <w:szCs w:val="18"/>
        </w:rPr>
        <w:fldChar w:fldCharType="end"/>
      </w:r>
      <w:r>
        <w:fldChar w:fldCharType="begin"/>
      </w:r>
      <w:r>
        <w:instrText xml:space="preserve"> HYPERLINK "http://www.ncbi.nlm.nih.gov/pubmed?term=Graus-Porta%20D%5BAuthor%5D&amp;cauthor=true&amp;cauthor_uid=9130710" \h </w:instrText>
      </w:r>
      <w:r>
        <w:fldChar w:fldCharType="separate"/>
      </w:r>
      <w:r>
        <w:rPr>
          <w:rFonts w:ascii="Times New Roman" w:hAnsi="Times New Roman" w:eastAsia="微软雅黑" w:cs="Times New Roman"/>
          <w:sz w:val="18"/>
          <w:szCs w:val="18"/>
        </w:rPr>
        <w:t>-</w:t>
      </w:r>
      <w:r>
        <w:rPr>
          <w:rFonts w:ascii="Times New Roman" w:hAnsi="Times New Roman" w:eastAsia="微软雅黑" w:cs="Times New Roman"/>
          <w:sz w:val="18"/>
          <w:szCs w:val="18"/>
        </w:rPr>
        <w:fldChar w:fldCharType="end"/>
      </w:r>
      <w:r>
        <w:fldChar w:fldCharType="begin"/>
      </w:r>
      <w:r>
        <w:instrText xml:space="preserve"> HYPERLINK "http://www.ncbi.nlm.nih.gov/pubmed?term=Graus-Porta%20D%5BAuthor%5D&amp;cauthor=true&amp;cauthor_uid=9130710" \h </w:instrText>
      </w:r>
      <w:r>
        <w:fldChar w:fldCharType="separate"/>
      </w:r>
      <w:r>
        <w:rPr>
          <w:rFonts w:ascii="Times New Roman" w:hAnsi="Times New Roman" w:eastAsia="微软雅黑" w:cs="Times New Roman"/>
          <w:sz w:val="18"/>
          <w:szCs w:val="18"/>
        </w:rPr>
        <w:t>Porta e</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t al. ErbB-2, the preferred heterodimerization partner of all ErbB receptors, is a mediator of lateral signaling. EMBO J. 1997, 16(7):1647-55.</w:t>
      </w:r>
    </w:p>
    <w:p>
      <w:pPr>
        <w:widowControl/>
        <w:jc w:val="left"/>
        <w:rPr>
          <w:rFonts w:ascii="Times New Roman" w:hAnsi="Times New Roman" w:eastAsia="微软雅黑" w:cs="Times New Roman"/>
          <w:sz w:val="18"/>
          <w:szCs w:val="18"/>
        </w:rPr>
      </w:pPr>
      <w:r>
        <w:rPr>
          <w:rFonts w:ascii="Times New Roman" w:hAnsi="Times New Roman" w:eastAsia="微软雅黑" w:cs="Times New Roman"/>
          <w:sz w:val="18"/>
          <w:szCs w:val="18"/>
        </w:rPr>
        <w:br w:type="page"/>
      </w:r>
    </w:p>
    <w:p>
      <w:pPr>
        <w:spacing w:after="38" w:line="259" w:lineRule="auto"/>
        <w:ind w:left="-5" w:hanging="10"/>
        <w:jc w:val="center"/>
        <w:rPr>
          <w:rFonts w:ascii="微软雅黑" w:hAnsi="微软雅黑" w:eastAsia="微软雅黑" w:cs="Arial"/>
          <w:b/>
          <w:sz w:val="24"/>
          <w:szCs w:val="24"/>
        </w:rPr>
      </w:pPr>
      <w:r>
        <w:rPr>
          <w:rFonts w:ascii="微软雅黑" w:hAnsi="微软雅黑" w:eastAsia="微软雅黑" w:cs="Arial"/>
          <w:b/>
          <w:sz w:val="24"/>
          <w:szCs w:val="24"/>
        </w:rPr>
        <w:t xml:space="preserve">FGFR1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成纤维细胞生长因子受体1型基因（FGFR1）编码FGFR酪氨酸激酶（TK）家族的一种，该家族包括 FGFR</w:t>
      </w:r>
      <w:r>
        <w:rPr>
          <w:rFonts w:ascii="微软雅黑" w:hAnsi="微软雅黑" w:eastAsia="微软雅黑" w:cs="MicrosoftYaHei"/>
          <w:kern w:val="0"/>
          <w:sz w:val="22"/>
          <w:szCs w:val="24"/>
          <w:vertAlign w:val="superscript"/>
        </w:rPr>
        <w:t>1，2，3 和 4</w:t>
      </w:r>
      <w:r>
        <w:rPr>
          <w:rFonts w:ascii="微软雅黑" w:hAnsi="微软雅黑" w:eastAsia="微软雅黑" w:cs="MicrosoftYaHei"/>
          <w:kern w:val="0"/>
          <w:sz w:val="22"/>
          <w:szCs w:val="24"/>
        </w:rPr>
        <w:t xml:space="preserve">。 FGFR TKS在发育中起关键作用，可调控细胞内多个信号通路（图示）；研究发现癌症中因点突变或易位等该基因被负调控 </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 xml:space="preserve">。FGFR1基因在多个癌症被报道存在扩增或激活，包括口腔鳞状细胞癌 </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 xml:space="preserve">，乳腺癌 </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 xml:space="preserve">，食管鳞状细胞癌 </w:t>
      </w:r>
      <w:r>
        <w:rPr>
          <w:rFonts w:ascii="微软雅黑" w:hAnsi="微软雅黑" w:eastAsia="微软雅黑" w:cs="MicrosoftYaHei"/>
          <w:kern w:val="0"/>
          <w:sz w:val="22"/>
          <w:szCs w:val="24"/>
          <w:vertAlign w:val="superscript"/>
        </w:rPr>
        <w:t>3</w:t>
      </w:r>
      <w:r>
        <w:rPr>
          <w:rFonts w:ascii="微软雅黑" w:hAnsi="微软雅黑" w:eastAsia="微软雅黑" w:cs="MicrosoftYaHei"/>
          <w:kern w:val="0"/>
          <w:sz w:val="22"/>
          <w:szCs w:val="24"/>
        </w:rPr>
        <w:t xml:space="preserve">，卵巢癌 </w:t>
      </w:r>
      <w:r>
        <w:rPr>
          <w:rFonts w:ascii="微软雅黑" w:hAnsi="微软雅黑" w:eastAsia="微软雅黑" w:cs="MicrosoftYaHei"/>
          <w:kern w:val="0"/>
          <w:sz w:val="22"/>
          <w:szCs w:val="24"/>
          <w:vertAlign w:val="superscript"/>
        </w:rPr>
        <w:t>4</w:t>
      </w:r>
      <w:r>
        <w:rPr>
          <w:rFonts w:ascii="微软雅黑" w:hAnsi="微软雅黑" w:eastAsia="微软雅黑" w:cs="MicrosoftYaHei"/>
          <w:kern w:val="0"/>
          <w:sz w:val="22"/>
          <w:szCs w:val="24"/>
        </w:rPr>
        <w:t>，膀胱癌</w:t>
      </w:r>
      <w:r>
        <w:rPr>
          <w:rFonts w:ascii="微软雅黑" w:hAnsi="微软雅黑" w:eastAsia="微软雅黑" w:cs="MicrosoftYaHei"/>
          <w:kern w:val="0"/>
          <w:sz w:val="22"/>
          <w:szCs w:val="24"/>
          <w:vertAlign w:val="superscript"/>
        </w:rPr>
        <w:t xml:space="preserve"> 5</w:t>
      </w:r>
      <w:r>
        <w:rPr>
          <w:rFonts w:ascii="微软雅黑" w:hAnsi="微软雅黑" w:eastAsia="微软雅黑" w:cs="MicrosoftYaHei"/>
          <w:kern w:val="0"/>
          <w:sz w:val="22"/>
          <w:szCs w:val="24"/>
        </w:rPr>
        <w:t xml:space="preserve">，前列腺癌 </w:t>
      </w:r>
      <w:r>
        <w:rPr>
          <w:rFonts w:ascii="微软雅黑" w:hAnsi="微软雅黑" w:eastAsia="微软雅黑" w:cs="MicrosoftYaHei"/>
          <w:kern w:val="0"/>
          <w:sz w:val="22"/>
          <w:szCs w:val="24"/>
          <w:vertAlign w:val="superscript"/>
        </w:rPr>
        <w:t>6</w:t>
      </w:r>
      <w:r>
        <w:rPr>
          <w:rFonts w:ascii="微软雅黑" w:hAnsi="微软雅黑" w:eastAsia="微软雅黑" w:cs="MicrosoftYaHei"/>
          <w:kern w:val="0"/>
          <w:sz w:val="22"/>
          <w:szCs w:val="24"/>
        </w:rPr>
        <w:t>，以及肺癌（主要是鳞状细胞亚型）</w:t>
      </w:r>
      <w:r>
        <w:rPr>
          <w:rFonts w:ascii="微软雅黑" w:hAnsi="微软雅黑" w:eastAsia="微软雅黑" w:cs="MicrosoftYaHei"/>
          <w:kern w:val="0"/>
          <w:sz w:val="22"/>
          <w:szCs w:val="24"/>
          <w:vertAlign w:val="superscript"/>
        </w:rPr>
        <w:t>7</w:t>
      </w:r>
      <w:r>
        <w:rPr>
          <w:rFonts w:ascii="微软雅黑" w:hAnsi="微软雅黑" w:eastAsia="微软雅黑" w:cs="MicrosoftYaHei"/>
          <w:kern w:val="0"/>
          <w:sz w:val="22"/>
          <w:szCs w:val="24"/>
        </w:rPr>
        <w:t xml:space="preserve">。 </w:t>
      </w:r>
    </w:p>
    <w:p>
      <w:pPr>
        <w:spacing w:after="187" w:line="259" w:lineRule="auto"/>
        <w:ind w:right="124"/>
        <w:jc w:val="center"/>
      </w:pPr>
      <w:r>
        <w:drawing>
          <wp:inline distT="0" distB="0" distL="0" distR="0">
            <wp:extent cx="2505075" cy="2847975"/>
            <wp:effectExtent l="0" t="0" r="0" b="0"/>
            <wp:docPr id="15827" name="Picture 15827"/>
            <wp:cNvGraphicFramePr/>
            <a:graphic xmlns:a="http://schemas.openxmlformats.org/drawingml/2006/main">
              <a:graphicData uri="http://schemas.openxmlformats.org/drawingml/2006/picture">
                <pic:pic xmlns:pic="http://schemas.openxmlformats.org/drawingml/2006/picture">
                  <pic:nvPicPr>
                    <pic:cNvPr id="15827" name="Picture 15827"/>
                    <pic:cNvPicPr/>
                  </pic:nvPicPr>
                  <pic:blipFill>
                    <a:blip r:embed="rId21"/>
                    <a:stretch>
                      <a:fillRect/>
                    </a:stretch>
                  </pic:blipFill>
                  <pic:spPr>
                    <a:xfrm>
                      <a:off x="0" y="0"/>
                      <a:ext cx="2505075" cy="2847975"/>
                    </a:xfrm>
                    <a:prstGeom prst="rect">
                      <a:avLst/>
                    </a:prstGeom>
                  </pic:spPr>
                </pic:pic>
              </a:graphicData>
            </a:graphic>
          </wp:inline>
        </w:drawing>
      </w:r>
      <w:r>
        <w:rPr>
          <w:rFonts w:ascii="Arial" w:hAnsi="Arial" w:eastAsia="Arial" w:cs="Arial"/>
          <w:sz w:val="22"/>
        </w:rPr>
        <w:t xml:space="preserve"> </w:t>
      </w:r>
    </w:p>
    <w:p>
      <w:pPr>
        <w:spacing w:after="120" w:line="259" w:lineRule="auto"/>
        <w:ind w:right="142"/>
        <w:jc w:val="center"/>
      </w:pPr>
      <w:r>
        <w:rPr>
          <w:rFonts w:ascii="微软雅黑" w:hAnsi="微软雅黑" w:eastAsia="微软雅黑" w:cs="微软雅黑"/>
          <w:color w:val="222222"/>
          <w:sz w:val="18"/>
          <w:shd w:val="clear" w:color="auto" w:fill="FBFDFD"/>
        </w:rPr>
        <w:t>图示：FGFR调控的细胞通路</w:t>
      </w:r>
      <w:r>
        <w:rPr>
          <w:rFonts w:ascii="微软雅黑" w:hAnsi="微软雅黑" w:eastAsia="微软雅黑" w:cs="微软雅黑"/>
          <w:color w:val="222222"/>
          <w:sz w:val="18"/>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11"/>
        </w:numPr>
        <w:spacing w:after="3" w:line="247" w:lineRule="auto"/>
        <w:ind w:right="202" w:hanging="420"/>
        <w:rPr>
          <w:rFonts w:ascii="Times New Roman" w:hAnsi="Times New Roman" w:eastAsia="微软雅黑" w:cs="Times New Roman"/>
          <w:sz w:val="18"/>
          <w:szCs w:val="18"/>
        </w:rPr>
      </w:pPr>
      <w:r>
        <w:fldChar w:fldCharType="begin"/>
      </w:r>
      <w:r>
        <w:instrText xml:space="preserve"> HYPERLINK "http://www.ncbi.nlm.nih.gov/pubmed?term=Turner%20N%5BAuthor%5D&amp;cauthor=true&amp;cauthor_uid=20094046" \h </w:instrText>
      </w:r>
      <w:r>
        <w:fldChar w:fldCharType="separate"/>
      </w:r>
      <w:r>
        <w:rPr>
          <w:rFonts w:ascii="Times New Roman" w:hAnsi="Times New Roman" w:eastAsia="微软雅黑" w:cs="Times New Roman"/>
          <w:sz w:val="18"/>
          <w:szCs w:val="18"/>
        </w:rPr>
        <w:t>Turner N,</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 Grose R. Fibroblast growth factor signalling: from development to cancer. Nat Rev Cancer. 2010, 10(2):116-29. </w:t>
      </w:r>
    </w:p>
    <w:p>
      <w:pPr>
        <w:widowControl/>
        <w:numPr>
          <w:ilvl w:val="0"/>
          <w:numId w:val="11"/>
        </w:numPr>
        <w:spacing w:after="3" w:line="247" w:lineRule="auto"/>
        <w:ind w:right="202" w:hanging="420"/>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Freier et al. Recurrent FGFR1 amplification and high FGFR1 protein expression in oral squamous cell carcinoma (OSCC). Oral Oncol. 2007, 43(1):60-6. </w:t>
      </w:r>
    </w:p>
    <w:p>
      <w:pPr>
        <w:widowControl/>
        <w:numPr>
          <w:ilvl w:val="0"/>
          <w:numId w:val="11"/>
        </w:numPr>
        <w:spacing w:after="3" w:line="247" w:lineRule="auto"/>
        <w:ind w:right="202" w:hanging="420"/>
        <w:rPr>
          <w:rFonts w:ascii="Times New Roman" w:hAnsi="Times New Roman" w:eastAsia="微软雅黑" w:cs="Times New Roman"/>
          <w:sz w:val="18"/>
          <w:szCs w:val="18"/>
        </w:rPr>
      </w:pPr>
      <w:r>
        <w:fldChar w:fldCharType="begin"/>
      </w:r>
      <w:r>
        <w:instrText xml:space="preserve"> HYPERLINK "http://www.ncbi.nlm.nih.gov/pubmed?term=Ishizuka%20T%5BAuthor%5D&amp;cauthor=true&amp;cauthor_uid=12147242" \h </w:instrText>
      </w:r>
      <w:r>
        <w:fldChar w:fldCharType="separate"/>
      </w:r>
      <w:r>
        <w:rPr>
          <w:rFonts w:ascii="Times New Roman" w:hAnsi="Times New Roman" w:eastAsia="微软雅黑" w:cs="Times New Roman"/>
          <w:sz w:val="18"/>
          <w:szCs w:val="18"/>
        </w:rPr>
        <w:t>Ishizuka e</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t al. Gene amplification profiling of esophageal squamous cell carcinomas by DNA array CGH. Biochem Biophys Res Commun. 2002, 296(1):152-5. </w:t>
      </w:r>
    </w:p>
    <w:p>
      <w:pPr>
        <w:widowControl/>
        <w:numPr>
          <w:ilvl w:val="0"/>
          <w:numId w:val="11"/>
        </w:numPr>
        <w:spacing w:after="3" w:line="247" w:lineRule="auto"/>
        <w:ind w:right="202" w:hanging="420"/>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Gorringe et al. High-resolution single nucleotide polymorphism array analysis of epithelial ovarian cancer reveals numerous microdeletions and amplifications. Clin Cancer Res. 2007, 13(16):4731-9. </w:t>
      </w:r>
    </w:p>
    <w:p>
      <w:pPr>
        <w:widowControl/>
        <w:numPr>
          <w:ilvl w:val="0"/>
          <w:numId w:val="11"/>
        </w:numPr>
        <w:spacing w:after="3" w:line="247" w:lineRule="auto"/>
        <w:ind w:right="202" w:hanging="420"/>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Simon et al. High-throughput tissue microarray analysis of 3p25 (RAF1) and 8p12 (FGFR1) copy number alterations in urinary bladder cancer. Cancer Res. 2001, 61(11):4514-9. </w:t>
      </w:r>
    </w:p>
    <w:p>
      <w:pPr>
        <w:widowControl/>
        <w:numPr>
          <w:ilvl w:val="0"/>
          <w:numId w:val="11"/>
        </w:numPr>
        <w:spacing w:after="3" w:line="247" w:lineRule="auto"/>
        <w:ind w:right="202" w:hanging="420"/>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Edwards et al. Gene amplifications associated with the development of hormone-resistant prostate cancer. Clin Cancer Res. 2003, 9(14):5271-81. </w:t>
      </w:r>
    </w:p>
    <w:p>
      <w:pPr>
        <w:widowControl/>
        <w:numPr>
          <w:ilvl w:val="0"/>
          <w:numId w:val="11"/>
        </w:numPr>
        <w:spacing w:after="3" w:line="247" w:lineRule="auto"/>
        <w:ind w:right="202" w:hanging="420"/>
        <w:rPr>
          <w:rFonts w:ascii="Times New Roman" w:hAnsi="Times New Roman" w:eastAsia="微软雅黑" w:cs="Times New Roman"/>
          <w:sz w:val="18"/>
          <w:szCs w:val="18"/>
        </w:rPr>
      </w:pPr>
      <w:r>
        <w:fldChar w:fldCharType="begin"/>
      </w:r>
      <w:r>
        <w:instrText xml:space="preserve"> HYPERLINK "http://www.ncbi.nlm.nih.gov/pubmed?term=Dutt%20A%5BAuthor%5D&amp;cauthor=true&amp;cauthor_uid=21666749" \h </w:instrText>
      </w:r>
      <w:r>
        <w:fldChar w:fldCharType="separate"/>
      </w:r>
      <w:r>
        <w:rPr>
          <w:rFonts w:ascii="Times New Roman" w:hAnsi="Times New Roman" w:eastAsia="微软雅黑" w:cs="Times New Roman"/>
          <w:sz w:val="18"/>
          <w:szCs w:val="18"/>
        </w:rPr>
        <w:t>Dutt e</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t al. Inhibitor-sensitive FGFR1 amplification in human non-small cell lung cancer. PLoS One. 2011, 6(6):e20351. </w:t>
      </w:r>
    </w:p>
    <w:p>
      <w:pPr>
        <w:widowControl/>
        <w:jc w:val="left"/>
        <w:rPr>
          <w:rFonts w:ascii="Times New Roman" w:hAnsi="Times New Roman" w:eastAsia="微软雅黑" w:cs="Times New Roman"/>
          <w:sz w:val="18"/>
          <w:szCs w:val="18"/>
        </w:rPr>
      </w:pPr>
      <w:r>
        <w:rPr>
          <w:rFonts w:ascii="Times New Roman" w:hAnsi="Times New Roman" w:eastAsia="微软雅黑" w:cs="Times New Roman"/>
          <w:sz w:val="18"/>
          <w:szCs w:val="18"/>
        </w:rPr>
        <w:br w:type="page"/>
      </w:r>
    </w:p>
    <w:p>
      <w:pPr>
        <w:spacing w:after="38" w:line="259" w:lineRule="auto"/>
        <w:ind w:left="-5" w:hanging="10"/>
        <w:jc w:val="center"/>
      </w:pPr>
      <w:r>
        <w:rPr>
          <w:rFonts w:ascii="微软雅黑" w:hAnsi="微软雅黑" w:eastAsia="微软雅黑" w:cs="Arial"/>
          <w:b/>
          <w:sz w:val="24"/>
          <w:szCs w:val="24"/>
        </w:rPr>
        <w:t>FGFR2</w:t>
      </w:r>
      <w:r>
        <w:rPr>
          <w:rFonts w:ascii="Arial" w:hAnsi="Arial" w:eastAsia="Arial" w:cs="Arial"/>
          <w:color w:val="222222"/>
          <w:sz w:val="18"/>
        </w:rPr>
        <w:t xml:space="preserve">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 xml:space="preserve">成纤维细胞生长因子受体2基因（FGFR2）编码FGFR酪氨酸激酶（TK）家族一个成员，参与胞内的信号通路见下图。FGFR TKS在发育中起关键作用；研究发现癌症细胞该基因点突变或易位等被负调控 </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。FGFR2基因在多个癌症被报道存在扩增或激活，包括乳腺癌和胃癌</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；该基因在子宫癌和乳腺癌存在突变</w:t>
      </w:r>
      <w:r>
        <w:rPr>
          <w:rFonts w:ascii="微软雅黑" w:hAnsi="微软雅黑" w:eastAsia="微软雅黑" w:cs="MicrosoftYaHei"/>
          <w:kern w:val="0"/>
          <w:sz w:val="22"/>
          <w:szCs w:val="24"/>
          <w:vertAlign w:val="superscript"/>
        </w:rPr>
        <w:t xml:space="preserve"> 2，3，4</w:t>
      </w:r>
      <w:r>
        <w:rPr>
          <w:rFonts w:ascii="微软雅黑" w:hAnsi="微软雅黑" w:eastAsia="微软雅黑" w:cs="MicrosoftYaHei"/>
          <w:kern w:val="0"/>
          <w:sz w:val="22"/>
          <w:szCs w:val="24"/>
        </w:rPr>
        <w:t xml:space="preserve">。 </w:t>
      </w:r>
    </w:p>
    <w:p>
      <w:pPr>
        <w:spacing w:after="218" w:line="259" w:lineRule="auto"/>
        <w:ind w:right="1561"/>
        <w:jc w:val="center"/>
      </w:pPr>
      <w:r>
        <w:drawing>
          <wp:anchor distT="0" distB="0" distL="114300" distR="114300" simplePos="0" relativeHeight="251677696" behindDoc="0" locked="0" layoutInCell="1" allowOverlap="1">
            <wp:simplePos x="0" y="0"/>
            <wp:positionH relativeFrom="margin">
              <wp:align>center</wp:align>
            </wp:positionH>
            <wp:positionV relativeFrom="paragraph">
              <wp:posOffset>142240</wp:posOffset>
            </wp:positionV>
            <wp:extent cx="4143375" cy="3238500"/>
            <wp:effectExtent l="0" t="0" r="9525" b="0"/>
            <wp:wrapNone/>
            <wp:docPr id="15952" name="Picture 15952"/>
            <wp:cNvGraphicFramePr/>
            <a:graphic xmlns:a="http://schemas.openxmlformats.org/drawingml/2006/main">
              <a:graphicData uri="http://schemas.openxmlformats.org/drawingml/2006/picture">
                <pic:pic xmlns:pic="http://schemas.openxmlformats.org/drawingml/2006/picture">
                  <pic:nvPicPr>
                    <pic:cNvPr id="15952" name="Picture 15952"/>
                    <pic:cNvPicPr/>
                  </pic:nvPicPr>
                  <pic:blipFill>
                    <a:blip r:embed="rId22">
                      <a:extLst>
                        <a:ext uri="{28A0092B-C50C-407E-A947-70E740481C1C}">
                          <a14:useLocalDpi xmlns:a14="http://schemas.microsoft.com/office/drawing/2010/main" val="0"/>
                        </a:ext>
                      </a:extLst>
                    </a:blip>
                    <a:stretch>
                      <a:fillRect/>
                    </a:stretch>
                  </pic:blipFill>
                  <pic:spPr>
                    <a:xfrm>
                      <a:off x="0" y="0"/>
                      <a:ext cx="4143375" cy="3238500"/>
                    </a:xfrm>
                    <a:prstGeom prst="rect">
                      <a:avLst/>
                    </a:prstGeom>
                  </pic:spPr>
                </pic:pic>
              </a:graphicData>
            </a:graphic>
          </wp:anchor>
        </w:drawing>
      </w:r>
    </w:p>
    <w:p>
      <w:pPr>
        <w:spacing w:after="218" w:line="259" w:lineRule="auto"/>
        <w:ind w:right="1561"/>
        <w:jc w:val="center"/>
      </w:pPr>
    </w:p>
    <w:p>
      <w:pPr>
        <w:spacing w:after="218" w:line="259" w:lineRule="auto"/>
        <w:ind w:right="1561"/>
        <w:jc w:val="center"/>
      </w:pPr>
    </w:p>
    <w:p>
      <w:pPr>
        <w:spacing w:after="218" w:line="259" w:lineRule="auto"/>
        <w:ind w:right="1561"/>
        <w:jc w:val="center"/>
      </w:pPr>
    </w:p>
    <w:p>
      <w:pPr>
        <w:spacing w:after="218" w:line="259" w:lineRule="auto"/>
        <w:ind w:right="1561"/>
        <w:jc w:val="center"/>
      </w:pPr>
    </w:p>
    <w:p>
      <w:pPr>
        <w:spacing w:after="218" w:line="259" w:lineRule="auto"/>
        <w:ind w:right="1561"/>
        <w:jc w:val="center"/>
      </w:pPr>
    </w:p>
    <w:p>
      <w:pPr>
        <w:spacing w:after="218" w:line="259" w:lineRule="auto"/>
        <w:ind w:right="1561"/>
        <w:jc w:val="center"/>
      </w:pPr>
    </w:p>
    <w:p>
      <w:pPr>
        <w:spacing w:after="218" w:line="259" w:lineRule="auto"/>
        <w:ind w:right="1561"/>
        <w:jc w:val="center"/>
      </w:pPr>
    </w:p>
    <w:p>
      <w:pPr>
        <w:spacing w:after="218" w:line="259" w:lineRule="auto"/>
        <w:ind w:right="1561"/>
        <w:jc w:val="center"/>
      </w:pPr>
    </w:p>
    <w:p>
      <w:pPr>
        <w:spacing w:after="218" w:line="259" w:lineRule="auto"/>
        <w:ind w:right="1561"/>
      </w:pPr>
    </w:p>
    <w:p>
      <w:pPr>
        <w:spacing w:after="372" w:line="265" w:lineRule="auto"/>
        <w:ind w:left="10" w:right="211" w:hanging="10"/>
        <w:jc w:val="center"/>
        <w:rPr>
          <w:rFonts w:ascii="微软雅黑" w:hAnsi="微软雅黑" w:eastAsia="微软雅黑" w:cs="微软雅黑"/>
          <w:color w:val="222222"/>
          <w:sz w:val="18"/>
          <w:vertAlign w:val="superscript"/>
        </w:rPr>
      </w:pPr>
      <w:r>
        <w:rPr>
          <w:rFonts w:ascii="微软雅黑" w:hAnsi="微软雅黑" w:eastAsia="微软雅黑" w:cs="微软雅黑"/>
          <w:color w:val="222222"/>
          <w:sz w:val="18"/>
        </w:rPr>
        <w:t xml:space="preserve">图示：FGFR2信号通路 </w:t>
      </w:r>
      <w:r>
        <w:rPr>
          <w:rFonts w:ascii="微软雅黑" w:hAnsi="微软雅黑" w:eastAsia="微软雅黑" w:cs="微软雅黑"/>
          <w:color w:val="222222"/>
          <w:sz w:val="18"/>
          <w:vertAlign w:val="superscript"/>
        </w:rPr>
        <w:t xml:space="preserve">5 </w:t>
      </w:r>
    </w:p>
    <w:p>
      <w:pPr>
        <w:spacing w:line="259" w:lineRule="auto"/>
        <w:ind w:left="-5" w:right="197" w:hanging="10"/>
      </w:pPr>
      <w:r>
        <w:rPr>
          <w:rFonts w:ascii="微软雅黑" w:hAnsi="微软雅黑" w:eastAsia="微软雅黑" w:cs="微软雅黑"/>
        </w:rPr>
        <w:t xml:space="preserve">参考文献 </w:t>
      </w:r>
      <w:r>
        <w:rPr>
          <w:rFonts w:ascii="微软雅黑" w:hAnsi="微软雅黑" w:eastAsia="微软雅黑" w:cs="微软雅黑"/>
          <w:color w:val="222222"/>
          <w:sz w:val="10"/>
        </w:rPr>
        <w:t xml:space="preserve"> </w:t>
      </w:r>
    </w:p>
    <w:p>
      <w:pPr>
        <w:widowControl/>
        <w:numPr>
          <w:ilvl w:val="0"/>
          <w:numId w:val="12"/>
        </w:numPr>
        <w:spacing w:after="3" w:line="247" w:lineRule="auto"/>
        <w:ind w:right="202" w:hanging="420"/>
        <w:rPr>
          <w:rFonts w:ascii="Times New Roman" w:hAnsi="Times New Roman" w:eastAsia="微软雅黑" w:cs="Times New Roman"/>
          <w:sz w:val="18"/>
          <w:szCs w:val="18"/>
        </w:rPr>
      </w:pPr>
      <w:r>
        <w:fldChar w:fldCharType="begin"/>
      </w:r>
      <w:r>
        <w:instrText xml:space="preserve"> HYPERLINK "http://www.ncbi.nlm.nih.gov/pubmed?term=Turner%20N%5BAuthor%5D&amp;cauthor=true&amp;cauthor_uid=20094046" \h </w:instrText>
      </w:r>
      <w:r>
        <w:fldChar w:fldCharType="separate"/>
      </w:r>
      <w:r>
        <w:rPr>
          <w:rFonts w:ascii="Times New Roman" w:hAnsi="Times New Roman" w:eastAsia="微软雅黑" w:cs="Times New Roman"/>
          <w:sz w:val="18"/>
          <w:szCs w:val="18"/>
        </w:rPr>
        <w:t>Turner N</w:t>
      </w:r>
      <w:r>
        <w:rPr>
          <w:rFonts w:ascii="Times New Roman" w:hAnsi="Times New Roman" w:eastAsia="微软雅黑" w:cs="Times New Roman"/>
          <w:sz w:val="18"/>
          <w:szCs w:val="18"/>
        </w:rPr>
        <w:fldChar w:fldCharType="end"/>
      </w:r>
      <w:r>
        <w:fldChar w:fldCharType="begin"/>
      </w:r>
      <w:r>
        <w:instrText xml:space="preserve"> HYPERLINK "http://www.ncbi.nlm.nih.gov/pubmed?term=Turner%20N%5BAuthor%5D&amp;cauthor=true&amp;cauthor_uid=20094046" \h </w:instrText>
      </w:r>
      <w:r>
        <w:fldChar w:fldCharType="separate"/>
      </w:r>
      <w:r>
        <w:rPr>
          <w:rFonts w:ascii="Times New Roman" w:hAnsi="Times New Roman" w:eastAsia="微软雅黑" w:cs="Times New Roman"/>
          <w:sz w:val="18"/>
          <w:szCs w:val="18"/>
        </w:rPr>
        <w:t>,</w:t>
      </w:r>
      <w:r>
        <w:rPr>
          <w:rFonts w:ascii="Times New Roman" w:hAnsi="Times New Roman" w:eastAsia="微软雅黑" w:cs="Times New Roman"/>
          <w:sz w:val="18"/>
          <w:szCs w:val="18"/>
        </w:rPr>
        <w:fldChar w:fldCharType="end"/>
      </w:r>
      <w:r>
        <w:fldChar w:fldCharType="begin"/>
      </w:r>
      <w:r>
        <w:instrText xml:space="preserve"> HYPERLINK "http://www.ncbi.nlm.nih.gov/pubmed?term=Grose%20R%5BAuthor%5D&amp;cauthor=true&amp;cauthor_uid=20094046" \h </w:instrText>
      </w:r>
      <w:r>
        <w:fldChar w:fldCharType="separate"/>
      </w:r>
      <w:r>
        <w:rPr>
          <w:rFonts w:ascii="Times New Roman" w:hAnsi="Times New Roman" w:eastAsia="微软雅黑" w:cs="Times New Roman"/>
          <w:sz w:val="18"/>
          <w:szCs w:val="18"/>
        </w:rPr>
        <w:t xml:space="preserve"> </w:t>
      </w:r>
      <w:r>
        <w:rPr>
          <w:rFonts w:ascii="Times New Roman" w:hAnsi="Times New Roman" w:eastAsia="微软雅黑" w:cs="Times New Roman"/>
          <w:sz w:val="18"/>
          <w:szCs w:val="18"/>
        </w:rPr>
        <w:fldChar w:fldCharType="end"/>
      </w:r>
      <w:r>
        <w:fldChar w:fldCharType="begin"/>
      </w:r>
      <w:r>
        <w:instrText xml:space="preserve"> HYPERLINK "http://www.ncbi.nlm.nih.gov/pubmed?term=Grose%20R%5BAuthor%5D&amp;cauthor=true&amp;cauthor_uid=20094046" \h </w:instrText>
      </w:r>
      <w:r>
        <w:fldChar w:fldCharType="separate"/>
      </w:r>
      <w:r>
        <w:rPr>
          <w:rFonts w:ascii="Times New Roman" w:hAnsi="Times New Roman" w:eastAsia="微软雅黑" w:cs="Times New Roman"/>
          <w:sz w:val="18"/>
          <w:szCs w:val="18"/>
        </w:rPr>
        <w:t>Grose R.</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 Fibroblast growth factor signalling: from development to cancer. Nat Rev Cancer. 2010, 10(2):116-29. </w:t>
      </w:r>
    </w:p>
    <w:p>
      <w:pPr>
        <w:widowControl/>
        <w:numPr>
          <w:ilvl w:val="0"/>
          <w:numId w:val="12"/>
        </w:numPr>
        <w:spacing w:after="3" w:line="247" w:lineRule="auto"/>
        <w:ind w:right="202" w:hanging="420"/>
        <w:rPr>
          <w:rFonts w:ascii="Times New Roman" w:hAnsi="Times New Roman" w:eastAsia="微软雅黑" w:cs="Times New Roman"/>
          <w:sz w:val="18"/>
          <w:szCs w:val="18"/>
        </w:rPr>
      </w:pPr>
      <w:r>
        <w:fldChar w:fldCharType="begin"/>
      </w:r>
      <w:r>
        <w:instrText xml:space="preserve"> HYPERLINK "http://www.ncbi.nlm.nih.gov/pubmed?term=Jain%20VK%5BAuthor%5D&amp;cauthor=true&amp;cauthor_uid=22731805" \h </w:instrText>
      </w:r>
      <w:r>
        <w:fldChar w:fldCharType="separate"/>
      </w:r>
      <w:r>
        <w:rPr>
          <w:rFonts w:ascii="Times New Roman" w:hAnsi="Times New Roman" w:eastAsia="微软雅黑" w:cs="Times New Roman"/>
          <w:sz w:val="18"/>
          <w:szCs w:val="18"/>
        </w:rPr>
        <w:t>Jain VK</w:t>
      </w:r>
      <w:r>
        <w:rPr>
          <w:rFonts w:ascii="Times New Roman" w:hAnsi="Times New Roman" w:eastAsia="微软雅黑" w:cs="Times New Roman"/>
          <w:sz w:val="18"/>
          <w:szCs w:val="18"/>
        </w:rPr>
        <w:fldChar w:fldCharType="end"/>
      </w:r>
      <w:r>
        <w:fldChar w:fldCharType="begin"/>
      </w:r>
      <w:r>
        <w:instrText xml:space="preserve"> HYPERLINK "http://www.ncbi.nlm.nih.gov/pubmed?term=Jain%20VK%5BAuthor%5D&amp;cauthor=true&amp;cauthor_uid=22731805" \h </w:instrText>
      </w:r>
      <w:r>
        <w:fldChar w:fldCharType="separate"/>
      </w:r>
      <w:r>
        <w:rPr>
          <w:rFonts w:ascii="Times New Roman" w:hAnsi="Times New Roman" w:eastAsia="微软雅黑" w:cs="Times New Roman"/>
          <w:sz w:val="18"/>
          <w:szCs w:val="18"/>
        </w:rPr>
        <w:t>,</w:t>
      </w:r>
      <w:r>
        <w:rPr>
          <w:rFonts w:ascii="Times New Roman" w:hAnsi="Times New Roman" w:eastAsia="微软雅黑" w:cs="Times New Roman"/>
          <w:sz w:val="18"/>
          <w:szCs w:val="18"/>
        </w:rPr>
        <w:fldChar w:fldCharType="end"/>
      </w:r>
      <w:r>
        <w:fldChar w:fldCharType="begin"/>
      </w:r>
      <w:r>
        <w:instrText xml:space="preserve"> HYPERLINK "http://www.ncbi.nlm.nih.gov/pubmed?term=Turner%20NC%5BAuthor%5D&amp;cauthor=true&amp;cauthor_uid=22731805" \h </w:instrText>
      </w:r>
      <w:r>
        <w:fldChar w:fldCharType="separate"/>
      </w:r>
      <w:r>
        <w:rPr>
          <w:rFonts w:ascii="Times New Roman" w:hAnsi="Times New Roman" w:eastAsia="微软雅黑" w:cs="Times New Roman"/>
          <w:sz w:val="18"/>
          <w:szCs w:val="18"/>
        </w:rPr>
        <w:t xml:space="preserve"> </w:t>
      </w:r>
      <w:r>
        <w:rPr>
          <w:rFonts w:ascii="Times New Roman" w:hAnsi="Times New Roman" w:eastAsia="微软雅黑" w:cs="Times New Roman"/>
          <w:sz w:val="18"/>
          <w:szCs w:val="18"/>
        </w:rPr>
        <w:fldChar w:fldCharType="end"/>
      </w:r>
      <w:r>
        <w:fldChar w:fldCharType="begin"/>
      </w:r>
      <w:r>
        <w:instrText xml:space="preserve"> HYPERLINK "http://www.ncbi.nlm.nih.gov/pubmed?term=Turner%20NC%5BAuthor%5D&amp;cauthor=true&amp;cauthor_uid=22731805" \h </w:instrText>
      </w:r>
      <w:r>
        <w:fldChar w:fldCharType="separate"/>
      </w:r>
      <w:r>
        <w:rPr>
          <w:rFonts w:ascii="Times New Roman" w:hAnsi="Times New Roman" w:eastAsia="微软雅黑" w:cs="Times New Roman"/>
          <w:sz w:val="18"/>
          <w:szCs w:val="18"/>
        </w:rPr>
        <w:t>Turner NC.</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 Challenges and opportunities in the targeting of fibroblast growth factor receptors in breast cancer. Breast Cancer Res. 2012, 14(3):208. </w:t>
      </w:r>
    </w:p>
    <w:p>
      <w:pPr>
        <w:widowControl/>
        <w:numPr>
          <w:ilvl w:val="0"/>
          <w:numId w:val="12"/>
        </w:numPr>
        <w:spacing w:after="3" w:line="247" w:lineRule="auto"/>
        <w:ind w:right="202" w:hanging="420"/>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Dutt et al. Drug-sensitive FGFR2 mutations in endometrial carcinoma. Proc Natl Acad Sci U S A. 2008, 105(25):8713-7.  </w:t>
      </w:r>
    </w:p>
    <w:p>
      <w:pPr>
        <w:widowControl/>
        <w:numPr>
          <w:ilvl w:val="0"/>
          <w:numId w:val="12"/>
        </w:numPr>
        <w:spacing w:after="3" w:line="247" w:lineRule="auto"/>
        <w:ind w:right="202" w:hanging="420"/>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Reintjes et al. Activating somatic FGFR2 mutations in breast cancer. PLoS One. 2013, 8(3):e60264. </w:t>
      </w:r>
    </w:p>
    <w:p>
      <w:pPr>
        <w:widowControl/>
        <w:numPr>
          <w:ilvl w:val="0"/>
          <w:numId w:val="12"/>
        </w:numPr>
        <w:spacing w:after="3" w:line="247" w:lineRule="auto"/>
        <w:ind w:right="202" w:hanging="420"/>
        <w:rPr>
          <w:rFonts w:ascii="Times New Roman" w:hAnsi="Times New Roman" w:eastAsia="微软雅黑" w:cs="Times New Roman"/>
          <w:sz w:val="18"/>
          <w:szCs w:val="18"/>
        </w:rPr>
      </w:pPr>
      <w:r>
        <w:rPr>
          <w:rFonts w:ascii="Times New Roman" w:hAnsi="Times New Roman" w:eastAsia="微软雅黑" w:cs="Times New Roman"/>
          <w:sz w:val="18"/>
          <w:szCs w:val="18"/>
        </w:rPr>
        <w:t>Wilkie AO. Cancer drugs to treat birth defects. Nat Genet. 2007, 39(9):1057-9.</w:t>
      </w:r>
    </w:p>
    <w:p>
      <w:pPr>
        <w:widowControl/>
        <w:jc w:val="left"/>
        <w:rPr>
          <w:rFonts w:ascii="Times New Roman" w:hAnsi="Times New Roman" w:eastAsia="微软雅黑" w:cs="Times New Roman"/>
          <w:sz w:val="18"/>
          <w:szCs w:val="18"/>
        </w:rPr>
      </w:pPr>
      <w:r>
        <w:rPr>
          <w:rFonts w:ascii="Times New Roman" w:hAnsi="Times New Roman" w:eastAsia="微软雅黑" w:cs="Times New Roman"/>
          <w:sz w:val="18"/>
          <w:szCs w:val="18"/>
        </w:rPr>
        <w:br w:type="page"/>
      </w:r>
    </w:p>
    <w:p>
      <w:pPr>
        <w:spacing w:after="38" w:line="259" w:lineRule="auto"/>
        <w:ind w:left="-5" w:hanging="10"/>
        <w:jc w:val="center"/>
      </w:pPr>
      <w:r>
        <w:rPr>
          <w:rFonts w:ascii="微软雅黑" w:hAnsi="微软雅黑" w:eastAsia="微软雅黑" w:cs="Arial"/>
          <w:b/>
          <w:sz w:val="24"/>
          <w:szCs w:val="24"/>
        </w:rPr>
        <w:t>FLT3</w:t>
      </w:r>
      <w:r>
        <w:rPr>
          <w:rFonts w:ascii="Arial" w:hAnsi="Arial" w:eastAsia="Arial" w:cs="Arial"/>
          <w:sz w:val="44"/>
        </w:rPr>
        <w:t xml:space="preserve">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Fms 相关酪氨酸激酶3（FLT3）可激活造血细胞内的信号通路。FLT3蛋白由五个细胞外免疫球蛋白样结构域、跨膜结构域、近膜结构域和两个酪氨酸激酶结构域</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 xml:space="preserve"> 。FLT3 基因突变的经常发生在急性髓系白血病、其他恶性血液病和结直肠癌（COSMIC）。在 24.3％急性髓系白血病病人检测到FLT3突变的，这些突变中</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大部分是内部串联重复形式</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FLT3基因内部串联重复通常发生于当近膜域内出现不高于10个到数百个bp长度的序列重复时</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所有这些串联重复序列长度均为3的倍数，因此并不形成移码，只是增加了新的氨基酸。除了内部串联重复，在5-7％的急性髓系白血病病人FLT3蛋白的酪氨酸激酶结构域可观察到点突变；这两种突变均引起FLT3信号途径的异常激活（图示），从而导致肿瘤细胞增殖</w:t>
      </w:r>
      <w:r>
        <w:rPr>
          <w:rFonts w:ascii="微软雅黑" w:hAnsi="微软雅黑" w:eastAsia="微软雅黑" w:cs="MicrosoftYaHei"/>
          <w:kern w:val="0"/>
          <w:sz w:val="22"/>
          <w:szCs w:val="24"/>
          <w:vertAlign w:val="superscript"/>
        </w:rPr>
        <w:t>3</w:t>
      </w:r>
      <w:r>
        <w:rPr>
          <w:rFonts w:ascii="微软雅黑" w:hAnsi="微软雅黑" w:eastAsia="微软雅黑" w:cs="MicrosoftYaHei"/>
          <w:kern w:val="0"/>
          <w:sz w:val="22"/>
          <w:szCs w:val="24"/>
        </w:rPr>
        <w:t>。FLT3突变属于白血病病发机制“二次打击”学说的第 I 类</w:t>
      </w:r>
      <w:r>
        <w:rPr>
          <w:rFonts w:ascii="微软雅黑" w:hAnsi="微软雅黑" w:eastAsia="微软雅黑" w:cs="MicrosoftYaHei"/>
          <w:kern w:val="0"/>
          <w:sz w:val="22"/>
          <w:szCs w:val="24"/>
          <w:vertAlign w:val="superscript"/>
        </w:rPr>
        <w:t xml:space="preserve"> 4</w:t>
      </w:r>
      <w:r>
        <w:rPr>
          <w:rFonts w:ascii="微软雅黑" w:hAnsi="微软雅黑" w:eastAsia="微软雅黑" w:cs="MicrosoftYaHei"/>
          <w:kern w:val="0"/>
          <w:sz w:val="22"/>
          <w:szCs w:val="24"/>
        </w:rPr>
        <w:t xml:space="preserve">。 </w:t>
      </w:r>
    </w:p>
    <w:p>
      <w:pPr>
        <w:spacing w:after="188" w:line="259" w:lineRule="auto"/>
        <w:ind w:right="120"/>
        <w:jc w:val="center"/>
      </w:pPr>
      <w:r>
        <w:drawing>
          <wp:inline distT="0" distB="0" distL="0" distR="0">
            <wp:extent cx="2781300" cy="2162175"/>
            <wp:effectExtent l="0" t="0" r="0" b="0"/>
            <wp:docPr id="16122" name="Picture 16122"/>
            <wp:cNvGraphicFramePr/>
            <a:graphic xmlns:a="http://schemas.openxmlformats.org/drawingml/2006/main">
              <a:graphicData uri="http://schemas.openxmlformats.org/drawingml/2006/picture">
                <pic:pic xmlns:pic="http://schemas.openxmlformats.org/drawingml/2006/picture">
                  <pic:nvPicPr>
                    <pic:cNvPr id="16122" name="Picture 16122"/>
                    <pic:cNvPicPr/>
                  </pic:nvPicPr>
                  <pic:blipFill>
                    <a:blip r:embed="rId23"/>
                    <a:stretch>
                      <a:fillRect/>
                    </a:stretch>
                  </pic:blipFill>
                  <pic:spPr>
                    <a:xfrm>
                      <a:off x="0" y="0"/>
                      <a:ext cx="2781300" cy="2162175"/>
                    </a:xfrm>
                    <a:prstGeom prst="rect">
                      <a:avLst/>
                    </a:prstGeom>
                  </pic:spPr>
                </pic:pic>
              </a:graphicData>
            </a:graphic>
          </wp:inline>
        </w:drawing>
      </w:r>
      <w:r>
        <w:rPr>
          <w:rFonts w:ascii="Arial" w:hAnsi="Arial" w:eastAsia="Arial" w:cs="Arial"/>
          <w:sz w:val="24"/>
        </w:rPr>
        <w:t xml:space="preserve"> </w:t>
      </w:r>
    </w:p>
    <w:p>
      <w:pPr>
        <w:spacing w:after="360" w:line="259" w:lineRule="auto"/>
        <w:ind w:left="221" w:right="425" w:hanging="10"/>
        <w:jc w:val="center"/>
        <w:rPr>
          <w:sz w:val="18"/>
          <w:szCs w:val="18"/>
        </w:rPr>
      </w:pPr>
      <w:r>
        <w:rPr>
          <w:rFonts w:ascii="微软雅黑" w:hAnsi="微软雅黑" w:eastAsia="微软雅黑" w:cs="微软雅黑"/>
          <w:sz w:val="18"/>
          <w:szCs w:val="18"/>
        </w:rPr>
        <w:t>图示：</w:t>
      </w:r>
      <w:r>
        <w:rPr>
          <w:color w:val="222222"/>
          <w:sz w:val="18"/>
          <w:szCs w:val="18"/>
        </w:rPr>
        <w:t xml:space="preserve">FLT3 </w:t>
      </w:r>
      <w:r>
        <w:rPr>
          <w:rFonts w:ascii="微软雅黑" w:hAnsi="微软雅黑" w:eastAsia="微软雅黑" w:cs="微软雅黑"/>
          <w:color w:val="222222"/>
          <w:sz w:val="18"/>
          <w:szCs w:val="18"/>
        </w:rPr>
        <w:t xml:space="preserve">信号通路参与决定细胞命运 </w:t>
      </w:r>
      <w:r>
        <w:rPr>
          <w:rFonts w:ascii="微软雅黑" w:hAnsi="微软雅黑" w:eastAsia="微软雅黑" w:cs="微软雅黑"/>
          <w:color w:val="222222"/>
          <w:sz w:val="18"/>
          <w:szCs w:val="18"/>
          <w:vertAlign w:val="superscript"/>
        </w:rPr>
        <w:t xml:space="preserve">5 </w:t>
      </w:r>
      <w:r>
        <w:rPr>
          <w:rFonts w:ascii="微软雅黑" w:hAnsi="微软雅黑" w:eastAsia="微软雅黑" w:cs="微软雅黑"/>
          <w:color w:val="222222"/>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13"/>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"http://www.ncbi.nlm.nih.gov/pubmed?term=Leung%20AY%5BAuthor%5D&amp;cauthor=true&amp;cauthor_uid=22797419" \h </w:instrText>
      </w:r>
      <w:r>
        <w:fldChar w:fldCharType="separate"/>
      </w:r>
      <w:r>
        <w:rPr>
          <w:rFonts w:ascii="Times New Roman" w:hAnsi="Times New Roman" w:cs="Times New Roman"/>
          <w:sz w:val="18"/>
          <w:szCs w:val="18"/>
        </w:rPr>
        <w:t>Leung,</w:t>
      </w:r>
      <w:r>
        <w:rPr>
          <w:rFonts w:ascii="Times New Roman" w:hAnsi="Times New Roman" w:cs="Times New Roman"/>
          <w:sz w:val="18"/>
          <w:szCs w:val="18"/>
        </w:rPr>
        <w:fldChar w:fldCharType="end"/>
      </w:r>
      <w:r>
        <w:rPr>
          <w:rFonts w:ascii="Times New Roman" w:hAnsi="Times New Roman" w:cs="Times New Roman"/>
          <w:sz w:val="18"/>
          <w:szCs w:val="18"/>
        </w:rPr>
        <w:t xml:space="preserve"> et al. FLT3 inhibition: a moving and evolving target in acute myeloid leukaemia. Leukemia. 2013, 27(2):260-8. </w:t>
      </w:r>
    </w:p>
    <w:p>
      <w:pPr>
        <w:widowControl/>
        <w:numPr>
          <w:ilvl w:val="0"/>
          <w:numId w:val="13"/>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"http://www.ncbi.nlm.nih.gov/pubmed?term=Fathi%20AT%5BAuthor%5D&amp;cauthor=true&amp;cauthor_uid=22432079" \h </w:instrText>
      </w:r>
      <w:r>
        <w:fldChar w:fldCharType="separate"/>
      </w:r>
      <w:r>
        <w:rPr>
          <w:rFonts w:ascii="Times New Roman" w:hAnsi="Times New Roman" w:cs="Times New Roman"/>
          <w:sz w:val="18"/>
          <w:szCs w:val="18"/>
        </w:rPr>
        <w:t>Fathi AT</w:t>
      </w:r>
      <w:r>
        <w:rPr>
          <w:rFonts w:ascii="Times New Roman" w:hAnsi="Times New Roman" w:cs="Times New Roman"/>
          <w:sz w:val="18"/>
          <w:szCs w:val="18"/>
        </w:rPr>
        <w:fldChar w:fldCharType="end"/>
      </w:r>
      <w:r>
        <w:fldChar w:fldCharType="begin"/>
      </w:r>
      <w:r>
        <w:instrText xml:space="preserve"> HYPERLINK "http://www.ncbi.nlm.nih.gov/pubmed?term=Fathi%20AT%5BAuthor%5D&amp;cauthor=true&amp;cauthor_uid=22432079" \h </w:instrText>
      </w:r>
      <w:r>
        <w:fldChar w:fldCharType="separate"/>
      </w:r>
      <w:r>
        <w:rPr>
          <w:rFonts w:ascii="Times New Roman" w:hAnsi="Times New Roman" w:cs="Times New Roman"/>
          <w:sz w:val="18"/>
          <w:szCs w:val="18"/>
        </w:rPr>
        <w:t>,</w:t>
      </w:r>
      <w:r>
        <w:rPr>
          <w:rFonts w:ascii="Times New Roman" w:hAnsi="Times New Roman" w:cs="Times New Roman"/>
          <w:sz w:val="18"/>
          <w:szCs w:val="18"/>
        </w:rPr>
        <w:fldChar w:fldCharType="end"/>
      </w:r>
      <w:r>
        <w:fldChar w:fldCharType="begin"/>
      </w:r>
      <w:r>
        <w:instrText xml:space="preserve"> HYPERLINK "http://www.ncbi.nlm.nih.gov/pubmed?term=Chen%20YB%5BAuthor%5D&amp;cauthor=true&amp;cauthor_uid=22432079"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fldChar w:fldCharType="begin"/>
      </w:r>
      <w:r>
        <w:instrText xml:space="preserve"> HYPERLINK "http://www.ncbi.nlm.nih.gov/pubmed?term=Chen%20YB%5BAuthor%5D&amp;cauthor=true&amp;cauthor_uid=22432079" \h </w:instrText>
      </w:r>
      <w:r>
        <w:fldChar w:fldCharType="separate"/>
      </w:r>
      <w:r>
        <w:rPr>
          <w:rFonts w:ascii="Times New Roman" w:hAnsi="Times New Roman" w:cs="Times New Roman"/>
          <w:sz w:val="18"/>
          <w:szCs w:val="18"/>
        </w:rPr>
        <w:t>Chen YB.</w:t>
      </w:r>
      <w:r>
        <w:rPr>
          <w:rFonts w:ascii="Times New Roman" w:hAnsi="Times New Roman" w:cs="Times New Roman"/>
          <w:sz w:val="18"/>
          <w:szCs w:val="18"/>
        </w:rPr>
        <w:fldChar w:fldCharType="end"/>
      </w:r>
      <w:r>
        <w:rPr>
          <w:rFonts w:ascii="Times New Roman" w:hAnsi="Times New Roman" w:cs="Times New Roman"/>
          <w:sz w:val="18"/>
          <w:szCs w:val="18"/>
        </w:rPr>
        <w:t xml:space="preserve"> Treatment of FLT3-ITD acute myeloid leukemia. Am J Blood Res. 2011, 1(2):175-89.  </w:t>
      </w:r>
    </w:p>
    <w:p>
      <w:pPr>
        <w:widowControl/>
        <w:numPr>
          <w:ilvl w:val="0"/>
          <w:numId w:val="13"/>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"http://www.ncbi.nlm.nih.gov/pubmed?term=Kottaridis%20PD%5BAuthor%5D&amp;cauthor=true&amp;cauthor_uid=11535508" \h </w:instrText>
      </w:r>
      <w:r>
        <w:fldChar w:fldCharType="separate"/>
      </w:r>
      <w:r>
        <w:rPr>
          <w:rFonts w:ascii="Times New Roman" w:hAnsi="Times New Roman" w:cs="Times New Roman"/>
          <w:sz w:val="18"/>
          <w:szCs w:val="18"/>
        </w:rPr>
        <w:t>Kottaridis,</w:t>
      </w:r>
      <w:r>
        <w:rPr>
          <w:rFonts w:ascii="Times New Roman" w:hAnsi="Times New Roman" w:cs="Times New Roman"/>
          <w:sz w:val="18"/>
          <w:szCs w:val="18"/>
        </w:rPr>
        <w:fldChar w:fldCharType="end"/>
      </w:r>
      <w:r>
        <w:rPr>
          <w:rFonts w:ascii="Times New Roman" w:hAnsi="Times New Roman" w:cs="Times New Roman"/>
          <w:sz w:val="18"/>
          <w:szCs w:val="18"/>
        </w:rPr>
        <w:t xml:space="preserve"> et al. The presence of a FLT3 internal tandem duplication in patients with acute myeloid leukemia (AML) adds important prognostic information to cytogenetic risk group and response to the first cycle of chemotherapy: analysis of 854 patients from the United Kingdom Medical Research Council AML 10 and 12 trials. Blood. 2001, 98(6):1752-9. </w:t>
      </w:r>
    </w:p>
    <w:p>
      <w:pPr>
        <w:widowControl/>
        <w:numPr>
          <w:ilvl w:val="0"/>
          <w:numId w:val="13"/>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"http://www.ncbi.nlm.nih.gov/pubmed?term=Naoe%20T%5BAuthor%5D&amp;cauthor=true&amp;cauthor_uid=23359299" \h </w:instrText>
      </w:r>
      <w:r>
        <w:fldChar w:fldCharType="separate"/>
      </w:r>
      <w:r>
        <w:rPr>
          <w:rFonts w:ascii="Times New Roman" w:hAnsi="Times New Roman" w:cs="Times New Roman"/>
          <w:sz w:val="18"/>
          <w:szCs w:val="18"/>
        </w:rPr>
        <w:t>Naoe T</w:t>
      </w:r>
      <w:r>
        <w:rPr>
          <w:rFonts w:ascii="Times New Roman" w:hAnsi="Times New Roman" w:cs="Times New Roman"/>
          <w:sz w:val="18"/>
          <w:szCs w:val="18"/>
        </w:rPr>
        <w:fldChar w:fldCharType="end"/>
      </w:r>
      <w:r>
        <w:fldChar w:fldCharType="begin"/>
      </w:r>
      <w:r>
        <w:instrText xml:space="preserve"> HYPERLINK "http://www.ncbi.nlm.nih.gov/pubmed?term=Naoe%20T%5BAuthor%5D&amp;cauthor=true&amp;cauthor_uid=23359299" \h </w:instrText>
      </w:r>
      <w:r>
        <w:fldChar w:fldCharType="separate"/>
      </w:r>
      <w:r>
        <w:rPr>
          <w:rFonts w:ascii="Times New Roman" w:hAnsi="Times New Roman" w:cs="Times New Roman"/>
          <w:sz w:val="18"/>
          <w:szCs w:val="18"/>
        </w:rPr>
        <w:t>,</w:t>
      </w:r>
      <w:r>
        <w:rPr>
          <w:rFonts w:ascii="Times New Roman" w:hAnsi="Times New Roman" w:cs="Times New Roman"/>
          <w:sz w:val="18"/>
          <w:szCs w:val="18"/>
        </w:rPr>
        <w:fldChar w:fldCharType="end"/>
      </w:r>
      <w:r>
        <w:fldChar w:fldCharType="begin"/>
      </w:r>
      <w:r>
        <w:instrText xml:space="preserve"> HYPERLINK "http://www.ncbi.nlm.nih.gov/pubmed?term=Kiyoi%20H%5BAuthor%5D&amp;cauthor=true&amp;cauthor_uid=23359299"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fldChar w:fldCharType="begin"/>
      </w:r>
      <w:r>
        <w:instrText xml:space="preserve"> HYPERLINK "http://www.ncbi.nlm.nih.gov/pubmed?term=Kiyoi%20H%5BAuthor%5D&amp;cauthor=true&amp;cauthor_uid=23359299" \h </w:instrText>
      </w:r>
      <w:r>
        <w:fldChar w:fldCharType="separate"/>
      </w:r>
      <w:r>
        <w:rPr>
          <w:rFonts w:ascii="Times New Roman" w:hAnsi="Times New Roman" w:cs="Times New Roman"/>
          <w:sz w:val="18"/>
          <w:szCs w:val="18"/>
        </w:rPr>
        <w:t>Kiyoi H</w:t>
      </w:r>
      <w:r>
        <w:rPr>
          <w:rFonts w:ascii="Times New Roman" w:hAnsi="Times New Roman" w:cs="Times New Roman"/>
          <w:sz w:val="18"/>
          <w:szCs w:val="18"/>
        </w:rPr>
        <w:fldChar w:fldCharType="end"/>
      </w:r>
      <w:r>
        <w:fldChar w:fldCharType="begin"/>
      </w:r>
      <w:r>
        <w:instrText xml:space="preserve"> HYPERLINK "http://www.ncbi.nlm.nih.gov/pubmed?term=Kiyoi%20H%5BAuthor%5D&amp;cauthor=true&amp;cauthor_uid=23359299" \h </w:instrText>
      </w:r>
      <w:r>
        <w:fldChar w:fldCharType="separate"/>
      </w:r>
      <w:r>
        <w:rPr>
          <w:rFonts w:ascii="Times New Roman" w:hAnsi="Times New Roman" w:cs="Times New Roman"/>
          <w:sz w:val="18"/>
          <w:szCs w:val="18"/>
        </w:rPr>
        <w:t>.</w:t>
      </w:r>
      <w:r>
        <w:rPr>
          <w:rFonts w:ascii="Times New Roman" w:hAnsi="Times New Roman" w:cs="Times New Roman"/>
          <w:sz w:val="18"/>
          <w:szCs w:val="18"/>
        </w:rPr>
        <w:fldChar w:fldCharType="end"/>
      </w:r>
      <w:r>
        <w:rPr>
          <w:rFonts w:ascii="Times New Roman" w:hAnsi="Times New Roman" w:cs="Times New Roman"/>
          <w:sz w:val="18"/>
          <w:szCs w:val="18"/>
        </w:rPr>
        <w:t xml:space="preserve"> Gene mutations of acute myeloid leukemia in the genome era. Int J Hematol. 2013, 97(2):165-74. </w:t>
      </w:r>
    </w:p>
    <w:p>
      <w:pPr>
        <w:widowControl/>
        <w:numPr>
          <w:ilvl w:val="0"/>
          <w:numId w:val="13"/>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 xml:space="preserve">Swords R, et al. Targeting the FMS-like tyrosine kinase 3 in acute myeloid leukemia. Leukemia. 2012, 26(10):2176-85. </w:t>
      </w:r>
    </w:p>
    <w:p>
      <w:pPr>
        <w:widowControl/>
        <w:spacing w:after="3" w:line="247" w:lineRule="auto"/>
        <w:ind w:left="420" w:right="202"/>
        <w:rPr>
          <w:rFonts w:ascii="Times New Roman" w:hAnsi="Times New Roman" w:eastAsia="微软雅黑" w:cs="Times New Roman"/>
          <w:sz w:val="18"/>
          <w:szCs w:val="18"/>
        </w:rPr>
      </w:pPr>
    </w:p>
    <w:p>
      <w:pPr>
        <w:widowControl/>
        <w:jc w:val="left"/>
        <w:rPr>
          <w:rFonts w:ascii="Times New Roman" w:hAnsi="Times New Roman" w:eastAsia="微软雅黑" w:cs="Times New Roman"/>
          <w:sz w:val="18"/>
          <w:szCs w:val="18"/>
        </w:rPr>
      </w:pPr>
      <w:r>
        <w:rPr>
          <w:rFonts w:ascii="Times New Roman" w:hAnsi="Times New Roman" w:eastAsia="微软雅黑" w:cs="Times New Roman"/>
          <w:sz w:val="18"/>
          <w:szCs w:val="18"/>
        </w:rPr>
        <w:br w:type="page"/>
      </w:r>
    </w:p>
    <w:p>
      <w:pPr>
        <w:spacing w:after="38" w:line="259" w:lineRule="auto"/>
        <w:ind w:left="-5" w:hanging="10"/>
        <w:jc w:val="center"/>
        <w:rPr>
          <w:rFonts w:ascii="微软雅黑" w:hAnsi="微软雅黑" w:eastAsia="微软雅黑" w:cs="Arial"/>
          <w:b/>
          <w:sz w:val="24"/>
          <w:szCs w:val="24"/>
        </w:rPr>
      </w:pPr>
      <w:r>
        <w:rPr>
          <w:rFonts w:ascii="微软雅黑" w:hAnsi="微软雅黑" w:eastAsia="微软雅黑" w:cs="Arial"/>
          <w:b/>
          <w:sz w:val="24"/>
          <w:szCs w:val="24"/>
        </w:rPr>
        <w:t xml:space="preserve">GNA11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鸟嘌呤核苷酸结合蛋白（G蛋白）是一类异源三聚体蛋白，可偶联七次跨膜结构域受体与细胞内的级联反应因子，如神经递质，生长因子和激素信号通路</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。异源三聚体G蛋白由三个亚基组成，Gα、Gβ和Gγ（图示），每个亚基又包含不同的成员。GNA11基因编码α-11亚基（Gα11）。受体活化可催化Gα 亚基上GDP（鸟苷二磷酸）置换为 GTP（三磷酸鸟苷），导致Gα亚基从Gßγ上解离。Gα或Gßγ均可激活下游的细胞信号传导通路；Gα亚基自身的GTPase活性将GTP水解为GDP后，该信号传导即被终止。GNA11基因突变多是位于第5外显子的密码子209，所在区域正好是具有GTPase 催化活性的。因此，在该区域的突变会导致基因的构成型激活，从而保持GTP结合的状态</w:t>
      </w:r>
      <w:r>
        <w:rPr>
          <w:rFonts w:ascii="微软雅黑" w:hAnsi="微软雅黑" w:eastAsia="微软雅黑" w:cs="MicrosoftYaHei"/>
          <w:kern w:val="0"/>
          <w:sz w:val="22"/>
          <w:szCs w:val="24"/>
          <w:vertAlign w:val="superscript"/>
        </w:rPr>
        <w:t>2，3</w:t>
      </w:r>
      <w:r>
        <w:rPr>
          <w:rFonts w:ascii="微软雅黑" w:hAnsi="微软雅黑" w:eastAsia="微软雅黑" w:cs="MicrosoftYaHei"/>
          <w:kern w:val="0"/>
          <w:sz w:val="22"/>
          <w:szCs w:val="24"/>
        </w:rPr>
        <w:t>。在小鼠体内表达GNA11 Q209L 直接导致黑素细胞癌化，并通过 MAPK 通路增加信号传导活性</w:t>
      </w:r>
      <w:r>
        <w:rPr>
          <w:rFonts w:ascii="微软雅黑" w:hAnsi="微软雅黑" w:eastAsia="微软雅黑" w:cs="MicrosoftYaHei"/>
          <w:kern w:val="0"/>
          <w:sz w:val="22"/>
          <w:szCs w:val="24"/>
          <w:vertAlign w:val="superscript"/>
        </w:rPr>
        <w:t>4</w:t>
      </w:r>
      <w:r>
        <w:rPr>
          <w:rFonts w:ascii="微软雅黑" w:hAnsi="微软雅黑" w:eastAsia="微软雅黑" w:cs="MicrosoftYaHei"/>
          <w:kern w:val="0"/>
          <w:sz w:val="22"/>
          <w:szCs w:val="24"/>
        </w:rPr>
        <w:t>。可在34％的原发性葡萄膜黑色素瘤患者检测到GNA11体细胞突变，在高达63％的葡萄膜黑色素瘤转移患者发现有该基因体细胞突变。以恶性黑色素瘤总体而言，约2％的样本可见GNA11突变；但尚未在眼黑色素瘤患者检测到该基因突变</w:t>
      </w:r>
      <w:r>
        <w:rPr>
          <w:rFonts w:ascii="微软雅黑" w:hAnsi="微软雅黑" w:eastAsia="微软雅黑" w:cs="MicrosoftYaHei"/>
          <w:kern w:val="0"/>
          <w:sz w:val="22"/>
          <w:szCs w:val="24"/>
          <w:vertAlign w:val="superscript"/>
        </w:rPr>
        <w:t>4</w:t>
      </w:r>
      <w:r>
        <w:rPr>
          <w:rFonts w:ascii="微软雅黑" w:hAnsi="微软雅黑" w:eastAsia="微软雅黑" w:cs="MicrosoftYaHei"/>
          <w:kern w:val="0"/>
          <w:sz w:val="22"/>
          <w:szCs w:val="24"/>
        </w:rPr>
        <w:t xml:space="preserve">。绝大多数情况下，GNA11基因突变并不与黑色素瘤其它原癌基因突变如 BRAF 突变，KIT 突变等共存；目前也缺乏抗 GNA11 的靶向药物。 </w:t>
      </w:r>
    </w:p>
    <w:p>
      <w:pPr>
        <w:spacing w:after="219" w:line="259" w:lineRule="auto"/>
        <w:ind w:right="119"/>
        <w:jc w:val="center"/>
      </w:pPr>
      <w:r>
        <w:drawing>
          <wp:inline distT="0" distB="0" distL="0" distR="0">
            <wp:extent cx="1895475" cy="1771650"/>
            <wp:effectExtent l="0" t="0" r="0" b="0"/>
            <wp:docPr id="16332" name="Picture 16332"/>
            <wp:cNvGraphicFramePr/>
            <a:graphic xmlns:a="http://schemas.openxmlformats.org/drawingml/2006/main">
              <a:graphicData uri="http://schemas.openxmlformats.org/drawingml/2006/picture">
                <pic:pic xmlns:pic="http://schemas.openxmlformats.org/drawingml/2006/picture">
                  <pic:nvPicPr>
                    <pic:cNvPr id="16332" name="Picture 16332"/>
                    <pic:cNvPicPr/>
                  </pic:nvPicPr>
                  <pic:blipFill>
                    <a:blip r:embed="rId24"/>
                    <a:stretch>
                      <a:fillRect/>
                    </a:stretch>
                  </pic:blipFill>
                  <pic:spPr>
                    <a:xfrm>
                      <a:off x="0" y="0"/>
                      <a:ext cx="1895475" cy="1771650"/>
                    </a:xfrm>
                    <a:prstGeom prst="rect">
                      <a:avLst/>
                    </a:prstGeom>
                  </pic:spPr>
                </pic:pic>
              </a:graphicData>
            </a:graphic>
          </wp:inline>
        </w:drawing>
      </w:r>
      <w:r>
        <w:rPr>
          <w:rFonts w:ascii="Arial" w:hAnsi="Arial" w:eastAsia="Arial" w:cs="Arial"/>
          <w:sz w:val="24"/>
        </w:rPr>
        <w:t xml:space="preserve"> </w:t>
      </w:r>
    </w:p>
    <w:p>
      <w:pPr>
        <w:spacing w:after="269" w:line="259" w:lineRule="auto"/>
        <w:ind w:left="221" w:right="425" w:hanging="10"/>
        <w:jc w:val="center"/>
        <w:rPr>
          <w:rFonts w:ascii="微软雅黑" w:hAnsi="微软雅黑" w:eastAsia="微软雅黑"/>
          <w:sz w:val="18"/>
          <w:szCs w:val="18"/>
        </w:rPr>
      </w:pPr>
      <w:r>
        <w:rPr>
          <w:rFonts w:ascii="微软雅黑" w:hAnsi="微软雅黑" w:eastAsia="微软雅黑" w:cs="微软雅黑"/>
          <w:sz w:val="18"/>
          <w:szCs w:val="18"/>
        </w:rPr>
        <w:t>图示：</w:t>
      </w:r>
      <w:r>
        <w:rPr>
          <w:rFonts w:ascii="微软雅黑" w:hAnsi="微软雅黑" w:eastAsia="微软雅黑" w:cs="Arial"/>
          <w:sz w:val="18"/>
          <w:szCs w:val="18"/>
        </w:rPr>
        <w:t xml:space="preserve"> </w:t>
      </w:r>
      <w:r>
        <w:rPr>
          <w:rFonts w:ascii="微软雅黑" w:hAnsi="微软雅黑" w:eastAsia="微软雅黑"/>
          <w:color w:val="222222"/>
          <w:sz w:val="18"/>
          <w:szCs w:val="18"/>
        </w:rPr>
        <w:t xml:space="preserve">Gα </w:t>
      </w:r>
      <w:r>
        <w:rPr>
          <w:rFonts w:ascii="微软雅黑" w:hAnsi="微软雅黑" w:eastAsia="微软雅黑" w:cs="微软雅黑"/>
          <w:color w:val="222222"/>
          <w:sz w:val="18"/>
          <w:szCs w:val="18"/>
        </w:rPr>
        <w:t>亚基的活化</w:t>
      </w:r>
      <w:r>
        <w:rPr>
          <w:rFonts w:ascii="微软雅黑" w:hAnsi="微软雅黑" w:eastAsia="微软雅黑"/>
          <w:color w:val="222222"/>
          <w:sz w:val="18"/>
          <w:szCs w:val="18"/>
        </w:rPr>
        <w:t xml:space="preserve"> </w:t>
      </w:r>
      <w:r>
        <w:rPr>
          <w:rFonts w:ascii="Arial" w:hAnsi="Arial" w:eastAsia="Arial" w:cs="Arial"/>
          <w:sz w:val="20"/>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14"/>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"http://www.ncbi.nlm.nih.gov/pubmed?term=Rosenbaum%20DM%5BAuthor%5D&amp;cauthor=true&amp;cauthor_uid=19458711" \h </w:instrText>
      </w:r>
      <w:r>
        <w:fldChar w:fldCharType="separate"/>
      </w:r>
      <w:r>
        <w:rPr>
          <w:rFonts w:ascii="Times New Roman" w:hAnsi="Times New Roman" w:cs="Times New Roman"/>
          <w:sz w:val="18"/>
          <w:szCs w:val="18"/>
        </w:rPr>
        <w:t>Rosenbaum</w:t>
      </w:r>
      <w:r>
        <w:rPr>
          <w:rFonts w:ascii="Times New Roman" w:hAnsi="Times New Roman" w:cs="Times New Roman"/>
          <w:sz w:val="18"/>
          <w:szCs w:val="18"/>
        </w:rPr>
        <w:fldChar w:fldCharType="end"/>
      </w:r>
      <w:r>
        <w:fldChar w:fldCharType="begin"/>
      </w:r>
      <w:r>
        <w:instrText xml:space="preserve"> HYPERLINK "http://www.ncbi.nlm.nih.gov/pubmed?term=Rosenbaum%20DM%5BAuthor%5D&amp;cauthor=true&amp;cauthor_uid=19458711"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rPr>
          <w:rFonts w:ascii="Times New Roman" w:hAnsi="Times New Roman" w:cs="Times New Roman"/>
          <w:sz w:val="18"/>
          <w:szCs w:val="18"/>
        </w:rPr>
        <w:t>DM, et al. The structure and function of G-protein-coupled receptors.</w:t>
      </w:r>
      <w:r>
        <w:rPr>
          <w:rFonts w:ascii="Times New Roman" w:hAnsi="Times New Roman" w:eastAsia="Calibri" w:cs="Times New Roman"/>
          <w:sz w:val="18"/>
          <w:szCs w:val="18"/>
        </w:rPr>
        <w:t xml:space="preserve"> </w:t>
      </w:r>
      <w:r>
        <w:rPr>
          <w:rFonts w:ascii="Times New Roman" w:hAnsi="Times New Roman" w:cs="Times New Roman"/>
          <w:sz w:val="18"/>
          <w:szCs w:val="18"/>
        </w:rPr>
        <w:t xml:space="preserve">Nature. 2009, 459(7245):356-63. </w:t>
      </w:r>
    </w:p>
    <w:p>
      <w:pPr>
        <w:widowControl/>
        <w:numPr>
          <w:ilvl w:val="0"/>
          <w:numId w:val="14"/>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"http://www.ncbi.nlm.nih.gov/pubmed?term=Kalinec%20G%5BAuthor%5D&amp;cauthor=true&amp;cauthor_uid=1328859" \h </w:instrText>
      </w:r>
      <w:r>
        <w:fldChar w:fldCharType="separate"/>
      </w:r>
      <w:r>
        <w:rPr>
          <w:rFonts w:ascii="Times New Roman" w:hAnsi="Times New Roman" w:cs="Times New Roman"/>
          <w:sz w:val="18"/>
          <w:szCs w:val="18"/>
        </w:rPr>
        <w:t>Kalinec</w:t>
      </w:r>
      <w:r>
        <w:rPr>
          <w:rFonts w:ascii="Times New Roman" w:hAnsi="Times New Roman" w:cs="Times New Roman"/>
          <w:sz w:val="18"/>
          <w:szCs w:val="18"/>
        </w:rPr>
        <w:fldChar w:fldCharType="end"/>
      </w:r>
      <w:r>
        <w:fldChar w:fldCharType="begin"/>
      </w:r>
      <w:r>
        <w:instrText xml:space="preserve"> HYPERLINK "http://www.ncbi.nlm.nih.gov/pubmed?term=Kalinec%20G%5BAuthor%5D&amp;cauthor=true&amp;cauthor_uid=1328859"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rPr>
          <w:rFonts w:ascii="Times New Roman" w:hAnsi="Times New Roman" w:cs="Times New Roman"/>
          <w:sz w:val="18"/>
          <w:szCs w:val="18"/>
        </w:rPr>
        <w:t xml:space="preserve">G, et al. Mutated alpha subunit of the Gq protein induces malignant transformation in NIH 3T3 cells. Mol Cell Biol. 1992, 12(10):4687-93. </w:t>
      </w:r>
    </w:p>
    <w:p>
      <w:pPr>
        <w:widowControl/>
        <w:numPr>
          <w:ilvl w:val="0"/>
          <w:numId w:val="14"/>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"http://www.ncbi.nlm.nih.gov/pubmed?term=Landis%20CA%5BAuthor%5D&amp;cauthor=true&amp;cauthor_uid=2549426" \h </w:instrText>
      </w:r>
      <w:r>
        <w:fldChar w:fldCharType="separate"/>
      </w:r>
      <w:r>
        <w:rPr>
          <w:rFonts w:ascii="Times New Roman" w:hAnsi="Times New Roman" w:cs="Times New Roman"/>
          <w:sz w:val="18"/>
          <w:szCs w:val="18"/>
        </w:rPr>
        <w:t>Landis C</w:t>
      </w:r>
      <w:r>
        <w:rPr>
          <w:rFonts w:ascii="Times New Roman" w:hAnsi="Times New Roman" w:cs="Times New Roman"/>
          <w:sz w:val="18"/>
          <w:szCs w:val="18"/>
        </w:rPr>
        <w:fldChar w:fldCharType="end"/>
      </w:r>
      <w:r>
        <w:rPr>
          <w:rFonts w:ascii="Times New Roman" w:hAnsi="Times New Roman" w:cs="Times New Roman"/>
          <w:sz w:val="18"/>
          <w:szCs w:val="18"/>
        </w:rPr>
        <w:t xml:space="preserve">A, et al. GTPase inhibiting mutations activate the alpha chain of Gs and stimulate adenylyl cyclase in human pituitary tumours. Nature. 1989, 340(6236):692-6. </w:t>
      </w:r>
    </w:p>
    <w:p>
      <w:pPr>
        <w:widowControl/>
        <w:numPr>
          <w:ilvl w:val="0"/>
          <w:numId w:val="14"/>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"http://www.ncbi.nlm.nih.gov/pubmed?term=Van%20Raamsdonk%20CD%5BAuthor%5D&amp;cauthor=true&amp;cauthor_uid=21083380" \h </w:instrText>
      </w:r>
      <w:r>
        <w:fldChar w:fldCharType="separate"/>
      </w:r>
      <w:r>
        <w:rPr>
          <w:rFonts w:ascii="Times New Roman" w:hAnsi="Times New Roman" w:cs="Times New Roman"/>
          <w:sz w:val="18"/>
          <w:szCs w:val="18"/>
        </w:rPr>
        <w:t>Van Raamsdonk C</w:t>
      </w:r>
      <w:r>
        <w:rPr>
          <w:rFonts w:ascii="Times New Roman" w:hAnsi="Times New Roman" w:cs="Times New Roman"/>
          <w:sz w:val="18"/>
          <w:szCs w:val="18"/>
        </w:rPr>
        <w:fldChar w:fldCharType="end"/>
      </w:r>
      <w:r>
        <w:rPr>
          <w:rFonts w:ascii="Times New Roman" w:hAnsi="Times New Roman" w:cs="Times New Roman"/>
          <w:sz w:val="18"/>
          <w:szCs w:val="18"/>
        </w:rPr>
        <w:t xml:space="preserve">D, et al. Mutations in GNA11 in uveal melanoma. N Engl J Med. 2010, 363(23):2191-9. </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rPr>
          <w:rFonts w:ascii="微软雅黑" w:hAnsi="微软雅黑" w:eastAsia="微软雅黑" w:cs="Arial"/>
          <w:b/>
          <w:sz w:val="24"/>
          <w:szCs w:val="24"/>
        </w:rPr>
      </w:pPr>
      <w:r>
        <w:rPr>
          <w:rFonts w:ascii="微软雅黑" w:hAnsi="微软雅黑" w:eastAsia="微软雅黑" w:cs="Arial"/>
          <w:b/>
          <w:sz w:val="24"/>
          <w:szCs w:val="24"/>
        </w:rPr>
        <w:t xml:space="preserve">HRAS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已在人类鉴定出三种不同的RAS基因：KRAS基因（与 Kirsten大鼠肉瘤病毒致癌基因同源）</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HRAS（与哈维大鼠肉瘤病毒致癌基因同源），和NRAS（分离自人类神经母细胞瘤）。RAS基因高度同源但功能区分，基因冗余度有待深入研究</w:t>
      </w:r>
      <w:r>
        <w:rPr>
          <w:rFonts w:ascii="微软雅黑" w:hAnsi="微软雅黑" w:eastAsia="微软雅黑" w:cs="MicrosoftYaHei"/>
          <w:kern w:val="0"/>
          <w:sz w:val="22"/>
          <w:szCs w:val="24"/>
          <w:vertAlign w:val="superscript"/>
        </w:rPr>
        <w:t xml:space="preserve"> 1</w:t>
      </w:r>
      <w:r>
        <w:rPr>
          <w:rFonts w:ascii="微软雅黑" w:hAnsi="微软雅黑" w:eastAsia="微软雅黑" w:cs="MicrosoftYaHei"/>
          <w:kern w:val="0"/>
          <w:sz w:val="22"/>
          <w:szCs w:val="24"/>
        </w:rPr>
        <w:t xml:space="preserve">。RAS蛋白均为小的鸟苷酸结合调节蛋白，可由无活性的鸟苷二磷酸结合形式转化为活性鸟苷三磷酸结合形式。RAS蛋白是生长因子信号通路下游的中心调控者，因此对细胞增殖、存活和分化非常关键。RAS蛋白可激活多个下游效应物，包括与细胞存活相关的PI3K-AKT-mTOR 途径，参与细胞增殖的RAS-RAF-MEK-ERK 通路（图示）。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某种RAS基因常在恶性肿瘤中反复突变，如HRAS基因突变在唾液腺、尿道、上消化道、宫颈和胸腺等组织癌中特别常见</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 xml:space="preserve">。 </w:t>
      </w:r>
    </w:p>
    <w:p>
      <w:pPr>
        <w:spacing w:line="259" w:lineRule="auto"/>
        <w:ind w:right="1609"/>
        <w:jc w:val="right"/>
        <w:rPr>
          <w:rFonts w:ascii="Arial" w:hAnsi="Arial" w:eastAsia="Arial" w:cs="Arial"/>
          <w:sz w:val="24"/>
        </w:rPr>
      </w:pPr>
      <w:r>
        <w:drawing>
          <wp:anchor distT="0" distB="0" distL="114300" distR="114300" simplePos="0" relativeHeight="251678720" behindDoc="0" locked="0" layoutInCell="1" allowOverlap="1">
            <wp:simplePos x="0" y="0"/>
            <wp:positionH relativeFrom="margin">
              <wp:align>center</wp:align>
            </wp:positionH>
            <wp:positionV relativeFrom="paragraph">
              <wp:posOffset>27305</wp:posOffset>
            </wp:positionV>
            <wp:extent cx="3790950" cy="2867025"/>
            <wp:effectExtent l="0" t="0" r="0" b="9525"/>
            <wp:wrapNone/>
            <wp:docPr id="16472" name="Picture 16472"/>
            <wp:cNvGraphicFramePr/>
            <a:graphic xmlns:a="http://schemas.openxmlformats.org/drawingml/2006/main">
              <a:graphicData uri="http://schemas.openxmlformats.org/drawingml/2006/picture">
                <pic:pic xmlns:pic="http://schemas.openxmlformats.org/drawingml/2006/picture">
                  <pic:nvPicPr>
                    <pic:cNvPr id="16472" name="Picture 16472"/>
                    <pic:cNvPicPr/>
                  </pic:nvPicPr>
                  <pic:blipFill>
                    <a:blip r:embed="rId25">
                      <a:extLst>
                        <a:ext uri="{28A0092B-C50C-407E-A947-70E740481C1C}">
                          <a14:useLocalDpi xmlns:a14="http://schemas.microsoft.com/office/drawing/2010/main" val="0"/>
                        </a:ext>
                      </a:extLst>
                    </a:blip>
                    <a:stretch>
                      <a:fillRect/>
                    </a:stretch>
                  </pic:blipFill>
                  <pic:spPr>
                    <a:xfrm>
                      <a:off x="0" y="0"/>
                      <a:ext cx="3790950" cy="2867025"/>
                    </a:xfrm>
                    <a:prstGeom prst="rect">
                      <a:avLst/>
                    </a:prstGeom>
                  </pic:spPr>
                </pic:pic>
              </a:graphicData>
            </a:graphic>
          </wp:anchor>
        </w:drawing>
      </w:r>
      <w:r>
        <w:rPr>
          <w:rFonts w:ascii="Arial" w:hAnsi="Arial" w:eastAsia="Arial" w:cs="Arial"/>
          <w:sz w:val="24"/>
        </w:rPr>
        <w:t xml:space="preserve"> </w:t>
      </w:r>
    </w:p>
    <w:p>
      <w:pPr>
        <w:spacing w:line="259" w:lineRule="auto"/>
        <w:ind w:right="1609"/>
        <w:jc w:val="right"/>
      </w:pPr>
    </w:p>
    <w:p>
      <w:pPr>
        <w:spacing w:line="259" w:lineRule="auto"/>
        <w:ind w:right="1609"/>
        <w:jc w:val="right"/>
      </w:pPr>
    </w:p>
    <w:p>
      <w:pPr>
        <w:spacing w:line="259" w:lineRule="auto"/>
        <w:ind w:right="1609"/>
        <w:jc w:val="right"/>
      </w:pPr>
    </w:p>
    <w:p>
      <w:pPr>
        <w:spacing w:line="259" w:lineRule="auto"/>
        <w:ind w:right="1609"/>
        <w:jc w:val="right"/>
      </w:pPr>
    </w:p>
    <w:p>
      <w:pPr>
        <w:spacing w:line="259" w:lineRule="auto"/>
        <w:ind w:right="1609"/>
        <w:jc w:val="right"/>
      </w:pPr>
    </w:p>
    <w:p>
      <w:pPr>
        <w:spacing w:line="259" w:lineRule="auto"/>
        <w:ind w:right="1609"/>
        <w:jc w:val="right"/>
      </w:pPr>
    </w:p>
    <w:p>
      <w:pPr>
        <w:spacing w:line="259" w:lineRule="auto"/>
        <w:ind w:right="1609"/>
        <w:jc w:val="right"/>
      </w:pPr>
    </w:p>
    <w:p>
      <w:pPr>
        <w:spacing w:line="259" w:lineRule="auto"/>
        <w:ind w:right="1609"/>
        <w:jc w:val="right"/>
      </w:pPr>
    </w:p>
    <w:p>
      <w:pPr>
        <w:spacing w:line="259" w:lineRule="auto"/>
        <w:ind w:right="1609"/>
        <w:jc w:val="right"/>
      </w:pPr>
    </w:p>
    <w:p>
      <w:pPr>
        <w:spacing w:line="259" w:lineRule="auto"/>
        <w:ind w:right="1609"/>
        <w:jc w:val="right"/>
      </w:pPr>
    </w:p>
    <w:p>
      <w:pPr>
        <w:spacing w:line="259" w:lineRule="auto"/>
        <w:ind w:right="1609"/>
        <w:jc w:val="right"/>
      </w:pPr>
    </w:p>
    <w:p>
      <w:pPr>
        <w:spacing w:line="259" w:lineRule="auto"/>
        <w:ind w:right="1609"/>
        <w:jc w:val="right"/>
      </w:pPr>
    </w:p>
    <w:p>
      <w:pPr>
        <w:spacing w:line="259" w:lineRule="auto"/>
        <w:ind w:right="1609"/>
        <w:jc w:val="right"/>
      </w:pPr>
    </w:p>
    <w:p>
      <w:pPr>
        <w:spacing w:after="254" w:line="265" w:lineRule="auto"/>
        <w:ind w:left="216" w:right="406" w:hanging="10"/>
        <w:jc w:val="center"/>
      </w:pPr>
      <w:r>
        <w:rPr>
          <w:rFonts w:ascii="微软雅黑" w:hAnsi="微软雅黑" w:eastAsia="微软雅黑" w:cs="微软雅黑"/>
          <w:sz w:val="18"/>
        </w:rPr>
        <w:t>图示：</w:t>
      </w:r>
      <w:r>
        <w:rPr>
          <w:sz w:val="18"/>
        </w:rPr>
        <w:t xml:space="preserve"> RAS</w:t>
      </w:r>
      <w:r>
        <w:rPr>
          <w:rFonts w:ascii="微软雅黑" w:hAnsi="微软雅黑" w:eastAsia="微软雅黑" w:cs="微软雅黑"/>
          <w:sz w:val="18"/>
        </w:rPr>
        <w:t>下游信号通路</w:t>
      </w:r>
      <w:r>
        <w:rPr>
          <w:sz w:val="18"/>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15"/>
        </w:numPr>
        <w:spacing w:after="3" w:line="247" w:lineRule="auto"/>
        <w:ind w:right="202" w:hanging="420"/>
        <w:rPr>
          <w:rFonts w:ascii="Times New Roman" w:hAnsi="Times New Roman" w:eastAsia="微软雅黑" w:cs="Times New Roman"/>
          <w:sz w:val="18"/>
          <w:szCs w:val="18"/>
        </w:rPr>
      </w:pPr>
      <w:r>
        <w:fldChar w:fldCharType="begin"/>
      </w:r>
      <w:r>
        <w:instrText xml:space="preserve"> HYPERLINK "http://www.ncbi.nlm.nih.gov/pubmed?term=Pylayeva-Gupta%20Y%5BAuthor%5D&amp;cauthor=true&amp;cauthor_uid=21993244" \h </w:instrText>
      </w:r>
      <w:r>
        <w:fldChar w:fldCharType="separate"/>
      </w:r>
      <w:r>
        <w:rPr>
          <w:rFonts w:ascii="Times New Roman" w:hAnsi="Times New Roman" w:eastAsia="微软雅黑" w:cs="Times New Roman"/>
          <w:sz w:val="18"/>
          <w:szCs w:val="18"/>
        </w:rPr>
        <w:t>Pylayeva</w:t>
      </w:r>
      <w:r>
        <w:rPr>
          <w:rFonts w:ascii="Times New Roman" w:hAnsi="Times New Roman" w:eastAsia="微软雅黑" w:cs="Times New Roman"/>
          <w:sz w:val="18"/>
          <w:szCs w:val="18"/>
        </w:rPr>
        <w:fldChar w:fldCharType="end"/>
      </w:r>
      <w:r>
        <w:fldChar w:fldCharType="begin"/>
      </w:r>
      <w:r>
        <w:instrText xml:space="preserve"> HYPERLINK "http://www.ncbi.nlm.nih.gov/pubmed?term=Pylayeva-Gupta%20Y%5BAuthor%5D&amp;cauthor=true&amp;cauthor_uid=21993244" \h </w:instrText>
      </w:r>
      <w:r>
        <w:fldChar w:fldCharType="separate"/>
      </w:r>
      <w:r>
        <w:rPr>
          <w:rFonts w:ascii="Times New Roman" w:hAnsi="Times New Roman" w:eastAsia="微软雅黑" w:cs="Times New Roman"/>
          <w:sz w:val="18"/>
          <w:szCs w:val="18"/>
        </w:rPr>
        <w:t>-</w:t>
      </w:r>
      <w:r>
        <w:rPr>
          <w:rFonts w:ascii="Times New Roman" w:hAnsi="Times New Roman" w:eastAsia="微软雅黑" w:cs="Times New Roman"/>
          <w:sz w:val="18"/>
          <w:szCs w:val="18"/>
        </w:rPr>
        <w:fldChar w:fldCharType="end"/>
      </w:r>
      <w:r>
        <w:fldChar w:fldCharType="begin"/>
      </w:r>
      <w:r>
        <w:instrText xml:space="preserve"> HYPERLINK "http://www.ncbi.nlm.nih.gov/pubmed?term=Pylayeva-Gupta%20Y%5BAuthor%5D&amp;cauthor=true&amp;cauthor_uid=21993244" \h </w:instrText>
      </w:r>
      <w:r>
        <w:fldChar w:fldCharType="separate"/>
      </w:r>
      <w:r>
        <w:rPr>
          <w:rFonts w:ascii="Times New Roman" w:hAnsi="Times New Roman" w:eastAsia="微软雅黑" w:cs="Times New Roman"/>
          <w:sz w:val="18"/>
          <w:szCs w:val="18"/>
        </w:rPr>
        <w:t>Gupta Y, e</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t al. RAS oncogenes: weaving a tumorigenic web. Nat Rev Cancer. 2011, 11(11):76174.  </w:t>
      </w:r>
    </w:p>
    <w:p>
      <w:pPr>
        <w:widowControl/>
        <w:numPr>
          <w:ilvl w:val="0"/>
          <w:numId w:val="15"/>
        </w:numPr>
        <w:spacing w:after="3" w:line="247" w:lineRule="auto"/>
        <w:ind w:right="202" w:hanging="420"/>
        <w:rPr>
          <w:rFonts w:ascii="Times New Roman" w:hAnsi="Times New Roman" w:eastAsia="微软雅黑" w:cs="Times New Roman"/>
          <w:sz w:val="18"/>
          <w:szCs w:val="18"/>
        </w:rPr>
      </w:pPr>
      <w:r>
        <w:fldChar w:fldCharType="begin"/>
      </w:r>
      <w:r>
        <w:instrText xml:space="preserve"> HYPERLINK "http://www.ncbi.nlm.nih.gov/pubmed?term=Karnoub%20AE%5BAuthor%5D&amp;cauthor=true&amp;cauthor_uid=18568040" \h </w:instrText>
      </w:r>
      <w:r>
        <w:fldChar w:fldCharType="separate"/>
      </w:r>
      <w:r>
        <w:rPr>
          <w:rFonts w:ascii="Times New Roman" w:hAnsi="Times New Roman" w:eastAsia="微软雅黑" w:cs="Times New Roman"/>
          <w:sz w:val="18"/>
          <w:szCs w:val="18"/>
        </w:rPr>
        <w:t>Karnoub AE</w:t>
      </w:r>
      <w:r>
        <w:rPr>
          <w:rFonts w:ascii="Times New Roman" w:hAnsi="Times New Roman" w:eastAsia="微软雅黑" w:cs="Times New Roman"/>
          <w:sz w:val="18"/>
          <w:szCs w:val="18"/>
        </w:rPr>
        <w:fldChar w:fldCharType="end"/>
      </w:r>
      <w:r>
        <w:fldChar w:fldCharType="begin"/>
      </w:r>
      <w:r>
        <w:instrText xml:space="preserve"> HYPERLINK "http://www.ncbi.nlm.nih.gov/pubmed?term=Karnoub%20AE%5BAuthor%5D&amp;cauthor=true&amp;cauthor_uid=18568040" \h </w:instrText>
      </w:r>
      <w:r>
        <w:fldChar w:fldCharType="separate"/>
      </w:r>
      <w:r>
        <w:rPr>
          <w:rFonts w:ascii="Times New Roman" w:hAnsi="Times New Roman" w:eastAsia="微软雅黑" w:cs="Times New Roman"/>
          <w:sz w:val="18"/>
          <w:szCs w:val="18"/>
        </w:rPr>
        <w:t>,</w:t>
      </w:r>
      <w:r>
        <w:rPr>
          <w:rFonts w:ascii="Times New Roman" w:hAnsi="Times New Roman" w:eastAsia="微软雅黑" w:cs="Times New Roman"/>
          <w:sz w:val="18"/>
          <w:szCs w:val="18"/>
        </w:rPr>
        <w:fldChar w:fldCharType="end"/>
      </w:r>
      <w:r>
        <w:fldChar w:fldCharType="begin"/>
      </w:r>
      <w:r>
        <w:instrText xml:space="preserve"> HYPERLINK "http://www.ncbi.nlm.nih.gov/pubmed?term=Weinberg%20RA%5BAuthor%5D&amp;cauthor=true&amp;cauthor_uid=18568040" \h </w:instrText>
      </w:r>
      <w:r>
        <w:fldChar w:fldCharType="separate"/>
      </w:r>
      <w:r>
        <w:rPr>
          <w:rFonts w:ascii="Times New Roman" w:hAnsi="Times New Roman" w:eastAsia="微软雅黑" w:cs="Times New Roman"/>
          <w:sz w:val="18"/>
          <w:szCs w:val="18"/>
        </w:rPr>
        <w:t xml:space="preserve"> </w:t>
      </w:r>
      <w:r>
        <w:rPr>
          <w:rFonts w:ascii="Times New Roman" w:hAnsi="Times New Roman" w:eastAsia="微软雅黑" w:cs="Times New Roman"/>
          <w:sz w:val="18"/>
          <w:szCs w:val="18"/>
        </w:rPr>
        <w:fldChar w:fldCharType="end"/>
      </w:r>
      <w:r>
        <w:fldChar w:fldCharType="begin"/>
      </w:r>
      <w:r>
        <w:instrText xml:space="preserve"> HYPERLINK "http://www.ncbi.nlm.nih.gov/pubmed?term=Weinberg%20RA%5BAuthor%5D&amp;cauthor=true&amp;cauthor_uid=18568040" \h </w:instrText>
      </w:r>
      <w:r>
        <w:fldChar w:fldCharType="separate"/>
      </w:r>
      <w:r>
        <w:rPr>
          <w:rFonts w:ascii="Times New Roman" w:hAnsi="Times New Roman" w:eastAsia="微软雅黑" w:cs="Times New Roman"/>
          <w:sz w:val="18"/>
          <w:szCs w:val="18"/>
        </w:rPr>
        <w:t>Weinberg RA.</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 Ras oncogenes: split personalities. Nat Rev Mol Cell Biol. 2008, 9(7):517-31. </w:t>
      </w:r>
    </w:p>
    <w:p>
      <w:pPr>
        <w:widowControl/>
        <w:numPr>
          <w:ilvl w:val="0"/>
          <w:numId w:val="15"/>
        </w:numPr>
        <w:spacing w:after="3" w:line="247" w:lineRule="auto"/>
        <w:ind w:right="202" w:hanging="420"/>
        <w:rPr>
          <w:rFonts w:ascii="Times New Roman" w:hAnsi="Times New Roman" w:eastAsia="微软雅黑" w:cs="Times New Roman"/>
          <w:sz w:val="18"/>
          <w:szCs w:val="18"/>
        </w:rPr>
      </w:pPr>
      <w:r>
        <w:fldChar w:fldCharType="begin"/>
      </w:r>
      <w:r>
        <w:instrText xml:space="preserve"> HYPERLINK "http://www.ncbi.nlm.nih.gov/pubmed?term=Schubbert%20S%5BAuthor%5D&amp;cauthor=true&amp;cauthor_uid=17384584" \h </w:instrText>
      </w:r>
      <w:r>
        <w:fldChar w:fldCharType="separate"/>
      </w:r>
      <w:r>
        <w:rPr>
          <w:rFonts w:ascii="Times New Roman" w:hAnsi="Times New Roman" w:eastAsia="微软雅黑" w:cs="Times New Roman"/>
          <w:sz w:val="18"/>
          <w:szCs w:val="18"/>
        </w:rPr>
        <w:t>Schubbert S</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 et al. Hyperactive Ras in developmental disorders and cancer. Nat Rev Cancer. 2007, 7(4):295-308. </w:t>
      </w:r>
    </w:p>
    <w:p>
      <w:pPr>
        <w:widowControl/>
        <w:jc w:val="left"/>
      </w:pPr>
      <w:r>
        <w:br w:type="page"/>
      </w:r>
    </w:p>
    <w:p>
      <w:pPr>
        <w:spacing w:after="38" w:line="259" w:lineRule="auto"/>
        <w:ind w:left="-5" w:hanging="10"/>
        <w:jc w:val="center"/>
        <w:rPr>
          <w:rFonts w:ascii="微软雅黑" w:hAnsi="微软雅黑" w:eastAsia="微软雅黑" w:cs="Arial"/>
          <w:b/>
          <w:sz w:val="24"/>
          <w:szCs w:val="24"/>
        </w:rPr>
      </w:pPr>
      <w:r>
        <w:rPr>
          <w:rFonts w:ascii="微软雅黑" w:hAnsi="微软雅黑" w:eastAsia="微软雅黑" w:cs="Arial"/>
          <w:b/>
          <w:sz w:val="24"/>
          <w:szCs w:val="24"/>
        </w:rPr>
        <w:t xml:space="preserve">IDH1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异柠檬酸脱氢酶 1（细胞质）是一种表观基因修饰蛋白，依赖NADP+，可催化异柠檬酸的脱羧氧化反应。野生型 IDH1可转化异柠檬酸为α-酮戊二酸，为Krebs循环的一个步骤；Krebs代谢途径影响很多重要的细胞生化过程</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 xml:space="preserve">。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IDH1突变常发现于脑胶质瘤和急性髓性白血病，也可见于其它癌症类型</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；通常涉及点突变，影响蛋白132位天冬氨基酸残基。IDH1基因突变的结果是获得了有害的功能，即异柠檬酸转化为2-羟基戊二酸，而非α-酮戊二酸</w:t>
      </w:r>
      <w:r>
        <w:rPr>
          <w:rFonts w:ascii="微软雅黑" w:hAnsi="微软雅黑" w:eastAsia="微软雅黑" w:cs="MicrosoftYaHei"/>
          <w:kern w:val="0"/>
          <w:sz w:val="22"/>
          <w:szCs w:val="24"/>
          <w:vertAlign w:val="superscript"/>
        </w:rPr>
        <w:t>2，3</w:t>
      </w:r>
      <w:r>
        <w:rPr>
          <w:rFonts w:ascii="微软雅黑" w:hAnsi="微软雅黑" w:eastAsia="微软雅黑" w:cs="MicrosoftYaHei"/>
          <w:kern w:val="0"/>
          <w:sz w:val="22"/>
          <w:szCs w:val="24"/>
        </w:rPr>
        <w:t>。已知，2-羟基戊二酸可抑制参与表观基因调控的蛋白类</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 xml:space="preserve">。 </w:t>
      </w:r>
    </w:p>
    <w:p>
      <w:pPr>
        <w:spacing w:after="166" w:line="259" w:lineRule="auto"/>
        <w:ind w:right="120"/>
        <w:jc w:val="center"/>
      </w:pPr>
      <w:r>
        <w:drawing>
          <wp:inline distT="0" distB="0" distL="0" distR="0">
            <wp:extent cx="2857500" cy="2476500"/>
            <wp:effectExtent l="0" t="0" r="0" b="0"/>
            <wp:docPr id="16627" name="Picture 16627"/>
            <wp:cNvGraphicFramePr/>
            <a:graphic xmlns:a="http://schemas.openxmlformats.org/drawingml/2006/main">
              <a:graphicData uri="http://schemas.openxmlformats.org/drawingml/2006/picture">
                <pic:pic xmlns:pic="http://schemas.openxmlformats.org/drawingml/2006/picture">
                  <pic:nvPicPr>
                    <pic:cNvPr id="16627" name="Picture 16627"/>
                    <pic:cNvPicPr/>
                  </pic:nvPicPr>
                  <pic:blipFill>
                    <a:blip r:embed="rId26"/>
                    <a:stretch>
                      <a:fillRect/>
                    </a:stretch>
                  </pic:blipFill>
                  <pic:spPr>
                    <a:xfrm>
                      <a:off x="0" y="0"/>
                      <a:ext cx="2857500" cy="2476500"/>
                    </a:xfrm>
                    <a:prstGeom prst="rect">
                      <a:avLst/>
                    </a:prstGeom>
                  </pic:spPr>
                </pic:pic>
              </a:graphicData>
            </a:graphic>
          </wp:inline>
        </w:drawing>
      </w:r>
      <w:r>
        <w:rPr>
          <w:rFonts w:ascii="Arial" w:hAnsi="Arial" w:eastAsia="Arial" w:cs="Arial"/>
          <w:sz w:val="24"/>
        </w:rPr>
        <w:t xml:space="preserve"> </w:t>
      </w:r>
    </w:p>
    <w:p>
      <w:pPr>
        <w:spacing w:after="254" w:line="265" w:lineRule="auto"/>
        <w:ind w:left="216" w:right="406" w:hanging="10"/>
        <w:jc w:val="center"/>
        <w:rPr>
          <w:rFonts w:ascii="微软雅黑" w:hAnsi="微软雅黑" w:eastAsia="微软雅黑" w:cs="微软雅黑"/>
          <w:sz w:val="18"/>
        </w:rPr>
      </w:pPr>
      <w:r>
        <w:rPr>
          <w:rFonts w:ascii="微软雅黑" w:hAnsi="微软雅黑" w:eastAsia="微软雅黑" w:cs="微软雅黑"/>
          <w:sz w:val="18"/>
        </w:rPr>
        <w:t xml:space="preserve">图示： IDH基因突变可改变细胞命运。IDH1/2 突变可抑制组蛋白和DNA的去甲基化并由此改变表观遗传调控。肿瘤 IDH1和 IDH2变异体减少了α-酮戊二酸，而α-酮戊二酸的竞争抑制剂 2-羟基戊二酸则不断累积，从而抑制了赖氨酸去甲基化酶和TET家族中DNA羟化酶的活性。上述抑制剂均可改变干细胞和前体细胞分化的表观遗传控制。 </w:t>
      </w:r>
    </w:p>
    <w:p>
      <w:pPr>
        <w:spacing w:line="259" w:lineRule="auto"/>
        <w:ind w:left="550"/>
        <w:jc w:val="left"/>
      </w:pPr>
    </w:p>
    <w:p>
      <w:pPr>
        <w:spacing w:line="259" w:lineRule="auto"/>
        <w:ind w:left="-5" w:right="197" w:hanging="10"/>
      </w:pPr>
      <w:r>
        <w:rPr>
          <w:rFonts w:ascii="微软雅黑" w:hAnsi="微软雅黑" w:eastAsia="微软雅黑" w:cs="微软雅黑"/>
        </w:rPr>
        <w:t>参考文献</w:t>
      </w:r>
      <w:r>
        <w:t xml:space="preserve"> </w:t>
      </w:r>
      <w:r>
        <w:rPr>
          <w:sz w:val="10"/>
        </w:rPr>
        <w:t xml:space="preserve"> </w:t>
      </w:r>
    </w:p>
    <w:p>
      <w:pPr>
        <w:widowControl/>
        <w:numPr>
          <w:ilvl w:val="0"/>
          <w:numId w:val="16"/>
        </w:numPr>
        <w:spacing w:after="26" w:line="247" w:lineRule="auto"/>
        <w:ind w:right="202" w:hanging="420"/>
        <w:rPr>
          <w:rFonts w:ascii="Times New Roman" w:hAnsi="Times New Roman" w:cs="Times New Roman"/>
          <w:sz w:val="18"/>
          <w:szCs w:val="18"/>
        </w:rPr>
      </w:pPr>
      <w:r>
        <w:fldChar w:fldCharType="begin"/>
      </w:r>
      <w:r>
        <w:instrText xml:space="preserve"> HYPERLINK "http://www.ncbi.nlm.nih.gov/pubmed?term=Shih%20AH%5BAuthor%5D&amp;cauthor=true&amp;cauthor_uid=22898539" \h </w:instrText>
      </w:r>
      <w:r>
        <w:fldChar w:fldCharType="separate"/>
      </w:r>
      <w:r>
        <w:rPr>
          <w:rFonts w:ascii="Times New Roman" w:hAnsi="Times New Roman" w:cs="Times New Roman"/>
          <w:sz w:val="18"/>
          <w:szCs w:val="18"/>
        </w:rPr>
        <w:t>Shih</w:t>
      </w:r>
      <w:r>
        <w:rPr>
          <w:rFonts w:ascii="Times New Roman" w:hAnsi="Times New Roman" w:cs="Times New Roman"/>
          <w:sz w:val="18"/>
          <w:szCs w:val="18"/>
        </w:rPr>
        <w:fldChar w:fldCharType="end"/>
      </w:r>
      <w:r>
        <w:fldChar w:fldCharType="begin"/>
      </w:r>
      <w:r>
        <w:instrText xml:space="preserve"> HYPERLINK "http://www.ncbi.nlm.nih.gov/pubmed?term=Shih%20AH%5BAuthor%5D&amp;cauthor=true&amp;cauthor_uid=22898539"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rPr>
          <w:rFonts w:ascii="Times New Roman" w:hAnsi="Times New Roman" w:cs="Times New Roman"/>
          <w:sz w:val="18"/>
          <w:szCs w:val="18"/>
        </w:rPr>
        <w:t xml:space="preserve">AH, et al. The role of mutations in epigenetic regulators in myeloid malignancies. Nat Rev Cancer. 2012, 12(9):599-612. </w:t>
      </w:r>
    </w:p>
    <w:p>
      <w:pPr>
        <w:widowControl/>
        <w:numPr>
          <w:ilvl w:val="0"/>
          <w:numId w:val="16"/>
        </w:numPr>
        <w:spacing w:after="26" w:line="247" w:lineRule="auto"/>
        <w:ind w:right="202" w:hanging="420"/>
        <w:rPr>
          <w:rFonts w:ascii="Times New Roman" w:hAnsi="Times New Roman" w:cs="Times New Roman"/>
          <w:sz w:val="18"/>
          <w:szCs w:val="18"/>
        </w:rPr>
      </w:pPr>
      <w:r>
        <w:fldChar w:fldCharType="begin"/>
      </w:r>
      <w:r>
        <w:instrText xml:space="preserve"> HYPERLINK "http://www.ncbi.nlm.nih.gov/pubmed?term=Rohle%20D%5BAuthor%5D&amp;cauthor=true&amp;cauthor_uid=23558169" \h </w:instrText>
      </w:r>
      <w:r>
        <w:fldChar w:fldCharType="separate"/>
      </w:r>
      <w:r>
        <w:rPr>
          <w:rFonts w:ascii="Times New Roman" w:hAnsi="Times New Roman" w:cs="Times New Roman"/>
          <w:sz w:val="18"/>
          <w:szCs w:val="18"/>
        </w:rPr>
        <w:t>Rohle D</w:t>
      </w:r>
      <w:r>
        <w:rPr>
          <w:rFonts w:ascii="Times New Roman" w:hAnsi="Times New Roman" w:cs="Times New Roman"/>
          <w:sz w:val="18"/>
          <w:szCs w:val="18"/>
        </w:rPr>
        <w:fldChar w:fldCharType="end"/>
      </w:r>
      <w:r>
        <w:rPr>
          <w:rFonts w:ascii="Times New Roman" w:hAnsi="Times New Roman" w:cs="Times New Roman"/>
          <w:sz w:val="18"/>
          <w:szCs w:val="18"/>
        </w:rPr>
        <w:t xml:space="preserve">, et al. An inhibitor of mutant IDH1 delays growth and promotes differentiation of glioma cells. Science. 2013, 340(6132):626-30. </w:t>
      </w:r>
    </w:p>
    <w:p>
      <w:pPr>
        <w:widowControl/>
        <w:numPr>
          <w:ilvl w:val="0"/>
          <w:numId w:val="16"/>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"http://www.ncbi.nlm.nih.gov/pubmed?term=Yang%20H%5BAuthor%5D&amp;cauthor=true&amp;cauthor_uid=23071358" \h </w:instrText>
      </w:r>
      <w:r>
        <w:fldChar w:fldCharType="separate"/>
      </w:r>
      <w:r>
        <w:rPr>
          <w:rFonts w:ascii="Times New Roman" w:hAnsi="Times New Roman" w:cs="Times New Roman"/>
          <w:sz w:val="18"/>
          <w:szCs w:val="18"/>
        </w:rPr>
        <w:t>Yang H</w:t>
      </w:r>
      <w:r>
        <w:rPr>
          <w:rFonts w:ascii="Times New Roman" w:hAnsi="Times New Roman" w:cs="Times New Roman"/>
          <w:sz w:val="18"/>
          <w:szCs w:val="18"/>
        </w:rPr>
        <w:fldChar w:fldCharType="end"/>
      </w:r>
      <w:r>
        <w:rPr>
          <w:rFonts w:ascii="Times New Roman" w:hAnsi="Times New Roman" w:cs="Times New Roman"/>
          <w:sz w:val="18"/>
          <w:szCs w:val="18"/>
        </w:rPr>
        <w:t xml:space="preserve">, et al. IDH1 and IDH2 mutations in tumorigenesis: mechanistic insights and clinical perspectives. Clin Cancer Res. 2012, 18(20):5562-71. </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pPr>
      <w:r>
        <w:rPr>
          <w:rFonts w:ascii="微软雅黑" w:hAnsi="微软雅黑" w:eastAsia="微软雅黑" w:cs="Arial"/>
          <w:b/>
          <w:sz w:val="24"/>
          <w:szCs w:val="24"/>
        </w:rPr>
        <w:t>IDH2</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异柠檬酸脱氢酶 2（线粒体）是一种表观基因修饰蛋白，依赖NADP+，可催化异柠檬酸的脱羧氧化反应。野生型 IDH1可转化异柠檬酸为α-酮戊二酸，为Krebs循环的一个步骤；Krebs代谢途径影响很多重要的细胞生化过程</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。IDH1突变常发现于脑胶质瘤和急性髓性白血病</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。点突变通常影响蛋白140位天冬氨基酸残基和172位天冬氨酸残基。突变蛋白功能不同于原始蛋白，这种新获得的功能被认为是通过抑制正常的表观遗传调控而参与了白血病发作</w:t>
      </w:r>
      <w:r>
        <w:rPr>
          <w:rFonts w:ascii="微软雅黑" w:hAnsi="微软雅黑" w:eastAsia="微软雅黑" w:cs="MicrosoftYaHei"/>
          <w:kern w:val="0"/>
          <w:sz w:val="22"/>
          <w:szCs w:val="24"/>
          <w:vertAlign w:val="superscript"/>
        </w:rPr>
        <w:t xml:space="preserve"> 1，3，4，5，6</w:t>
      </w:r>
      <w:r>
        <w:rPr>
          <w:rFonts w:ascii="微软雅黑" w:hAnsi="微软雅黑" w:eastAsia="微软雅黑" w:cs="MicrosoftYaHei"/>
          <w:kern w:val="0"/>
          <w:sz w:val="22"/>
          <w:szCs w:val="24"/>
        </w:rPr>
        <w:t>。IDH2突变并不符合早先提出的白血病病因 “二次打击”学说。一些学者提出划分IDH2突变为一类新的突变-第三类，定义为发生在表观遗传调控因子上</w:t>
      </w:r>
      <w:r>
        <w:rPr>
          <w:rFonts w:ascii="微软雅黑" w:hAnsi="微软雅黑" w:eastAsia="微软雅黑" w:cs="MicrosoftYaHei"/>
          <w:kern w:val="0"/>
          <w:sz w:val="22"/>
          <w:szCs w:val="24"/>
          <w:vertAlign w:val="superscript"/>
        </w:rPr>
        <w:t>1，7</w:t>
      </w:r>
      <w:r>
        <w:rPr>
          <w:rFonts w:ascii="微软雅黑" w:hAnsi="微软雅黑" w:eastAsia="微软雅黑" w:cs="MicrosoftYaHei"/>
          <w:kern w:val="0"/>
          <w:sz w:val="22"/>
          <w:szCs w:val="24"/>
        </w:rPr>
        <w:t xml:space="preserve">。与DNMT3A和IDH1突变相思，IDH2突变影响DNA甲基化，由此通过负调控基因表达而在癌症发生中起作用。 </w:t>
      </w:r>
    </w:p>
    <w:p>
      <w:pPr>
        <w:spacing w:line="400" w:lineRule="exact"/>
        <w:rPr>
          <w:rFonts w:ascii="微软雅黑" w:hAnsi="微软雅黑" w:eastAsia="微软雅黑" w:cs="MicrosoftYaHei"/>
          <w:kern w:val="0"/>
          <w:sz w:val="22"/>
          <w:szCs w:val="24"/>
        </w:rPr>
      </w:pPr>
    </w:p>
    <w:p>
      <w:pPr>
        <w:spacing w:line="400" w:lineRule="exact"/>
        <w:rPr>
          <w:rFonts w:ascii="微软雅黑" w:hAnsi="微软雅黑" w:eastAsia="微软雅黑" w:cs="MicrosoftYaHei"/>
          <w:kern w:val="0"/>
          <w:sz w:val="22"/>
          <w:szCs w:val="24"/>
        </w:rPr>
      </w:pPr>
      <w:r>
        <w:drawing>
          <wp:anchor distT="0" distB="0" distL="114300" distR="114300" simplePos="0" relativeHeight="251679744" behindDoc="0" locked="0" layoutInCell="1" allowOverlap="1">
            <wp:simplePos x="0" y="0"/>
            <wp:positionH relativeFrom="margin">
              <wp:align>center</wp:align>
            </wp:positionH>
            <wp:positionV relativeFrom="paragraph">
              <wp:posOffset>11430</wp:posOffset>
            </wp:positionV>
            <wp:extent cx="3940175" cy="1446530"/>
            <wp:effectExtent l="0" t="0" r="3810" b="1905"/>
            <wp:wrapNone/>
            <wp:docPr id="16830" name="Picture 16830"/>
            <wp:cNvGraphicFramePr/>
            <a:graphic xmlns:a="http://schemas.openxmlformats.org/drawingml/2006/main">
              <a:graphicData uri="http://schemas.openxmlformats.org/drawingml/2006/picture">
                <pic:pic xmlns:pic="http://schemas.openxmlformats.org/drawingml/2006/picture">
                  <pic:nvPicPr>
                    <pic:cNvPr id="16830" name="Picture 16830"/>
                    <pic:cNvPicPr/>
                  </pic:nvPicPr>
                  <pic:blipFill>
                    <a:blip r:embed="rId27">
                      <a:extLst>
                        <a:ext uri="{28A0092B-C50C-407E-A947-70E740481C1C}">
                          <a14:useLocalDpi xmlns:a14="http://schemas.microsoft.com/office/drawing/2010/main" val="0"/>
                        </a:ext>
                      </a:extLst>
                    </a:blip>
                    <a:stretch>
                      <a:fillRect/>
                    </a:stretch>
                  </pic:blipFill>
                  <pic:spPr>
                    <a:xfrm>
                      <a:off x="0" y="0"/>
                      <a:ext cx="3940048" cy="1446403"/>
                    </a:xfrm>
                    <a:prstGeom prst="rect">
                      <a:avLst/>
                    </a:prstGeom>
                  </pic:spPr>
                </pic:pic>
              </a:graphicData>
            </a:graphic>
          </wp:anchor>
        </w:drawing>
      </w:r>
    </w:p>
    <w:p>
      <w:pPr>
        <w:spacing w:line="400" w:lineRule="exact"/>
        <w:rPr>
          <w:rFonts w:ascii="微软雅黑" w:hAnsi="微软雅黑" w:eastAsia="微软雅黑" w:cs="MicrosoftYaHei"/>
          <w:kern w:val="0"/>
          <w:sz w:val="22"/>
          <w:szCs w:val="24"/>
        </w:rPr>
      </w:pPr>
    </w:p>
    <w:p>
      <w:pPr>
        <w:spacing w:line="400" w:lineRule="exact"/>
        <w:rPr>
          <w:rFonts w:ascii="微软雅黑" w:hAnsi="微软雅黑" w:eastAsia="微软雅黑" w:cs="MicrosoftYaHei"/>
          <w:kern w:val="0"/>
          <w:sz w:val="22"/>
          <w:szCs w:val="24"/>
        </w:rPr>
      </w:pPr>
    </w:p>
    <w:p>
      <w:pPr>
        <w:spacing w:line="400" w:lineRule="exact"/>
        <w:rPr>
          <w:rFonts w:ascii="微软雅黑" w:hAnsi="微软雅黑" w:eastAsia="微软雅黑" w:cs="MicrosoftYaHei"/>
          <w:kern w:val="0"/>
          <w:sz w:val="22"/>
          <w:szCs w:val="24"/>
        </w:rPr>
      </w:pPr>
    </w:p>
    <w:p>
      <w:pPr>
        <w:spacing w:line="400" w:lineRule="exact"/>
        <w:rPr>
          <w:rFonts w:ascii="微软雅黑" w:hAnsi="微软雅黑" w:eastAsia="微软雅黑" w:cs="MicrosoftYaHei"/>
          <w:kern w:val="0"/>
          <w:sz w:val="22"/>
          <w:szCs w:val="24"/>
        </w:rPr>
      </w:pPr>
    </w:p>
    <w:p>
      <w:pPr>
        <w:spacing w:after="230" w:line="259" w:lineRule="auto"/>
        <w:ind w:right="1479"/>
        <w:jc w:val="right"/>
      </w:pPr>
      <w:r>
        <w:rPr>
          <w:rFonts w:ascii="Arial" w:hAnsi="Arial" w:eastAsia="Arial" w:cs="Arial"/>
          <w:sz w:val="20"/>
        </w:rPr>
        <w:t xml:space="preserve"> </w:t>
      </w:r>
    </w:p>
    <w:p>
      <w:pPr>
        <w:spacing w:after="254" w:line="265" w:lineRule="auto"/>
        <w:ind w:left="216" w:right="406" w:hanging="10"/>
        <w:jc w:val="center"/>
        <w:rPr>
          <w:rFonts w:ascii="微软雅黑" w:hAnsi="微软雅黑" w:eastAsia="微软雅黑" w:cs="微软雅黑"/>
          <w:sz w:val="18"/>
        </w:rPr>
      </w:pPr>
      <w:r>
        <w:rPr>
          <w:rFonts w:ascii="微软雅黑" w:hAnsi="微软雅黑" w:eastAsia="微软雅黑" w:cs="微软雅黑"/>
          <w:sz w:val="18"/>
        </w:rPr>
        <w:t>图示： IDH 基因突变新形成了对机体有害的代谢产物8。IDH蛋白关键的精氨酸残基位点发生的体细胞突变是常见于脑胶质瘤和急性髓性白血病的驱动突变，突变蛋白具备了不同的功能，因此比较少见。突变催化异柠檬酸形成2-羟基戊二酸而非酮戊二酸，伴随的是消耗NADPH而非形成 NADPH。携带突变的病人肿瘤细胞和组织2-羟基戊二酸含量很高，已一种尚未被阐述的机制促进了癌变。</w:t>
      </w:r>
    </w:p>
    <w:p>
      <w:pPr>
        <w:spacing w:after="254" w:line="265" w:lineRule="auto"/>
        <w:ind w:right="406"/>
        <w:rPr>
          <w:rFonts w:ascii="微软雅黑" w:hAnsi="微软雅黑" w:eastAsia="微软雅黑" w:cs="微软雅黑"/>
          <w:szCs w:val="21"/>
        </w:rPr>
      </w:pPr>
      <w:r>
        <w:rPr>
          <w:rFonts w:ascii="微软雅黑" w:hAnsi="微软雅黑" w:eastAsia="微软雅黑" w:cs="微软雅黑"/>
          <w:szCs w:val="21"/>
        </w:rPr>
        <w:t xml:space="preserve">参考文献 </w:t>
      </w:r>
    </w:p>
    <w:p>
      <w:pPr>
        <w:widowControl/>
        <w:numPr>
          <w:ilvl w:val="0"/>
          <w:numId w:val="17"/>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"http://www.ncbi.nlm.nih.gov/pubmed?term=Shih%20AH%5BAuthor%5D&amp;cauthor=true&amp;cauthor_uid=22898539" \h </w:instrText>
      </w:r>
      <w:r>
        <w:fldChar w:fldCharType="separate"/>
      </w:r>
      <w:r>
        <w:rPr>
          <w:rFonts w:ascii="Times New Roman" w:hAnsi="Times New Roman" w:cs="Times New Roman"/>
          <w:sz w:val="18"/>
          <w:szCs w:val="18"/>
        </w:rPr>
        <w:t>Shih</w:t>
      </w:r>
      <w:r>
        <w:rPr>
          <w:rFonts w:ascii="Times New Roman" w:hAnsi="Times New Roman" w:cs="Times New Roman"/>
          <w:sz w:val="18"/>
          <w:szCs w:val="18"/>
        </w:rPr>
        <w:fldChar w:fldCharType="end"/>
      </w:r>
      <w:r>
        <w:fldChar w:fldCharType="begin"/>
      </w:r>
      <w:r>
        <w:instrText xml:space="preserve"> HYPERLINK "http://www.ncbi.nlm.nih.gov/pubmed?term=Shih%20AH%5BAuthor%5D&amp;cauthor=true&amp;cauthor_uid=22898539"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rPr>
          <w:rFonts w:ascii="Times New Roman" w:hAnsi="Times New Roman" w:cs="Times New Roman"/>
          <w:sz w:val="18"/>
          <w:szCs w:val="18"/>
        </w:rPr>
        <w:t xml:space="preserve">et al. The role of mutations in epigenetic regulators in myeloid malignancies. Nat Rev Cancer. 2012, 12(9):599-612. </w:t>
      </w:r>
    </w:p>
    <w:p>
      <w:pPr>
        <w:widowControl/>
        <w:numPr>
          <w:ilvl w:val="0"/>
          <w:numId w:val="17"/>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"http://www.ncbi.nlm.nih.gov/pubmed?term=Yang%20H%5BAuthor%5D&amp;cauthor=true&amp;cauthor_uid=23071358" \h </w:instrText>
      </w:r>
      <w:r>
        <w:fldChar w:fldCharType="separate"/>
      </w:r>
      <w:r>
        <w:rPr>
          <w:rFonts w:ascii="Times New Roman" w:hAnsi="Times New Roman" w:cs="Times New Roman"/>
          <w:sz w:val="18"/>
          <w:szCs w:val="18"/>
        </w:rPr>
        <w:t>Yang e</w:t>
      </w:r>
      <w:r>
        <w:rPr>
          <w:rFonts w:ascii="Times New Roman" w:hAnsi="Times New Roman" w:cs="Times New Roman"/>
          <w:sz w:val="18"/>
          <w:szCs w:val="18"/>
        </w:rPr>
        <w:fldChar w:fldCharType="end"/>
      </w:r>
      <w:r>
        <w:rPr>
          <w:rFonts w:ascii="Times New Roman" w:hAnsi="Times New Roman" w:cs="Times New Roman"/>
          <w:sz w:val="18"/>
          <w:szCs w:val="18"/>
        </w:rPr>
        <w:t xml:space="preserve">t al. IDH1 and IDH2 mutations in tumorigenesis: mechanistic insights and clinical perspectives. Clin Cancer Res. 2012, 18(20):5562-71. </w:t>
      </w:r>
    </w:p>
    <w:p>
      <w:pPr>
        <w:widowControl/>
        <w:numPr>
          <w:ilvl w:val="0"/>
          <w:numId w:val="17"/>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 xml:space="preserve">Feng JH,et al. Prognostic significance of IDH1 mutations in acute myeloid leukemia: a meta-analysis. Am J Blood Res. 2012;2(4):254-64. </w:t>
      </w:r>
    </w:p>
    <w:p>
      <w:pPr>
        <w:widowControl/>
        <w:numPr>
          <w:ilvl w:val="0"/>
          <w:numId w:val="17"/>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 xml:space="preserve">Green CL, et al. The prognostic significance of IDH2 mutations in AML depends on the location of the mutation. Blood. 2011, 118(2):409-12. </w:t>
      </w:r>
    </w:p>
    <w:p>
      <w:pPr>
        <w:widowControl/>
        <w:numPr>
          <w:ilvl w:val="0"/>
          <w:numId w:val="17"/>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 xml:space="preserve">Jeziskova I, et al. IDH2 mutations in patients with acute myeloid leukemia: missense p.R140 mutations are linked to disease status. Leuk Lymphoma. 2010, 51(12):2285-7. </w:t>
      </w:r>
    </w:p>
    <w:p>
      <w:pPr>
        <w:widowControl/>
        <w:numPr>
          <w:ilvl w:val="0"/>
          <w:numId w:val="17"/>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 xml:space="preserve">Zhou KG, et al. Potential application of IDH1 and IDH2 mutations as prognostic indicators in nonpromyelocytic acute myeloid leukemia: a meta-analysis. Leuk Lymphoma. 2012, 53(12):2423-9. </w:t>
      </w:r>
    </w:p>
    <w:p>
      <w:pPr>
        <w:widowControl/>
        <w:numPr>
          <w:ilvl w:val="0"/>
          <w:numId w:val="17"/>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 xml:space="preserve">Naoe T, Kiyoi H. Gene mutations of acute myeloid leukemia in the genome era. Int J Hematol. 2013, 97(2):165-74. </w:t>
      </w:r>
    </w:p>
    <w:p>
      <w:pPr>
        <w:widowControl/>
        <w:numPr>
          <w:ilvl w:val="0"/>
          <w:numId w:val="17"/>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Rob A, et al. IDH1 and IDH2 mutations cause an oncometabolic gain of function. Nature Reviews Cancer. 2011, 11(2):85-95</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pPr>
      <w:r>
        <w:rPr>
          <w:rFonts w:ascii="微软雅黑" w:hAnsi="微软雅黑" w:eastAsia="微软雅黑" w:cs="Arial"/>
          <w:b/>
          <w:sz w:val="24"/>
          <w:szCs w:val="24"/>
        </w:rPr>
        <w:t>JAK2</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Janus 激酶 2（JAK2）是一种蛋白酪氨酸激酶，参与细胞因子受体信号途径。可在急性淋巴性白血病和其他恶性血液病观察到JAK2基因突变。已有临床前研究，测试mTOR 和JAK抑制剂对含有CRLF2重排和 JAK2 突变的高风险前体B细胞急性淋巴性白血病的疗效</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。85％的BCR-ABL1阴性，高风险B细胞前体小儿急性淋巴性白血病患者携带JAK2突变</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。就急性淋巴性白血病患者整体，携带JAK2突变的比率在4-9%</w:t>
      </w:r>
      <w:r>
        <w:rPr>
          <w:rFonts w:ascii="微软雅黑" w:hAnsi="微软雅黑" w:eastAsia="微软雅黑" w:cs="MicrosoftYaHei"/>
          <w:kern w:val="0"/>
          <w:sz w:val="22"/>
          <w:szCs w:val="24"/>
          <w:vertAlign w:val="superscript"/>
        </w:rPr>
        <w:t>3</w:t>
      </w:r>
      <w:r>
        <w:rPr>
          <w:rFonts w:ascii="微软雅黑" w:hAnsi="微软雅黑" w:eastAsia="微软雅黑" w:cs="MicrosoftYaHei"/>
          <w:kern w:val="0"/>
          <w:sz w:val="22"/>
          <w:szCs w:val="24"/>
        </w:rPr>
        <w:t>。多数JAK2突变被认为会增强酶活性，JAK2突变伴随高的复发风险</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 xml:space="preserve">。 </w:t>
      </w:r>
    </w:p>
    <w:p>
      <w:pPr>
        <w:spacing w:line="259" w:lineRule="auto"/>
        <w:jc w:val="left"/>
      </w:pPr>
      <w:r>
        <w:rPr>
          <w:rFonts w:ascii="Arial" w:hAnsi="Arial" w:eastAsia="Arial" w:cs="Arial"/>
          <w:sz w:val="20"/>
        </w:rPr>
        <w:t xml:space="preserve"> </w:t>
      </w:r>
    </w:p>
    <w:p>
      <w:pPr>
        <w:spacing w:after="205" w:line="259" w:lineRule="auto"/>
        <w:ind w:right="120"/>
        <w:jc w:val="center"/>
      </w:pPr>
      <w:r>
        <w:drawing>
          <wp:inline distT="0" distB="0" distL="0" distR="0">
            <wp:extent cx="3136265" cy="2874010"/>
            <wp:effectExtent l="0" t="0" r="0" b="0"/>
            <wp:docPr id="16970" name="Picture 16970"/>
            <wp:cNvGraphicFramePr/>
            <a:graphic xmlns:a="http://schemas.openxmlformats.org/drawingml/2006/main">
              <a:graphicData uri="http://schemas.openxmlformats.org/drawingml/2006/picture">
                <pic:pic xmlns:pic="http://schemas.openxmlformats.org/drawingml/2006/picture">
                  <pic:nvPicPr>
                    <pic:cNvPr id="16970" name="Picture 16970"/>
                    <pic:cNvPicPr/>
                  </pic:nvPicPr>
                  <pic:blipFill>
                    <a:blip r:embed="rId28"/>
                    <a:stretch>
                      <a:fillRect/>
                    </a:stretch>
                  </pic:blipFill>
                  <pic:spPr>
                    <a:xfrm>
                      <a:off x="0" y="0"/>
                      <a:ext cx="3136519" cy="2874010"/>
                    </a:xfrm>
                    <a:prstGeom prst="rect">
                      <a:avLst/>
                    </a:prstGeom>
                  </pic:spPr>
                </pic:pic>
              </a:graphicData>
            </a:graphic>
          </wp:inline>
        </w:drawing>
      </w:r>
      <w:r>
        <w:rPr>
          <w:rFonts w:ascii="Arial" w:hAnsi="Arial" w:eastAsia="Arial" w:cs="Arial"/>
          <w:sz w:val="22"/>
        </w:rPr>
        <w:t xml:space="preserve"> </w:t>
      </w:r>
    </w:p>
    <w:p>
      <w:pPr>
        <w:spacing w:after="295" w:line="265" w:lineRule="auto"/>
        <w:ind w:left="10" w:right="216" w:hanging="10"/>
        <w:jc w:val="center"/>
      </w:pPr>
      <w:r>
        <w:rPr>
          <w:rFonts w:ascii="微软雅黑" w:hAnsi="微软雅黑" w:eastAsia="微软雅黑" w:cs="微软雅黑"/>
          <w:sz w:val="18"/>
        </w:rPr>
        <w:t>图示：</w:t>
      </w:r>
      <w:r>
        <w:rPr>
          <w:color w:val="222222"/>
          <w:sz w:val="18"/>
        </w:rPr>
        <w:t>JAK2</w:t>
      </w:r>
      <w:r>
        <w:rPr>
          <w:rFonts w:ascii="微软雅黑" w:hAnsi="微软雅黑" w:eastAsia="微软雅黑" w:cs="微软雅黑"/>
          <w:color w:val="222222"/>
          <w:sz w:val="18"/>
        </w:rPr>
        <w:t xml:space="preserve">突变的信号传递作用 </w:t>
      </w:r>
      <w:r>
        <w:rPr>
          <w:color w:val="222222"/>
          <w:sz w:val="18"/>
          <w:vertAlign w:val="superscript"/>
        </w:rPr>
        <w:t>4</w:t>
      </w:r>
      <w:r>
        <w:rPr>
          <w:sz w:val="18"/>
        </w:rPr>
        <w:t xml:space="preserve"> </w:t>
      </w:r>
    </w:p>
    <w:p>
      <w:pPr>
        <w:spacing w:after="55" w:line="259" w:lineRule="auto"/>
        <w:jc w:val="left"/>
      </w:pPr>
      <w:r>
        <w:t xml:space="preserve"> </w:t>
      </w:r>
    </w:p>
    <w:p>
      <w:pPr>
        <w:spacing w:line="259" w:lineRule="auto"/>
        <w:ind w:left="-5" w:right="197" w:hanging="10"/>
      </w:pPr>
      <w:r>
        <w:rPr>
          <w:rFonts w:ascii="微软雅黑" w:hAnsi="微软雅黑" w:eastAsia="微软雅黑" w:cs="微软雅黑"/>
        </w:rPr>
        <w:t>参考文献</w:t>
      </w:r>
      <w:r>
        <w:t xml:space="preserve"> </w:t>
      </w:r>
    </w:p>
    <w:p>
      <w:pPr>
        <w:widowControl/>
        <w:numPr>
          <w:ilvl w:val="0"/>
          <w:numId w:val="18"/>
        </w:numPr>
        <w:spacing w:after="3" w:line="247" w:lineRule="auto"/>
        <w:ind w:right="202" w:hanging="420"/>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Maude LS, et al. Targeting mTOR and JAK2 in Xenograft Models of CRLF2-Overexpressing Acute Lymphoblastic Leukemia (ALL). 53rd ASH Annual Meeting and Exposition. 2011, Dec 12. </w:t>
      </w:r>
    </w:p>
    <w:p>
      <w:pPr>
        <w:widowControl/>
        <w:numPr>
          <w:ilvl w:val="0"/>
          <w:numId w:val="18"/>
        </w:numPr>
        <w:spacing w:after="3" w:line="247" w:lineRule="auto"/>
        <w:ind w:right="202" w:hanging="420"/>
        <w:rPr>
          <w:rFonts w:ascii="Times New Roman" w:hAnsi="Times New Roman" w:eastAsia="微软雅黑" w:cs="Times New Roman"/>
          <w:sz w:val="18"/>
          <w:szCs w:val="18"/>
        </w:rPr>
      </w:pPr>
      <w:r>
        <w:fldChar w:fldCharType="begin"/>
      </w:r>
      <w:r>
        <w:instrText xml:space="preserve"> HYPERLINK "http://www.ncbi.nlm.nih.gov/pubmed?term=Mullighan%20CG%5BAuthor%5D&amp;cauthor=true&amp;cauthor_uid=19470474" \h </w:instrText>
      </w:r>
      <w:r>
        <w:fldChar w:fldCharType="separate"/>
      </w:r>
      <w:r>
        <w:rPr>
          <w:rFonts w:ascii="Times New Roman" w:hAnsi="Times New Roman" w:eastAsia="微软雅黑" w:cs="Times New Roman"/>
          <w:sz w:val="18"/>
          <w:szCs w:val="18"/>
        </w:rPr>
        <w:t>Mullighan C</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G, et al. JAK mutations in high-risk childhood acute lymphoblastic leukemia. </w:t>
      </w:r>
      <w:r>
        <w:fldChar w:fldCharType="begin"/>
      </w:r>
      <w:r>
        <w:instrText xml:space="preserve"> HYPERLINK "http://www.ncbi.nlm.nih.gov/pubmed/?term=JAK+mutations+in+high-risk+childhood+acute+lymphoblastic+leukemia.+2009%2C+106(23)%3A9414-8." \h </w:instrText>
      </w:r>
      <w:r>
        <w:fldChar w:fldCharType="separate"/>
      </w:r>
      <w:r>
        <w:rPr>
          <w:rFonts w:ascii="Times New Roman" w:hAnsi="Times New Roman" w:eastAsia="微软雅黑" w:cs="Times New Roman"/>
          <w:sz w:val="18"/>
          <w:szCs w:val="18"/>
        </w:rPr>
        <w:t xml:space="preserve">Proc Natl Acad </w:t>
      </w:r>
      <w:r>
        <w:rPr>
          <w:rFonts w:ascii="Times New Roman" w:hAnsi="Times New Roman" w:eastAsia="微软雅黑" w:cs="Times New Roman"/>
          <w:sz w:val="18"/>
          <w:szCs w:val="18"/>
        </w:rPr>
        <w:fldChar w:fldCharType="end"/>
      </w:r>
      <w:r>
        <w:fldChar w:fldCharType="begin"/>
      </w:r>
      <w:r>
        <w:instrText xml:space="preserve"> HYPERLINK "http://www.ncbi.nlm.nih.gov/pubmed/?term=JAK+mutations+in+high-risk+childhood+acute+lymphoblastic+leukemia.+2009%2C+106(23)%3A9414-8." \h </w:instrText>
      </w:r>
      <w:r>
        <w:fldChar w:fldCharType="separate"/>
      </w:r>
      <w:r>
        <w:rPr>
          <w:rFonts w:ascii="Times New Roman" w:hAnsi="Times New Roman" w:eastAsia="微软雅黑" w:cs="Times New Roman"/>
          <w:sz w:val="18"/>
          <w:szCs w:val="18"/>
        </w:rPr>
        <w:t>Sci USA.</w:t>
      </w:r>
      <w:r>
        <w:rPr>
          <w:rFonts w:ascii="Times New Roman" w:hAnsi="Times New Roman" w:eastAsia="微软雅黑" w:cs="Times New Roman"/>
          <w:sz w:val="18"/>
          <w:szCs w:val="18"/>
        </w:rPr>
        <w:fldChar w:fldCharType="end"/>
      </w:r>
      <w:r>
        <w:fldChar w:fldCharType="begin"/>
      </w:r>
      <w:r>
        <w:instrText xml:space="preserve"> HYPERLINK "http://www.ncbi.nlm.nih.gov/pubmed/?term=JAK+mutations+in+high-risk+childhood+acute+lymphoblastic+leukemia.+2009%2C+106(23)%3A9414-8." \h </w:instrText>
      </w:r>
      <w:r>
        <w:fldChar w:fldCharType="separate"/>
      </w:r>
      <w:r>
        <w:rPr>
          <w:rFonts w:ascii="Times New Roman" w:hAnsi="Times New Roman" w:eastAsia="微软雅黑" w:cs="Times New Roman"/>
          <w:sz w:val="18"/>
          <w:szCs w:val="18"/>
        </w:rPr>
        <w:t xml:space="preserve"> </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2009, 106(23):9414-8. </w:t>
      </w:r>
    </w:p>
    <w:p>
      <w:pPr>
        <w:widowControl/>
        <w:numPr>
          <w:ilvl w:val="0"/>
          <w:numId w:val="18"/>
        </w:numPr>
        <w:spacing w:after="3" w:line="247" w:lineRule="auto"/>
        <w:ind w:right="202" w:hanging="420"/>
        <w:rPr>
          <w:rFonts w:ascii="Times New Roman" w:hAnsi="Times New Roman" w:eastAsia="微软雅黑" w:cs="Times New Roman"/>
          <w:sz w:val="18"/>
          <w:szCs w:val="18"/>
        </w:rPr>
      </w:pPr>
      <w:r>
        <w:fldChar w:fldCharType="begin"/>
      </w:r>
      <w:r>
        <w:instrText xml:space="preserve"> HYPERLINK "http://www.ncbi.nlm.nih.gov/pubmed?term=Chen%20IM%5BAuthor%5D&amp;cauthor=true&amp;cauthor_uid=22368272" \h </w:instrText>
      </w:r>
      <w:r>
        <w:fldChar w:fldCharType="separate"/>
      </w:r>
      <w:r>
        <w:rPr>
          <w:rFonts w:ascii="Times New Roman" w:hAnsi="Times New Roman" w:eastAsia="微软雅黑" w:cs="Times New Roman"/>
          <w:sz w:val="18"/>
          <w:szCs w:val="18"/>
        </w:rPr>
        <w:t>Chen</w:t>
      </w:r>
      <w:r>
        <w:rPr>
          <w:rFonts w:ascii="Times New Roman" w:hAnsi="Times New Roman" w:eastAsia="微软雅黑" w:cs="Times New Roman"/>
          <w:sz w:val="18"/>
          <w:szCs w:val="18"/>
        </w:rPr>
        <w:fldChar w:fldCharType="end"/>
      </w:r>
      <w:r>
        <w:fldChar w:fldCharType="begin"/>
      </w:r>
      <w:r>
        <w:instrText xml:space="preserve"> HYPERLINK "http://www.ncbi.nlm.nih.gov/pubmed?term=Chen%20IM%5BAuthor%5D&amp;cauthor=true&amp;cauthor_uid=22368272" \h </w:instrText>
      </w:r>
      <w:r>
        <w:fldChar w:fldCharType="separate"/>
      </w:r>
      <w:r>
        <w:rPr>
          <w:rFonts w:ascii="Times New Roman" w:hAnsi="Times New Roman" w:eastAsia="微软雅黑" w:cs="Times New Roman"/>
          <w:sz w:val="18"/>
          <w:szCs w:val="18"/>
        </w:rPr>
        <w:t xml:space="preserve"> </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IM, et al. Outcome modeling with CRLF2, IKZF1, JAK, and minimal residual disease in pediatric acute lymphoblastic leukemia: a Children's Oncology Group study. Blood. 2012, 119(15):3512-22. </w:t>
      </w:r>
    </w:p>
    <w:p>
      <w:pPr>
        <w:widowControl/>
        <w:numPr>
          <w:ilvl w:val="0"/>
          <w:numId w:val="18"/>
        </w:numPr>
        <w:spacing w:after="3" w:line="247" w:lineRule="auto"/>
        <w:ind w:right="202" w:hanging="420"/>
        <w:rPr>
          <w:rFonts w:ascii="Times New Roman" w:hAnsi="Times New Roman" w:eastAsia="微软雅黑" w:cs="Times New Roman"/>
          <w:sz w:val="18"/>
          <w:szCs w:val="18"/>
        </w:rPr>
      </w:pPr>
      <w:r>
        <w:rPr>
          <w:rFonts w:ascii="Times New Roman" w:hAnsi="Times New Roman" w:eastAsia="微软雅黑" w:cs="Times New Roman"/>
          <w:sz w:val="18"/>
          <w:szCs w:val="18"/>
        </w:rPr>
        <w:t>Levine RL, et al. Role of JAK2 in the pathogenesis and therapy of myeloproliferative disorders. Nat Rev Cancer. 2007, 7(9):673-83.</w:t>
      </w:r>
    </w:p>
    <w:p>
      <w:pPr>
        <w:widowControl/>
        <w:jc w:val="left"/>
        <w:rPr>
          <w:rFonts w:ascii="Times New Roman" w:hAnsi="Times New Roman" w:eastAsia="微软雅黑" w:cs="Times New Roman"/>
          <w:sz w:val="18"/>
          <w:szCs w:val="18"/>
        </w:rPr>
      </w:pPr>
      <w:r>
        <w:rPr>
          <w:rFonts w:ascii="Times New Roman" w:hAnsi="Times New Roman" w:eastAsia="微软雅黑" w:cs="Times New Roman"/>
          <w:sz w:val="18"/>
          <w:szCs w:val="18"/>
        </w:rPr>
        <w:br w:type="page"/>
      </w:r>
    </w:p>
    <w:p>
      <w:pPr>
        <w:spacing w:after="38" w:line="259" w:lineRule="auto"/>
        <w:ind w:left="-5" w:hanging="10"/>
        <w:jc w:val="center"/>
      </w:pPr>
      <w:r>
        <w:rPr>
          <w:rFonts w:ascii="微软雅黑" w:hAnsi="微软雅黑" w:eastAsia="微软雅黑" w:cs="Arial"/>
          <w:b/>
          <w:sz w:val="24"/>
          <w:szCs w:val="24"/>
        </w:rPr>
        <w:t>KIT</w:t>
      </w:r>
      <w:r>
        <w:rPr>
          <w:rFonts w:ascii="Arial" w:hAnsi="Arial" w:eastAsia="Arial" w:cs="Arial"/>
          <w:sz w:val="44"/>
        </w:rPr>
        <w:t xml:space="preserve">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 xml:space="preserve">KIT（也称为CD117），是一种受体酪氨酸激酶（RTK）,在多种细胞类型中的表达。KIT 的配体是干细胞因子（SCF）。SCF与KIT胞外结构域的结合诱导其二聚体化，从而活化下游信号传导途径，包括PI3K-AKT-mTOR通路、RAS-RAF-MEK-ERK途径和 STAT3（转录3的信号转导子和活化剂）途径，所有这些途径均调节细胞内促增长和促生存信号。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KIT 突变出现在多种癌症的发病机制中，包括黑色素瘤，急性白血病和胃肠道间质瘤（GIST）</w:t>
      </w:r>
      <w:r>
        <w:rPr>
          <w:rFonts w:ascii="微软雅黑" w:hAnsi="微软雅黑" w:eastAsia="微软雅黑" w:cs="MicrosoftYaHei"/>
          <w:kern w:val="0"/>
          <w:sz w:val="22"/>
          <w:szCs w:val="24"/>
          <w:vertAlign w:val="superscript"/>
        </w:rPr>
        <w:t>1，2</w:t>
      </w:r>
      <w:r>
        <w:rPr>
          <w:rFonts w:ascii="微软雅黑" w:hAnsi="微软雅黑" w:eastAsia="微软雅黑" w:cs="MicrosoftYaHei"/>
          <w:kern w:val="0"/>
          <w:sz w:val="22"/>
          <w:szCs w:val="24"/>
        </w:rPr>
        <w:t>。KIT 突变的发现彻底改变了间质瘤的治疗。使用一种口服KIT抑制剂甲磺酸伊马替尼（格列卫，诺华制药），可获得迅速、明显和持久的肿瘤反应</w:t>
      </w:r>
      <w:r>
        <w:rPr>
          <w:rFonts w:ascii="微软雅黑" w:hAnsi="微软雅黑" w:eastAsia="微软雅黑" w:cs="MicrosoftYaHei"/>
          <w:kern w:val="0"/>
          <w:sz w:val="22"/>
          <w:szCs w:val="24"/>
          <w:vertAlign w:val="superscript"/>
        </w:rPr>
        <w:t>3</w:t>
      </w:r>
      <w:r>
        <w:rPr>
          <w:rFonts w:ascii="微软雅黑" w:hAnsi="微软雅黑" w:eastAsia="微软雅黑" w:cs="MicrosoftYaHei"/>
          <w:kern w:val="0"/>
          <w:sz w:val="22"/>
          <w:szCs w:val="24"/>
        </w:rPr>
        <w:t>。当然，不是所有的KIT突变都对伊马替尼敏感</w:t>
      </w:r>
      <w:r>
        <w:rPr>
          <w:rFonts w:ascii="微软雅黑" w:hAnsi="微软雅黑" w:eastAsia="微软雅黑" w:cs="MicrosoftYaHei"/>
          <w:kern w:val="0"/>
          <w:sz w:val="22"/>
          <w:szCs w:val="24"/>
          <w:vertAlign w:val="superscript"/>
        </w:rPr>
        <w:t>4</w:t>
      </w:r>
      <w:r>
        <w:rPr>
          <w:rFonts w:ascii="微软雅黑" w:hAnsi="微软雅黑" w:eastAsia="微软雅黑" w:cs="MicrosoftYaHei"/>
          <w:kern w:val="0"/>
          <w:sz w:val="22"/>
          <w:szCs w:val="24"/>
        </w:rPr>
        <w:t xml:space="preserve">，有些突变仅对第二代KIT抑制剂敏感。 </w:t>
      </w:r>
    </w:p>
    <w:p>
      <w:pPr>
        <w:spacing w:line="259" w:lineRule="auto"/>
        <w:ind w:right="129"/>
        <w:jc w:val="center"/>
      </w:pPr>
      <w:r>
        <w:drawing>
          <wp:inline distT="0" distB="0" distL="0" distR="0">
            <wp:extent cx="3324225" cy="2162175"/>
            <wp:effectExtent l="0" t="0" r="0" b="0"/>
            <wp:docPr id="17161" name="Picture 17161"/>
            <wp:cNvGraphicFramePr/>
            <a:graphic xmlns:a="http://schemas.openxmlformats.org/drawingml/2006/main">
              <a:graphicData uri="http://schemas.openxmlformats.org/drawingml/2006/picture">
                <pic:pic xmlns:pic="http://schemas.openxmlformats.org/drawingml/2006/picture">
                  <pic:nvPicPr>
                    <pic:cNvPr id="17161" name="Picture 17161"/>
                    <pic:cNvPicPr/>
                  </pic:nvPicPr>
                  <pic:blipFill>
                    <a:blip r:embed="rId29"/>
                    <a:stretch>
                      <a:fillRect/>
                    </a:stretch>
                  </pic:blipFill>
                  <pic:spPr>
                    <a:xfrm>
                      <a:off x="0" y="0"/>
                      <a:ext cx="3324225" cy="2162175"/>
                    </a:xfrm>
                    <a:prstGeom prst="rect">
                      <a:avLst/>
                    </a:prstGeom>
                  </pic:spPr>
                </pic:pic>
              </a:graphicData>
            </a:graphic>
          </wp:inline>
        </w:drawing>
      </w:r>
      <w:r>
        <w:rPr>
          <w:rFonts w:ascii="Arial" w:hAnsi="Arial" w:eastAsia="Arial" w:cs="Arial"/>
          <w:sz w:val="20"/>
        </w:rPr>
        <w:t xml:space="preserve"> </w:t>
      </w:r>
    </w:p>
    <w:p>
      <w:pPr>
        <w:spacing w:after="38" w:line="265" w:lineRule="auto"/>
        <w:ind w:left="216" w:right="242" w:hanging="10"/>
        <w:jc w:val="center"/>
      </w:pPr>
      <w:r>
        <w:rPr>
          <w:rFonts w:ascii="微软雅黑" w:hAnsi="微软雅黑" w:eastAsia="微软雅黑" w:cs="微软雅黑"/>
          <w:sz w:val="18"/>
        </w:rPr>
        <w:t>图示：</w:t>
      </w:r>
      <w:r>
        <w:rPr>
          <w:sz w:val="18"/>
        </w:rPr>
        <w:t>KIT</w:t>
      </w:r>
      <w:r>
        <w:rPr>
          <w:rFonts w:ascii="微软雅黑" w:hAnsi="微软雅黑" w:eastAsia="微软雅黑" w:cs="微软雅黑"/>
          <w:sz w:val="18"/>
        </w:rPr>
        <w:t xml:space="preserve">抑制剂的作用机理 </w:t>
      </w:r>
      <w:r>
        <w:rPr>
          <w:sz w:val="18"/>
          <w:vertAlign w:val="superscript"/>
        </w:rPr>
        <w:t xml:space="preserve">5 </w:t>
      </w:r>
    </w:p>
    <w:p>
      <w:pPr>
        <w:spacing w:after="82" w:line="259" w:lineRule="auto"/>
        <w:ind w:left="9"/>
        <w:jc w:val="center"/>
      </w:pPr>
      <w:r>
        <w:rPr>
          <w:sz w:val="18"/>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19"/>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"http://www.ncbi.nlm.nih.gov/pubmed?term=Heinrich%20MC%5BAuthor%5D&amp;cauthor=true&amp;cauthor_uid=14645423" \h </w:instrText>
      </w:r>
      <w:r>
        <w:fldChar w:fldCharType="separate"/>
      </w:r>
      <w:r>
        <w:rPr>
          <w:rFonts w:ascii="Times New Roman" w:hAnsi="Times New Roman" w:cs="Times New Roman"/>
          <w:sz w:val="18"/>
          <w:szCs w:val="18"/>
        </w:rPr>
        <w:t>Heinrich M</w:t>
      </w:r>
      <w:r>
        <w:rPr>
          <w:rFonts w:ascii="Times New Roman" w:hAnsi="Times New Roman" w:cs="Times New Roman"/>
          <w:sz w:val="18"/>
          <w:szCs w:val="18"/>
        </w:rPr>
        <w:fldChar w:fldCharType="end"/>
      </w:r>
      <w:r>
        <w:rPr>
          <w:rFonts w:ascii="Times New Roman" w:hAnsi="Times New Roman" w:cs="Times New Roman"/>
          <w:sz w:val="18"/>
          <w:szCs w:val="18"/>
        </w:rPr>
        <w:t xml:space="preserve">C, et al. Kinase mutations and imatinib response in patients with metastatic gastrointestinal stromal tumor. J Clin Oncol. 2003, 21(23):4342-9. </w:t>
      </w:r>
    </w:p>
    <w:p>
      <w:pPr>
        <w:widowControl/>
        <w:numPr>
          <w:ilvl w:val="0"/>
          <w:numId w:val="19"/>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"http://www.ncbi.nlm.nih.gov/pubmed?term=Hirota%20S%5BAuthor%5D&amp;cauthor=true&amp;cauthor_uid=9438854" \h </w:instrText>
      </w:r>
      <w:r>
        <w:fldChar w:fldCharType="separate"/>
      </w:r>
      <w:r>
        <w:rPr>
          <w:rFonts w:ascii="Times New Roman" w:hAnsi="Times New Roman" w:cs="Times New Roman"/>
          <w:sz w:val="18"/>
          <w:szCs w:val="18"/>
        </w:rPr>
        <w:t>Hirota</w:t>
      </w:r>
      <w:r>
        <w:rPr>
          <w:rFonts w:ascii="Times New Roman" w:hAnsi="Times New Roman" w:cs="Times New Roman"/>
          <w:sz w:val="18"/>
          <w:szCs w:val="18"/>
        </w:rPr>
        <w:fldChar w:fldCharType="end"/>
      </w:r>
      <w:r>
        <w:fldChar w:fldCharType="begin"/>
      </w:r>
      <w:r>
        <w:instrText xml:space="preserve"> HYPERLINK "http://www.ncbi.nlm.nih.gov/pubmed?term=Hirota%20S%5BAuthor%5D&amp;cauthor=true&amp;cauthor_uid=9438854"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rPr>
          <w:rFonts w:ascii="Times New Roman" w:hAnsi="Times New Roman" w:cs="Times New Roman"/>
          <w:sz w:val="18"/>
          <w:szCs w:val="18"/>
        </w:rPr>
        <w:t xml:space="preserve">S, et al. Gain-of-function mutations of c-kit in human gastrointestinal stromal tumors. Science. 1998, 279(5350):577-80. </w:t>
      </w:r>
    </w:p>
    <w:p>
      <w:pPr>
        <w:widowControl/>
        <w:numPr>
          <w:ilvl w:val="0"/>
          <w:numId w:val="19"/>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"http://www.ncbi.nlm.nih.gov/pubmed?term=Demetri%20GD%5BAuthor%5D&amp;cauthor=true&amp;cauthor_uid=12181401" \h </w:instrText>
      </w:r>
      <w:r>
        <w:fldChar w:fldCharType="separate"/>
      </w:r>
      <w:r>
        <w:rPr>
          <w:rFonts w:ascii="Times New Roman" w:hAnsi="Times New Roman" w:cs="Times New Roman"/>
          <w:sz w:val="18"/>
          <w:szCs w:val="18"/>
        </w:rPr>
        <w:t>Demetri G</w:t>
      </w:r>
      <w:r>
        <w:rPr>
          <w:rFonts w:ascii="Times New Roman" w:hAnsi="Times New Roman" w:cs="Times New Roman"/>
          <w:sz w:val="18"/>
          <w:szCs w:val="18"/>
        </w:rPr>
        <w:fldChar w:fldCharType="end"/>
      </w:r>
      <w:r>
        <w:rPr>
          <w:rFonts w:ascii="Times New Roman" w:hAnsi="Times New Roman" w:cs="Times New Roman"/>
          <w:sz w:val="18"/>
          <w:szCs w:val="18"/>
        </w:rPr>
        <w:t xml:space="preserve">D, et al. Efficacy and safety of imatinib mesylate in advanced gastrointestinal stromal tumors. N Engl J Med. 2002, 347(7):472-80. </w:t>
      </w:r>
    </w:p>
    <w:p>
      <w:pPr>
        <w:widowControl/>
        <w:numPr>
          <w:ilvl w:val="0"/>
          <w:numId w:val="19"/>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"http://www.ncbi.nlm.nih.gov/pubmed?term=Heinrich%20MC%5BAuthor%5D&amp;cauthor=true&amp;cauthor_uid=18955458" \h </w:instrText>
      </w:r>
      <w:r>
        <w:fldChar w:fldCharType="separate"/>
      </w:r>
      <w:r>
        <w:rPr>
          <w:rFonts w:ascii="Times New Roman" w:hAnsi="Times New Roman" w:cs="Times New Roman"/>
          <w:sz w:val="18"/>
          <w:szCs w:val="18"/>
        </w:rPr>
        <w:t>Heinrich M</w:t>
      </w:r>
      <w:r>
        <w:rPr>
          <w:rFonts w:ascii="Times New Roman" w:hAnsi="Times New Roman" w:cs="Times New Roman"/>
          <w:sz w:val="18"/>
          <w:szCs w:val="18"/>
        </w:rPr>
        <w:fldChar w:fldCharType="end"/>
      </w:r>
      <w:r>
        <w:rPr>
          <w:rFonts w:ascii="Times New Roman" w:hAnsi="Times New Roman" w:cs="Times New Roman"/>
          <w:sz w:val="18"/>
          <w:szCs w:val="18"/>
        </w:rPr>
        <w:t xml:space="preserve">C, et al. Primary and secondary kinase genotypes correlate with the biological and clinical activity of sunitinib in imatinib-resistant gastrointestinal stromal tumor. </w:t>
      </w:r>
      <w:r>
        <w:fldChar w:fldCharType="begin"/>
      </w:r>
      <w:r>
        <w:instrText xml:space="preserve"> HYPERLINK "http://www.ncbi.nlm.nih.gov/pubmed/?term=Primary+and+secondary+kinase+genotypes+correlate+with+the+biological+and+clinical+activity+of+sunitinib+in+imatinib-resistant+gastrointestinal+stromal+tumor" \h </w:instrText>
      </w:r>
      <w:r>
        <w:fldChar w:fldCharType="separate"/>
      </w:r>
      <w:r>
        <w:rPr>
          <w:rFonts w:ascii="Times New Roman" w:hAnsi="Times New Roman" w:cs="Times New Roman"/>
          <w:sz w:val="18"/>
          <w:szCs w:val="18"/>
        </w:rPr>
        <w:t>J Clin Oncol</w:t>
      </w:r>
      <w:r>
        <w:rPr>
          <w:rFonts w:ascii="Times New Roman" w:hAnsi="Times New Roman" w:cs="Times New Roman"/>
          <w:sz w:val="18"/>
          <w:szCs w:val="18"/>
        </w:rPr>
        <w:fldChar w:fldCharType="end"/>
      </w:r>
      <w:r>
        <w:fldChar w:fldCharType="begin"/>
      </w:r>
      <w:r>
        <w:instrText xml:space="preserve"> HYPERLINK "http://www.ncbi.nlm.nih.gov/pubmed/?term=Primary+and+secondary+kinase+genotypes+correlate+with+the+biological+and+clinical+activity+of+sunitinib+in+imatinib-resistant+gastrointestinal+stromal+tumor" \h </w:instrText>
      </w:r>
      <w:r>
        <w:fldChar w:fldCharType="separate"/>
      </w:r>
      <w:r>
        <w:rPr>
          <w:rFonts w:ascii="Times New Roman" w:hAnsi="Times New Roman" w:cs="Times New Roman"/>
          <w:sz w:val="18"/>
          <w:szCs w:val="18"/>
        </w:rPr>
        <w:t>.</w:t>
      </w:r>
      <w:r>
        <w:rPr>
          <w:rFonts w:ascii="Times New Roman" w:hAnsi="Times New Roman" w:cs="Times New Roman"/>
          <w:sz w:val="18"/>
          <w:szCs w:val="18"/>
        </w:rPr>
        <w:fldChar w:fldCharType="end"/>
      </w:r>
      <w:r>
        <w:rPr>
          <w:rFonts w:ascii="Times New Roman" w:hAnsi="Times New Roman" w:cs="Times New Roman"/>
          <w:sz w:val="18"/>
          <w:szCs w:val="18"/>
        </w:rPr>
        <w:t xml:space="preserve"> 2008, 26(33):53529. </w:t>
      </w:r>
    </w:p>
    <w:p>
      <w:pPr>
        <w:widowControl/>
        <w:numPr>
          <w:ilvl w:val="0"/>
          <w:numId w:val="19"/>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Heinrich MC, Corless CL. Cancer: Oncogenes in context. Nature. 2010, 467(7317):796-7.</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rPr>
          <w:rFonts w:ascii="微软雅黑" w:hAnsi="微软雅黑" w:eastAsia="微软雅黑" w:cs="Arial"/>
          <w:b/>
          <w:sz w:val="24"/>
          <w:szCs w:val="24"/>
        </w:rPr>
      </w:pPr>
      <w:r>
        <w:rPr>
          <w:rFonts w:ascii="微软雅黑" w:hAnsi="微软雅黑" w:eastAsia="微软雅黑" w:cs="Arial"/>
          <w:b/>
          <w:sz w:val="24"/>
          <w:szCs w:val="24"/>
        </w:rPr>
        <w:t>KRAS</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 xml:space="preserve">已在人类鉴定出三种不同的RAS基因：KRAS基因（与Kirsten大鼠肉瘤病毒致癌基因同源）、HRAS（与哈维大鼠肉瘤病毒致癌基因同源）和NRAS（分离自人类神经母细胞瘤）。RAS基因高度同源但功能区分。RAS蛋白均为小的鸟苷酸结合调节蛋白，可由无活性的鸟苷二磷酸结合形式转化为活性鸟苷三磷酸结合形式。RAS蛋白是生长因子信号通路下游的中心调控者，因此对细胞增殖、存活和分化非常关键。RAS蛋白可激活多个下游效应物，包括与细胞存活相关的PI3K-AKT-mTOR途径，参与细胞增殖的 RAS-RAF-MEK-ERK通路（图示）。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RAS被发现可在多种癌症的发病中起作用。RAS基因的激活性突变，在缺乏生长因子信号输入的情况下亦能保持 RAS的GTP酶活性持续存在，结果转化为细胞不断增殖的信号（图示）。某种RAS基因常在不同的恶性肿瘤中反复突变。KRAS基因突变特别常见于结肠癌，肺癌和胰腺癌</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 xml:space="preserve">。 </w:t>
      </w:r>
    </w:p>
    <w:p>
      <w:pPr>
        <w:spacing w:after="165" w:line="259" w:lineRule="auto"/>
        <w:ind w:left="420"/>
        <w:jc w:val="left"/>
      </w:pPr>
      <w:r>
        <w:rPr>
          <w:color w:val="222222"/>
        </w:rPr>
        <w:t xml:space="preserve"> </w:t>
      </w:r>
    </w:p>
    <w:p>
      <w:pPr>
        <w:spacing w:after="209" w:line="259" w:lineRule="auto"/>
        <w:ind w:right="129"/>
        <w:jc w:val="center"/>
      </w:pPr>
      <w:r>
        <w:drawing>
          <wp:inline distT="0" distB="0" distL="0" distR="0">
            <wp:extent cx="3400425" cy="1771650"/>
            <wp:effectExtent l="0" t="0" r="0" b="0"/>
            <wp:docPr id="17294" name="Picture 17294"/>
            <wp:cNvGraphicFramePr/>
            <a:graphic xmlns:a="http://schemas.openxmlformats.org/drawingml/2006/main">
              <a:graphicData uri="http://schemas.openxmlformats.org/drawingml/2006/picture">
                <pic:pic xmlns:pic="http://schemas.openxmlformats.org/drawingml/2006/picture">
                  <pic:nvPicPr>
                    <pic:cNvPr id="17294" name="Picture 17294"/>
                    <pic:cNvPicPr/>
                  </pic:nvPicPr>
                  <pic:blipFill>
                    <a:blip r:embed="rId30"/>
                    <a:stretch>
                      <a:fillRect/>
                    </a:stretch>
                  </pic:blipFill>
                  <pic:spPr>
                    <a:xfrm>
                      <a:off x="0" y="0"/>
                      <a:ext cx="3400425" cy="1771650"/>
                    </a:xfrm>
                    <a:prstGeom prst="rect">
                      <a:avLst/>
                    </a:prstGeom>
                  </pic:spPr>
                </pic:pic>
              </a:graphicData>
            </a:graphic>
          </wp:inline>
        </w:drawing>
      </w:r>
      <w:r>
        <w:rPr>
          <w:rFonts w:ascii="Arial" w:hAnsi="Arial" w:eastAsia="Arial" w:cs="Arial"/>
          <w:sz w:val="20"/>
        </w:rPr>
        <w:t xml:space="preserve"> </w:t>
      </w:r>
    </w:p>
    <w:p>
      <w:pPr>
        <w:spacing w:after="41" w:line="265" w:lineRule="auto"/>
        <w:ind w:left="10" w:right="217" w:hanging="10"/>
        <w:jc w:val="center"/>
      </w:pPr>
      <w:r>
        <w:rPr>
          <w:rFonts w:ascii="微软雅黑" w:hAnsi="微软雅黑" w:eastAsia="微软雅黑" w:cs="微软雅黑"/>
          <w:sz w:val="18"/>
        </w:rPr>
        <w:t>图示：</w:t>
      </w:r>
      <w:r>
        <w:rPr>
          <w:color w:val="222222"/>
          <w:sz w:val="18"/>
        </w:rPr>
        <w:t>KRAS</w:t>
      </w:r>
      <w:r>
        <w:rPr>
          <w:rFonts w:ascii="微软雅黑" w:hAnsi="微软雅黑" w:eastAsia="微软雅黑" w:cs="微软雅黑"/>
          <w:color w:val="222222"/>
          <w:sz w:val="18"/>
        </w:rPr>
        <w:t xml:space="preserve">基因突变导致即使缺乏 </w:t>
      </w:r>
      <w:r>
        <w:rPr>
          <w:color w:val="222222"/>
          <w:sz w:val="18"/>
        </w:rPr>
        <w:t xml:space="preserve">EGFR </w:t>
      </w:r>
      <w:r>
        <w:rPr>
          <w:rFonts w:ascii="微软雅黑" w:hAnsi="微软雅黑" w:eastAsia="微软雅黑" w:cs="微软雅黑"/>
          <w:color w:val="222222"/>
          <w:sz w:val="18"/>
        </w:rPr>
        <w:t>信号输入也能刺激细胞增殖</w:t>
      </w:r>
      <w:r>
        <w:rPr>
          <w:sz w:val="18"/>
        </w:rPr>
        <w:t xml:space="preserve"> </w:t>
      </w:r>
    </w:p>
    <w:p>
      <w:pPr>
        <w:spacing w:after="50" w:line="259" w:lineRule="auto"/>
        <w:jc w:val="left"/>
      </w:pPr>
      <w:r>
        <w:rPr>
          <w:rFonts w:ascii="Arial" w:hAnsi="Arial" w:eastAsia="Arial" w:cs="Arial"/>
        </w:rPr>
        <w:t xml:space="preserve"> </w:t>
      </w:r>
    </w:p>
    <w:p>
      <w:pPr>
        <w:spacing w:line="259" w:lineRule="auto"/>
        <w:ind w:left="-5" w:right="197" w:hanging="10"/>
      </w:pPr>
      <w:r>
        <w:rPr>
          <w:rFonts w:ascii="微软雅黑" w:hAnsi="微软雅黑" w:eastAsia="微软雅黑" w:cs="微软雅黑"/>
        </w:rPr>
        <w:t xml:space="preserve">参考文献 </w:t>
      </w:r>
    </w:p>
    <w:p>
      <w:pPr>
        <w:tabs>
          <w:tab w:val="right" w:pos="9576"/>
        </w:tabs>
        <w:ind w:left="-15"/>
        <w:jc w:val="left"/>
        <w:rPr>
          <w:rFonts w:ascii="Times New Roman" w:hAnsi="Times New Roman" w:cs="Times New Roman"/>
          <w:sz w:val="18"/>
          <w:szCs w:val="18"/>
        </w:rPr>
      </w:pPr>
      <w:r>
        <w:rPr>
          <w:rFonts w:ascii="Times New Roman" w:hAnsi="Times New Roman" w:cs="Times New Roman"/>
          <w:sz w:val="18"/>
          <w:szCs w:val="18"/>
        </w:rPr>
        <w:t xml:space="preserve">1. </w:t>
      </w:r>
      <w:r>
        <w:fldChar w:fldCharType="begin"/>
      </w:r>
      <w:r>
        <w:instrText xml:space="preserve"> HYPERLINK "http://www.ncbi.nlm.nih.gov/pubmed?term=Schubbert%20S%5BAuthor%5D&amp;cauthor=true&amp;cauthor_uid=17384584" \h </w:instrText>
      </w:r>
      <w:r>
        <w:fldChar w:fldCharType="separate"/>
      </w:r>
      <w:r>
        <w:rPr>
          <w:rFonts w:ascii="Times New Roman" w:hAnsi="Times New Roman" w:cs="Times New Roman"/>
          <w:sz w:val="18"/>
          <w:szCs w:val="18"/>
        </w:rPr>
        <w:t>Schubbert S</w:t>
      </w:r>
      <w:r>
        <w:rPr>
          <w:rFonts w:ascii="Times New Roman" w:hAnsi="Times New Roman" w:cs="Times New Roman"/>
          <w:sz w:val="18"/>
          <w:szCs w:val="18"/>
        </w:rPr>
        <w:fldChar w:fldCharType="end"/>
      </w:r>
      <w:r>
        <w:rPr>
          <w:rFonts w:ascii="Times New Roman" w:hAnsi="Times New Roman" w:cs="Times New Roman"/>
          <w:sz w:val="18"/>
          <w:szCs w:val="18"/>
        </w:rPr>
        <w:t xml:space="preserve">, et al. Hyperactive Ras in developmental disorders and cancer. Nat Rev Cancer. 2007, 7(4):295-308. </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rPr>
          <w:rFonts w:ascii="微软雅黑" w:hAnsi="微软雅黑" w:eastAsia="微软雅黑" w:cs="Arial"/>
          <w:b/>
          <w:sz w:val="24"/>
          <w:szCs w:val="24"/>
        </w:rPr>
      </w:pPr>
      <w:r>
        <w:rPr>
          <w:rFonts w:ascii="微软雅黑" w:hAnsi="微软雅黑" w:eastAsia="微软雅黑" w:cs="Arial"/>
          <w:b/>
          <w:sz w:val="24"/>
          <w:szCs w:val="24"/>
        </w:rPr>
        <w:t xml:space="preserve">MAP2K1 (MEK1)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 xml:space="preserve">MEK1（也称为 MAP2K1）是一种丝氨酸 - 苏氨酸蛋白激酶，是MAP激酶信号传导途径的中央调控者。作为 MAP激酶途径的组成部分，MEK1参与细胞生命过程，包括细胞增殖、分化和转录调控。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可在约1％的所有非小细胞肺癌病人发现MEK1体细胞突变，在肺腺癌中的出现频率高于鳞状细胞肺癌</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 xml:space="preserve">。携带有MEK1体细胞突变的肺癌病人的临床特征尚有待详细阐述。 </w:t>
      </w:r>
    </w:p>
    <w:p>
      <w:pPr>
        <w:spacing w:after="186" w:line="259" w:lineRule="auto"/>
        <w:ind w:left="420"/>
        <w:jc w:val="left"/>
      </w:pPr>
      <w:r>
        <w:rPr>
          <w:color w:val="222222"/>
        </w:rPr>
        <w:t xml:space="preserve"> </w:t>
      </w:r>
    </w:p>
    <w:p>
      <w:pPr>
        <w:spacing w:after="190" w:line="259" w:lineRule="auto"/>
        <w:ind w:right="124"/>
        <w:jc w:val="center"/>
      </w:pPr>
      <w:r>
        <w:drawing>
          <wp:inline distT="0" distB="0" distL="0" distR="0">
            <wp:extent cx="3219450" cy="2867025"/>
            <wp:effectExtent l="0" t="0" r="0" b="0"/>
            <wp:docPr id="17381" name="Picture 17381"/>
            <wp:cNvGraphicFramePr/>
            <a:graphic xmlns:a="http://schemas.openxmlformats.org/drawingml/2006/main">
              <a:graphicData uri="http://schemas.openxmlformats.org/drawingml/2006/picture">
                <pic:pic xmlns:pic="http://schemas.openxmlformats.org/drawingml/2006/picture">
                  <pic:nvPicPr>
                    <pic:cNvPr id="17381" name="Picture 17381"/>
                    <pic:cNvPicPr/>
                  </pic:nvPicPr>
                  <pic:blipFill>
                    <a:blip r:embed="rId31"/>
                    <a:stretch>
                      <a:fillRect/>
                    </a:stretch>
                  </pic:blipFill>
                  <pic:spPr>
                    <a:xfrm>
                      <a:off x="0" y="0"/>
                      <a:ext cx="3219450" cy="2867025"/>
                    </a:xfrm>
                    <a:prstGeom prst="rect">
                      <a:avLst/>
                    </a:prstGeom>
                  </pic:spPr>
                </pic:pic>
              </a:graphicData>
            </a:graphic>
          </wp:inline>
        </w:drawing>
      </w:r>
      <w:r>
        <w:rPr>
          <w:rFonts w:ascii="Arial" w:hAnsi="Arial" w:eastAsia="Arial" w:cs="Arial"/>
          <w:sz w:val="22"/>
        </w:rPr>
        <w:t xml:space="preserve"> </w:t>
      </w:r>
    </w:p>
    <w:p>
      <w:pPr>
        <w:spacing w:after="110" w:line="265" w:lineRule="auto"/>
        <w:ind w:left="216" w:hanging="10"/>
        <w:jc w:val="center"/>
      </w:pPr>
      <w:r>
        <w:rPr>
          <w:rFonts w:ascii="微软雅黑" w:hAnsi="微软雅黑" w:eastAsia="微软雅黑" w:cs="微软雅黑"/>
          <w:sz w:val="18"/>
        </w:rPr>
        <w:t>图示：</w:t>
      </w:r>
      <w:r>
        <w:rPr>
          <w:sz w:val="18"/>
        </w:rPr>
        <w:t>MEK1</w:t>
      </w:r>
      <w:r>
        <w:rPr>
          <w:rFonts w:ascii="微软雅黑" w:hAnsi="微软雅黑" w:eastAsia="微软雅黑" w:cs="微软雅黑"/>
          <w:sz w:val="18"/>
        </w:rPr>
        <w:t xml:space="preserve">突变与癌症治疗 </w:t>
      </w:r>
    </w:p>
    <w:p>
      <w:pPr>
        <w:spacing w:after="84" w:line="259" w:lineRule="auto"/>
        <w:jc w:val="left"/>
      </w:pPr>
      <w:r>
        <w:rPr>
          <w:rFonts w:ascii="微软雅黑" w:hAnsi="微软雅黑" w:eastAsia="微软雅黑" w:cs="微软雅黑"/>
        </w:rPr>
        <w:t xml:space="preserve"> </w:t>
      </w:r>
    </w:p>
    <w:p>
      <w:pPr>
        <w:spacing w:line="259" w:lineRule="auto"/>
        <w:ind w:left="-5" w:right="197" w:hanging="10"/>
      </w:pPr>
      <w:r>
        <w:rPr>
          <w:rFonts w:ascii="微软雅黑" w:hAnsi="微软雅黑" w:eastAsia="微软雅黑" w:cs="微软雅黑"/>
        </w:rPr>
        <w:t xml:space="preserve">参考文献 </w:t>
      </w:r>
    </w:p>
    <w:p>
      <w:pPr>
        <w:ind w:right="202"/>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1. </w:t>
      </w:r>
      <w:r>
        <w:fldChar w:fldCharType="begin"/>
      </w:r>
      <w:r>
        <w:instrText xml:space="preserve"> HYPERLINK "http://www.ncbi.nlm.nih.gov/pubmed?term=Marks%20JL%5BAuthor%5D&amp;cauthor=true&amp;cauthor_uid=18632602" \h </w:instrText>
      </w:r>
      <w:r>
        <w:fldChar w:fldCharType="separate"/>
      </w:r>
      <w:r>
        <w:rPr>
          <w:rFonts w:ascii="Times New Roman" w:hAnsi="Times New Roman" w:eastAsia="微软雅黑" w:cs="Times New Roman"/>
          <w:sz w:val="18"/>
          <w:szCs w:val="18"/>
        </w:rPr>
        <w:t>Marks J</w:t>
      </w:r>
      <w:r>
        <w:rPr>
          <w:rFonts w:ascii="Times New Roman" w:hAnsi="Times New Roman" w:eastAsia="微软雅黑" w:cs="Times New Roman"/>
          <w:sz w:val="18"/>
          <w:szCs w:val="18"/>
        </w:rPr>
        <w:fldChar w:fldCharType="end"/>
      </w:r>
      <w:r>
        <w:rPr>
          <w:rFonts w:ascii="Times New Roman" w:hAnsi="Times New Roman" w:eastAsia="微软雅黑" w:cs="Times New Roman"/>
          <w:sz w:val="18"/>
          <w:szCs w:val="18"/>
        </w:rPr>
        <w:t xml:space="preserve">L, et al. Novel MEK1 mutation identified by mutational analysis of epidermal growth factor receptor signaling pathway genes in lung adenocarcinoma. Cancer Res. 2008, 68(14):5524-8. </w:t>
      </w:r>
    </w:p>
    <w:p>
      <w:pPr>
        <w:spacing w:line="259" w:lineRule="auto"/>
        <w:jc w:val="left"/>
      </w:pPr>
      <w:r>
        <w:rPr>
          <w:rFonts w:ascii="Arial" w:hAnsi="Arial" w:eastAsia="Arial" w:cs="Arial"/>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rPr>
          <w:rFonts w:ascii="微软雅黑" w:hAnsi="微软雅黑" w:eastAsia="微软雅黑" w:cs="Arial"/>
          <w:b/>
          <w:sz w:val="24"/>
          <w:szCs w:val="24"/>
        </w:rPr>
      </w:pPr>
      <w:r>
        <w:rPr>
          <w:rFonts w:ascii="微软雅黑" w:hAnsi="微软雅黑" w:eastAsia="微软雅黑" w:cs="Arial"/>
          <w:b/>
          <w:sz w:val="24"/>
          <w:szCs w:val="24"/>
        </w:rPr>
        <w:t>MET</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MET 基因（MNNG-HOS转化基因位于第7号染色体，编码一种受体酪氨酸激酶（RTK）</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与其配体肝细胞生长因子（HG）的结合，诱导MET受体的构象变化，由此磷酸化和激活。活化的MET接着磷酸化其底物，从而激活下游多个途径，包括涉及细胞存活的PI3K-AKT-mTOR途径，参与细胞增殖的RAS-RAF-MEK-ERK通路（图示）。恶性肿瘤细胞，由MET受体传输的异常信号会促成多效作用，包括生长</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存活</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侵入</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迁移</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血管生成和转移</w:t>
      </w:r>
      <w:r>
        <w:rPr>
          <w:rFonts w:ascii="微软雅黑" w:hAnsi="微软雅黑" w:eastAsia="微软雅黑" w:cs="MicrosoftYaHei"/>
          <w:kern w:val="0"/>
          <w:sz w:val="22"/>
          <w:szCs w:val="24"/>
          <w:vertAlign w:val="superscript"/>
        </w:rPr>
        <w:t>2，3</w:t>
      </w:r>
      <w:r>
        <w:rPr>
          <w:rFonts w:ascii="微软雅黑" w:hAnsi="微软雅黑" w:eastAsia="微软雅黑" w:cs="MicrosoftYaHei"/>
          <w:kern w:val="0"/>
          <w:sz w:val="22"/>
          <w:szCs w:val="24"/>
        </w:rPr>
        <w:t>。已在多种人类癌症鉴定到MET受体及其配体HGF的异常激活，如所有的遗传性乳头状肾细胞癌都存在MET基因酪氨酸激酶功能域的遗传性突变，而10-15％的散发性乳头状肾细胞癌也可检测到体细胞突变</w:t>
      </w:r>
      <w:r>
        <w:rPr>
          <w:rFonts w:ascii="微软雅黑" w:hAnsi="微软雅黑" w:eastAsia="微软雅黑" w:cs="MicrosoftYaHei"/>
          <w:kern w:val="0"/>
          <w:sz w:val="22"/>
          <w:szCs w:val="24"/>
          <w:vertAlign w:val="superscript"/>
        </w:rPr>
        <w:t>4</w:t>
      </w:r>
      <w:r>
        <w:rPr>
          <w:rFonts w:ascii="微软雅黑" w:hAnsi="微软雅黑" w:eastAsia="微软雅黑" w:cs="MicrosoftYaHei"/>
          <w:kern w:val="0"/>
          <w:sz w:val="22"/>
          <w:szCs w:val="24"/>
        </w:rPr>
        <w:t>。头颈部鳞状细胞癌、儿童肝细胞癌、非小细胞肺癌和小细胞肺癌也能检测到低频的MET基因突变</w:t>
      </w:r>
      <w:r>
        <w:rPr>
          <w:rFonts w:ascii="微软雅黑" w:hAnsi="微软雅黑" w:eastAsia="微软雅黑" w:cs="MicrosoftYaHei"/>
          <w:kern w:val="0"/>
          <w:sz w:val="22"/>
          <w:szCs w:val="24"/>
          <w:vertAlign w:val="superscript"/>
        </w:rPr>
        <w:t>5</w:t>
      </w:r>
      <w:r>
        <w:rPr>
          <w:rFonts w:ascii="微软雅黑" w:hAnsi="微软雅黑" w:eastAsia="微软雅黑" w:cs="MicrosoftYaHei"/>
          <w:kern w:val="0"/>
          <w:sz w:val="22"/>
          <w:szCs w:val="24"/>
        </w:rPr>
        <w:t>。此外，MET基因扩增被报道出现于胃癌、食管癌、大肠癌、胶质瘤、非小细胞肺癌和透明细胞卵巢癌等</w:t>
      </w:r>
      <w:r>
        <w:rPr>
          <w:rFonts w:ascii="微软雅黑" w:hAnsi="微软雅黑" w:eastAsia="微软雅黑" w:cs="MicrosoftYaHei"/>
          <w:kern w:val="0"/>
          <w:sz w:val="22"/>
          <w:szCs w:val="24"/>
          <w:vertAlign w:val="superscript"/>
        </w:rPr>
        <w:t>6，7</w:t>
      </w:r>
      <w:r>
        <w:rPr>
          <w:rFonts w:ascii="微软雅黑" w:hAnsi="微软雅黑" w:eastAsia="微软雅黑" w:cs="MicrosoftYaHei"/>
          <w:kern w:val="0"/>
          <w:sz w:val="22"/>
          <w:szCs w:val="24"/>
        </w:rPr>
        <w:t xml:space="preserve">。 </w:t>
      </w:r>
    </w:p>
    <w:p>
      <w:pPr>
        <w:spacing w:after="202" w:line="259" w:lineRule="auto"/>
        <w:ind w:right="125"/>
        <w:jc w:val="center"/>
      </w:pPr>
      <w:r>
        <w:drawing>
          <wp:inline distT="0" distB="0" distL="0" distR="0">
            <wp:extent cx="2676525" cy="2066925"/>
            <wp:effectExtent l="0" t="0" r="0" b="0"/>
            <wp:docPr id="17574" name="Picture 17574"/>
            <wp:cNvGraphicFramePr/>
            <a:graphic xmlns:a="http://schemas.openxmlformats.org/drawingml/2006/main">
              <a:graphicData uri="http://schemas.openxmlformats.org/drawingml/2006/picture">
                <pic:pic xmlns:pic="http://schemas.openxmlformats.org/drawingml/2006/picture">
                  <pic:nvPicPr>
                    <pic:cNvPr id="17574" name="Picture 17574"/>
                    <pic:cNvPicPr/>
                  </pic:nvPicPr>
                  <pic:blipFill>
                    <a:blip r:embed="rId32"/>
                    <a:stretch>
                      <a:fillRect/>
                    </a:stretch>
                  </pic:blipFill>
                  <pic:spPr>
                    <a:xfrm>
                      <a:off x="0" y="0"/>
                      <a:ext cx="2676525" cy="2066925"/>
                    </a:xfrm>
                    <a:prstGeom prst="rect">
                      <a:avLst/>
                    </a:prstGeom>
                  </pic:spPr>
                </pic:pic>
              </a:graphicData>
            </a:graphic>
          </wp:inline>
        </w:drawing>
      </w:r>
      <w:r>
        <w:rPr>
          <w:rFonts w:ascii="Arial" w:hAnsi="Arial" w:eastAsia="Arial" w:cs="Arial"/>
          <w:sz w:val="22"/>
        </w:rPr>
        <w:t xml:space="preserve"> </w:t>
      </w:r>
    </w:p>
    <w:p>
      <w:pPr>
        <w:spacing w:after="172" w:line="265" w:lineRule="auto"/>
        <w:ind w:left="216" w:right="422" w:hanging="10"/>
        <w:jc w:val="center"/>
      </w:pPr>
      <w:r>
        <w:rPr>
          <w:rFonts w:ascii="微软雅黑" w:hAnsi="微软雅黑" w:eastAsia="微软雅黑" w:cs="微软雅黑"/>
          <w:sz w:val="18"/>
        </w:rPr>
        <w:t>图示：</w:t>
      </w:r>
      <w:r>
        <w:rPr>
          <w:sz w:val="18"/>
        </w:rPr>
        <w:t>MET</w:t>
      </w:r>
      <w:r>
        <w:rPr>
          <w:rFonts w:ascii="微软雅黑" w:hAnsi="微软雅黑" w:eastAsia="微软雅黑" w:cs="微软雅黑"/>
          <w:sz w:val="18"/>
        </w:rPr>
        <w:t xml:space="preserve">信号通路 </w:t>
      </w:r>
      <w:r>
        <w:rPr>
          <w:sz w:val="18"/>
          <w:vertAlign w:val="superscript"/>
        </w:rPr>
        <w:t>8</w:t>
      </w:r>
      <w:r>
        <w:rPr>
          <w:sz w:val="18"/>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20"/>
        </w:numPr>
        <w:spacing w:after="3" w:line="247" w:lineRule="auto"/>
        <w:ind w:right="202" w:hanging="358"/>
        <w:rPr>
          <w:rFonts w:ascii="Times New Roman" w:hAnsi="Times New Roman" w:cs="Times New Roman"/>
          <w:sz w:val="18"/>
          <w:szCs w:val="18"/>
        </w:rPr>
      </w:pPr>
      <w:r>
        <w:rPr>
          <w:rFonts w:ascii="Times New Roman" w:hAnsi="Times New Roman" w:cs="Times New Roman"/>
          <w:sz w:val="18"/>
          <w:szCs w:val="18"/>
        </w:rPr>
        <w:t xml:space="preserve">Cooper CS, et al. Molecular cloning of a new transforming gene from a chemically transformed human cell line. Nature. 1984, 311(5981):29-33. </w:t>
      </w:r>
    </w:p>
    <w:p>
      <w:pPr>
        <w:widowControl/>
        <w:numPr>
          <w:ilvl w:val="0"/>
          <w:numId w:val="20"/>
        </w:numPr>
        <w:spacing w:after="3" w:line="247" w:lineRule="auto"/>
        <w:ind w:right="202" w:hanging="358"/>
        <w:rPr>
          <w:rFonts w:ascii="Times New Roman" w:hAnsi="Times New Roman" w:cs="Times New Roman"/>
          <w:sz w:val="18"/>
          <w:szCs w:val="18"/>
        </w:rPr>
      </w:pPr>
      <w:r>
        <w:rPr>
          <w:rFonts w:ascii="Times New Roman" w:hAnsi="Times New Roman" w:cs="Times New Roman"/>
          <w:sz w:val="18"/>
          <w:szCs w:val="18"/>
        </w:rPr>
        <w:t xml:space="preserve">Birchmeier C, et al. Met, metastasis, motility and more. Nat Rev Mol Cell Biol. 2003, 4(12):915-25. </w:t>
      </w:r>
    </w:p>
    <w:p>
      <w:pPr>
        <w:widowControl/>
        <w:numPr>
          <w:ilvl w:val="0"/>
          <w:numId w:val="20"/>
        </w:numPr>
        <w:spacing w:after="3" w:line="247" w:lineRule="auto"/>
        <w:ind w:right="202" w:hanging="358"/>
        <w:rPr>
          <w:rFonts w:ascii="Times New Roman" w:hAnsi="Times New Roman" w:cs="Times New Roman"/>
          <w:sz w:val="18"/>
          <w:szCs w:val="18"/>
        </w:rPr>
      </w:pPr>
      <w:r>
        <w:rPr>
          <w:rFonts w:ascii="Times New Roman" w:hAnsi="Times New Roman" w:cs="Times New Roman"/>
          <w:sz w:val="18"/>
          <w:szCs w:val="18"/>
        </w:rPr>
        <w:t xml:space="preserve">Peruzzi B, Bottaro DP. Targeting the c-Met signaling pathway in cancer. Clin Cancer Res. 2006, 12(12):3657-60. </w:t>
      </w:r>
    </w:p>
    <w:p>
      <w:pPr>
        <w:widowControl/>
        <w:numPr>
          <w:ilvl w:val="0"/>
          <w:numId w:val="20"/>
        </w:numPr>
        <w:spacing w:after="3" w:line="247" w:lineRule="auto"/>
        <w:ind w:right="202" w:hanging="358"/>
        <w:rPr>
          <w:rFonts w:ascii="Times New Roman" w:hAnsi="Times New Roman" w:cs="Times New Roman"/>
          <w:sz w:val="18"/>
          <w:szCs w:val="18"/>
        </w:rPr>
      </w:pPr>
      <w:r>
        <w:fldChar w:fldCharType="begin"/>
      </w:r>
      <w:r>
        <w:instrText xml:space="preserve"> HYPERLINK "http://www.ncbi.nlm.nih.gov/pubmed?term=Schmidt%20L%5BAuthor%5D&amp;cauthor=true&amp;cauthor_uid=9140397" \h </w:instrText>
      </w:r>
      <w:r>
        <w:fldChar w:fldCharType="separate"/>
      </w:r>
      <w:r>
        <w:rPr>
          <w:rFonts w:ascii="Times New Roman" w:hAnsi="Times New Roman" w:cs="Times New Roman"/>
          <w:sz w:val="18"/>
          <w:szCs w:val="18"/>
        </w:rPr>
        <w:t>Schmidt L,</w:t>
      </w:r>
      <w:r>
        <w:rPr>
          <w:rFonts w:ascii="Times New Roman" w:hAnsi="Times New Roman" w:cs="Times New Roman"/>
          <w:sz w:val="18"/>
          <w:szCs w:val="18"/>
        </w:rPr>
        <w:fldChar w:fldCharType="end"/>
      </w:r>
      <w:r>
        <w:rPr>
          <w:rFonts w:ascii="Times New Roman" w:hAnsi="Times New Roman" w:cs="Times New Roman"/>
          <w:sz w:val="18"/>
          <w:szCs w:val="18"/>
        </w:rPr>
        <w:t xml:space="preserve"> et al. Germline and somatic mutations in the tyrosine kinase domain of the MET protooncogene in papillary renal carcinomas. </w:t>
      </w:r>
      <w:r>
        <w:fldChar w:fldCharType="begin"/>
      </w:r>
      <w:r>
        <w:instrText xml:space="preserve"> HYPERLINK "http://www.ncbi.nlm.nih.gov/pubmed/9140397" \h </w:instrText>
      </w:r>
      <w:r>
        <w:fldChar w:fldCharType="separate"/>
      </w:r>
      <w:r>
        <w:rPr>
          <w:rFonts w:ascii="Times New Roman" w:hAnsi="Times New Roman" w:cs="Times New Roman"/>
          <w:sz w:val="18"/>
          <w:szCs w:val="18"/>
        </w:rPr>
        <w:t>Nat Genet.</w:t>
      </w:r>
      <w:r>
        <w:rPr>
          <w:rFonts w:ascii="Times New Roman" w:hAnsi="Times New Roman" w:cs="Times New Roman"/>
          <w:sz w:val="18"/>
          <w:szCs w:val="18"/>
        </w:rPr>
        <w:fldChar w:fldCharType="end"/>
      </w:r>
      <w:r>
        <w:fldChar w:fldCharType="begin"/>
      </w:r>
      <w:r>
        <w:instrText xml:space="preserve"> HYPERLINK "http://www.ncbi.nlm.nih.gov/pubmed/9140397"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rPr>
          <w:rFonts w:ascii="Times New Roman" w:hAnsi="Times New Roman" w:cs="Times New Roman"/>
          <w:sz w:val="18"/>
          <w:szCs w:val="18"/>
        </w:rPr>
        <w:t xml:space="preserve">1997, 16(1):68-73. </w:t>
      </w:r>
    </w:p>
    <w:p>
      <w:pPr>
        <w:widowControl/>
        <w:numPr>
          <w:ilvl w:val="0"/>
          <w:numId w:val="20"/>
        </w:numPr>
        <w:spacing w:after="3" w:line="247" w:lineRule="auto"/>
        <w:ind w:right="202" w:hanging="358"/>
        <w:rPr>
          <w:rFonts w:ascii="Times New Roman" w:hAnsi="Times New Roman" w:cs="Times New Roman"/>
          <w:sz w:val="18"/>
          <w:szCs w:val="18"/>
        </w:rPr>
      </w:pPr>
      <w:r>
        <w:rPr>
          <w:rFonts w:ascii="Times New Roman" w:hAnsi="Times New Roman" w:cs="Times New Roman"/>
          <w:sz w:val="18"/>
          <w:szCs w:val="18"/>
        </w:rPr>
        <w:t xml:space="preserve">Ma PC, et al. c-MET mutational analysis in small cell lung cancer: novel juxtamembrane domain mutations regulating cytoskeletal functions. Cancer Res. 2003, 63(19):6272-81. </w:t>
      </w:r>
    </w:p>
    <w:p>
      <w:pPr>
        <w:widowControl/>
        <w:numPr>
          <w:ilvl w:val="0"/>
          <w:numId w:val="20"/>
        </w:numPr>
        <w:spacing w:after="3" w:line="247" w:lineRule="auto"/>
        <w:ind w:right="202" w:hanging="358"/>
        <w:rPr>
          <w:rFonts w:ascii="Times New Roman" w:hAnsi="Times New Roman" w:cs="Times New Roman"/>
          <w:sz w:val="18"/>
          <w:szCs w:val="18"/>
        </w:rPr>
      </w:pPr>
      <w:r>
        <w:rPr>
          <w:rFonts w:ascii="Times New Roman" w:hAnsi="Times New Roman" w:cs="Times New Roman"/>
          <w:sz w:val="18"/>
          <w:szCs w:val="18"/>
        </w:rPr>
        <w:t xml:space="preserve">Bean J, et al. MET amplification occurs with or without T790M mutations in EGFR mutant lung tumors with acquired resistance to gefitinib or erlotinib. Proc Natl Acad Sci U S A. 2007, 104(52):20932-7. </w:t>
      </w:r>
    </w:p>
    <w:p>
      <w:pPr>
        <w:widowControl/>
        <w:numPr>
          <w:ilvl w:val="0"/>
          <w:numId w:val="20"/>
        </w:numPr>
        <w:spacing w:after="3" w:line="247" w:lineRule="auto"/>
        <w:ind w:right="202" w:hanging="358"/>
        <w:rPr>
          <w:rFonts w:ascii="Times New Roman" w:hAnsi="Times New Roman" w:cs="Times New Roman"/>
          <w:sz w:val="18"/>
          <w:szCs w:val="18"/>
        </w:rPr>
      </w:pPr>
      <w:r>
        <w:rPr>
          <w:rFonts w:ascii="Times New Roman" w:hAnsi="Times New Roman" w:cs="Times New Roman"/>
          <w:sz w:val="18"/>
          <w:szCs w:val="18"/>
        </w:rPr>
        <w:t xml:space="preserve">Kubo T, et al. MET gene amplification or EGFR mutation activate MET in lung cancers untreated with EGFR tyrosine kinase inhibitors. Int J Cancer. 2009, 124(8):1778-84. </w:t>
      </w:r>
    </w:p>
    <w:p>
      <w:pPr>
        <w:widowControl/>
        <w:numPr>
          <w:ilvl w:val="0"/>
          <w:numId w:val="20"/>
        </w:numPr>
        <w:spacing w:after="3" w:line="247" w:lineRule="auto"/>
        <w:ind w:right="202" w:hanging="358"/>
        <w:rPr>
          <w:rFonts w:ascii="Times New Roman" w:hAnsi="Times New Roman" w:cs="Times New Roman"/>
          <w:sz w:val="18"/>
          <w:szCs w:val="18"/>
        </w:rPr>
      </w:pPr>
      <w:r>
        <w:rPr>
          <w:rFonts w:ascii="Times New Roman" w:hAnsi="Times New Roman" w:cs="Times New Roman"/>
          <w:sz w:val="18"/>
          <w:szCs w:val="18"/>
        </w:rPr>
        <w:t xml:space="preserve">Linehan WM, et al. The genetic basis of kidney cancer: a metabolic disease. Nat Rev Urol. 2010, 7(5):277-85. </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pPr>
      <w:r>
        <w:rPr>
          <w:rFonts w:ascii="微软雅黑" w:hAnsi="微软雅黑" w:eastAsia="微软雅黑" w:cs="Arial"/>
          <w:b/>
          <w:sz w:val="24"/>
          <w:szCs w:val="24"/>
        </w:rPr>
        <w:t>KMT2A（MLL）</w:t>
      </w:r>
      <w:r>
        <w:rPr>
          <w:rFonts w:ascii="Arial" w:hAnsi="Arial" w:eastAsia="Arial" w:cs="Arial"/>
          <w:sz w:val="44"/>
        </w:rPr>
        <w:t xml:space="preserve">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髓系/淋巴系或混合谱系白血病（果蝇trithorax同源物），也被称为MLL，参与调控早期发育和造血作用基因的表达。在癌症研究如急性髓性白血病和急性淋巴性白血病，可检测到该基因的重排异常；在胃癌、结直肠癌和其他癌症中的功用正在被进一步调查。急性髓性白血病和B淋巴性白血病可检测到MLL-MLLT3 (AF9) 基因融合</w:t>
      </w:r>
      <w:r>
        <w:rPr>
          <w:rFonts w:ascii="微软雅黑" w:hAnsi="微软雅黑" w:eastAsia="微软雅黑" w:cs="MicrosoftYaHei"/>
          <w:kern w:val="0"/>
          <w:sz w:val="22"/>
          <w:szCs w:val="24"/>
          <w:vertAlign w:val="superscript"/>
        </w:rPr>
        <w:t>1，2</w:t>
      </w:r>
      <w:r>
        <w:rPr>
          <w:rFonts w:ascii="微软雅黑" w:hAnsi="微软雅黑" w:eastAsia="微软雅黑" w:cs="MicrosoftYaHei"/>
          <w:kern w:val="0"/>
          <w:sz w:val="22"/>
          <w:szCs w:val="24"/>
        </w:rPr>
        <w:t>（图示）。约在1%的急性髓性白血病患者可发现MLL-MLLT3基因融合</w:t>
      </w:r>
      <w:r>
        <w:rPr>
          <w:rFonts w:ascii="微软雅黑" w:hAnsi="微软雅黑" w:eastAsia="微软雅黑" w:cs="MicrosoftYaHei"/>
          <w:kern w:val="0"/>
          <w:sz w:val="22"/>
          <w:szCs w:val="24"/>
          <w:vertAlign w:val="superscript"/>
        </w:rPr>
        <w:t>3</w:t>
      </w:r>
      <w:r>
        <w:rPr>
          <w:rFonts w:ascii="微软雅黑" w:hAnsi="微软雅黑" w:eastAsia="微软雅黑" w:cs="MicrosoftYaHei"/>
          <w:kern w:val="0"/>
          <w:sz w:val="22"/>
          <w:szCs w:val="24"/>
        </w:rPr>
        <w:t xml:space="preserve">。因这种基因融合形成的蛋白仅起到阻止造血细胞正常成熟的作用 </w:t>
      </w:r>
      <w:r>
        <w:rPr>
          <w:rFonts w:ascii="微软雅黑" w:hAnsi="微软雅黑" w:eastAsia="微软雅黑" w:cs="MicrosoftYaHei"/>
          <w:kern w:val="0"/>
          <w:sz w:val="22"/>
          <w:szCs w:val="24"/>
          <w:vertAlign w:val="superscript"/>
        </w:rPr>
        <w:t>4</w:t>
      </w:r>
      <w:r>
        <w:rPr>
          <w:rFonts w:ascii="微软雅黑" w:hAnsi="微软雅黑" w:eastAsia="微软雅黑" w:cs="MicrosoftYaHei"/>
          <w:kern w:val="0"/>
          <w:sz w:val="22"/>
          <w:szCs w:val="24"/>
        </w:rPr>
        <w:t xml:space="preserve">，很有可能还需要其它突变才会最终形成白血病 </w:t>
      </w:r>
      <w:r>
        <w:rPr>
          <w:rFonts w:ascii="微软雅黑" w:hAnsi="微软雅黑" w:eastAsia="微软雅黑" w:cs="MicrosoftYaHei"/>
          <w:kern w:val="0"/>
          <w:sz w:val="22"/>
          <w:szCs w:val="24"/>
          <w:vertAlign w:val="superscript"/>
        </w:rPr>
        <w:t>5</w:t>
      </w:r>
      <w:r>
        <w:rPr>
          <w:rFonts w:ascii="微软雅黑" w:hAnsi="微软雅黑" w:eastAsia="微软雅黑" w:cs="MicrosoftYaHei"/>
          <w:kern w:val="0"/>
          <w:sz w:val="22"/>
          <w:szCs w:val="24"/>
        </w:rPr>
        <w:t xml:space="preserve">。MLL-MLLT3 基因融合属于白血病“二次打击”学说中的第 II 类 </w:t>
      </w:r>
      <w:r>
        <w:rPr>
          <w:rFonts w:ascii="微软雅黑" w:hAnsi="微软雅黑" w:eastAsia="微软雅黑" w:cs="MicrosoftYaHei"/>
          <w:kern w:val="0"/>
          <w:sz w:val="22"/>
          <w:szCs w:val="24"/>
          <w:vertAlign w:val="superscript"/>
        </w:rPr>
        <w:t>6</w:t>
      </w:r>
      <w:r>
        <w:rPr>
          <w:rFonts w:ascii="微软雅黑" w:hAnsi="微软雅黑" w:eastAsia="微软雅黑" w:cs="MicrosoftYaHei"/>
          <w:kern w:val="0"/>
          <w:sz w:val="22"/>
          <w:szCs w:val="24"/>
        </w:rPr>
        <w:t xml:space="preserve">。 </w:t>
      </w:r>
    </w:p>
    <w:p>
      <w:pPr>
        <w:spacing w:after="245" w:line="259" w:lineRule="auto"/>
        <w:ind w:right="137"/>
        <w:jc w:val="center"/>
      </w:pPr>
      <w:r>
        <w:drawing>
          <wp:inline distT="0" distB="0" distL="0" distR="0">
            <wp:extent cx="2943225" cy="1952625"/>
            <wp:effectExtent l="0" t="0" r="0" b="0"/>
            <wp:docPr id="17761" name="Picture 17761"/>
            <wp:cNvGraphicFramePr/>
            <a:graphic xmlns:a="http://schemas.openxmlformats.org/drawingml/2006/main">
              <a:graphicData uri="http://schemas.openxmlformats.org/drawingml/2006/picture">
                <pic:pic xmlns:pic="http://schemas.openxmlformats.org/drawingml/2006/picture">
                  <pic:nvPicPr>
                    <pic:cNvPr id="17761" name="Picture 17761"/>
                    <pic:cNvPicPr/>
                  </pic:nvPicPr>
                  <pic:blipFill>
                    <a:blip r:embed="rId33"/>
                    <a:stretch>
                      <a:fillRect/>
                    </a:stretch>
                  </pic:blipFill>
                  <pic:spPr>
                    <a:xfrm>
                      <a:off x="0" y="0"/>
                      <a:ext cx="2943225" cy="1952625"/>
                    </a:xfrm>
                    <a:prstGeom prst="rect">
                      <a:avLst/>
                    </a:prstGeom>
                  </pic:spPr>
                </pic:pic>
              </a:graphicData>
            </a:graphic>
          </wp:inline>
        </w:drawing>
      </w:r>
      <w:r>
        <w:rPr>
          <w:rFonts w:ascii="Arial" w:hAnsi="Arial" w:eastAsia="Arial" w:cs="Arial"/>
          <w:sz w:val="17"/>
        </w:rPr>
        <w:t xml:space="preserve"> </w:t>
      </w:r>
    </w:p>
    <w:p>
      <w:pPr>
        <w:spacing w:after="258" w:line="265" w:lineRule="auto"/>
        <w:ind w:left="10" w:right="217" w:hanging="10"/>
        <w:jc w:val="center"/>
      </w:pPr>
      <w:r>
        <w:rPr>
          <w:rFonts w:ascii="微软雅黑" w:hAnsi="微软雅黑" w:eastAsia="微软雅黑" w:cs="微软雅黑"/>
          <w:color w:val="222222"/>
          <w:sz w:val="18"/>
        </w:rPr>
        <w:t>图示：</w:t>
      </w:r>
      <w:r>
        <w:rPr>
          <w:color w:val="222222"/>
          <w:sz w:val="18"/>
        </w:rPr>
        <w:t>MLL</w:t>
      </w:r>
      <w:r>
        <w:rPr>
          <w:rFonts w:ascii="微软雅黑" w:hAnsi="微软雅黑" w:eastAsia="微软雅黑" w:cs="微软雅黑"/>
          <w:color w:val="222222"/>
          <w:sz w:val="18"/>
        </w:rPr>
        <w:t>、</w:t>
      </w:r>
      <w:r>
        <w:rPr>
          <w:color w:val="222222"/>
          <w:sz w:val="18"/>
        </w:rPr>
        <w:t>MLLT3</w:t>
      </w:r>
      <w:r>
        <w:rPr>
          <w:rFonts w:ascii="微软雅黑" w:hAnsi="微软雅黑" w:eastAsia="微软雅黑" w:cs="微软雅黑"/>
          <w:color w:val="222222"/>
          <w:sz w:val="18"/>
        </w:rPr>
        <w:t>基因的染色体位置</w:t>
      </w:r>
      <w:r>
        <w:rPr>
          <w:color w:val="222222"/>
          <w:sz w:val="18"/>
        </w:rPr>
        <w:t xml:space="preserve"> </w:t>
      </w:r>
      <w:r>
        <w:rPr>
          <w:sz w:val="18"/>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21"/>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"http://www.ncbi.nlm.nih.gov/pubmed?term=Takachi%20T%5BAuthor%5D&amp;cauthor=true&amp;cauthor_uid=21681937" \h </w:instrText>
      </w:r>
      <w:r>
        <w:fldChar w:fldCharType="separate"/>
      </w:r>
      <w:r>
        <w:rPr>
          <w:rFonts w:ascii="Times New Roman" w:hAnsi="Times New Roman" w:cs="Times New Roman"/>
          <w:sz w:val="18"/>
          <w:szCs w:val="18"/>
        </w:rPr>
        <w:t>Takachi T</w:t>
      </w:r>
      <w:r>
        <w:rPr>
          <w:rFonts w:ascii="Times New Roman" w:hAnsi="Times New Roman" w:cs="Times New Roman"/>
          <w:sz w:val="18"/>
          <w:szCs w:val="18"/>
        </w:rPr>
        <w:fldChar w:fldCharType="end"/>
      </w:r>
      <w:r>
        <w:rPr>
          <w:rFonts w:ascii="Times New Roman" w:hAnsi="Times New Roman" w:cs="Times New Roman"/>
          <w:sz w:val="18"/>
          <w:szCs w:val="18"/>
        </w:rPr>
        <w:t xml:space="preserve">, et al. Lymphoblastic lymphoma with mature b-cell immunophenotype and MLL-AF9 in a child. Pediatr Blood Cancer. 2011, 57(7):1251-2. </w:t>
      </w:r>
    </w:p>
    <w:p>
      <w:pPr>
        <w:widowControl/>
        <w:numPr>
          <w:ilvl w:val="0"/>
          <w:numId w:val="21"/>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"http://www.ncbi.nlm.nih.gov/pubmed?term=Metzler%20M%5BAuthor%5D&amp;cauthor=true&amp;cauthor_uid=15334554" \h </w:instrText>
      </w:r>
      <w:r>
        <w:fldChar w:fldCharType="separate"/>
      </w:r>
      <w:r>
        <w:rPr>
          <w:rFonts w:ascii="Times New Roman" w:hAnsi="Times New Roman" w:cs="Times New Roman"/>
          <w:sz w:val="18"/>
          <w:szCs w:val="18"/>
        </w:rPr>
        <w:t>Metzler M</w:t>
      </w:r>
      <w:r>
        <w:rPr>
          <w:rFonts w:ascii="Times New Roman" w:hAnsi="Times New Roman" w:cs="Times New Roman"/>
          <w:sz w:val="18"/>
          <w:szCs w:val="18"/>
        </w:rPr>
        <w:fldChar w:fldCharType="end"/>
      </w:r>
      <w:r>
        <w:rPr>
          <w:rFonts w:ascii="Times New Roman" w:hAnsi="Times New Roman" w:cs="Times New Roman"/>
          <w:sz w:val="18"/>
          <w:szCs w:val="18"/>
        </w:rPr>
        <w:t xml:space="preserve">, et al. Emergence of translocation t(9;11)-positive leukemia during treatment of childhood acute lymphoblastic leukemia. Genes Chromosomes Cancer. 2004, 41(3):291-6.  </w:t>
      </w:r>
    </w:p>
    <w:p>
      <w:pPr>
        <w:widowControl/>
        <w:numPr>
          <w:ilvl w:val="0"/>
          <w:numId w:val="21"/>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"http://www.ncbi.nlm.nih.gov/pubmed?term=Grimwade%20D%5BAuthor%5D&amp;cauthor=true&amp;cauthor_uid=20385793" \h </w:instrText>
      </w:r>
      <w:r>
        <w:fldChar w:fldCharType="separate"/>
      </w:r>
      <w:r>
        <w:rPr>
          <w:rFonts w:ascii="Times New Roman" w:hAnsi="Times New Roman" w:cs="Times New Roman"/>
          <w:sz w:val="18"/>
          <w:szCs w:val="18"/>
        </w:rPr>
        <w:t>Grimwade D</w:t>
      </w:r>
      <w:r>
        <w:rPr>
          <w:rFonts w:ascii="Times New Roman" w:hAnsi="Times New Roman" w:cs="Times New Roman"/>
          <w:sz w:val="18"/>
          <w:szCs w:val="18"/>
        </w:rPr>
        <w:fldChar w:fldCharType="end"/>
      </w:r>
      <w:r>
        <w:rPr>
          <w:rFonts w:ascii="Times New Roman" w:hAnsi="Times New Roman" w:cs="Times New Roman"/>
          <w:sz w:val="18"/>
          <w:szCs w:val="18"/>
        </w:rPr>
        <w:t xml:space="preserve">, et al. Refinement of cytogenetic classification in acute myeloid leukemia: determination of prognostic significance of rare recurring chromosomal abnormalities among 5876 younger adult patients treated in the United Kingdom Medical Research Council trials. Blood. 2010, 116(3):354-65.  </w:t>
      </w:r>
    </w:p>
    <w:p>
      <w:pPr>
        <w:widowControl/>
        <w:numPr>
          <w:ilvl w:val="0"/>
          <w:numId w:val="21"/>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 xml:space="preserve">Mueller D, et al. Misguided Transcriptional Elongation Causes Mixed Lineage Leukemia. PLoS Biol. 2009. 7(11):e1000249.  </w:t>
      </w:r>
    </w:p>
    <w:p>
      <w:pPr>
        <w:widowControl/>
        <w:numPr>
          <w:ilvl w:val="0"/>
          <w:numId w:val="21"/>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"http://www.ncbi.nlm.nih.gov/pubmed?term=Pession%20A%5BAuthor%5D&amp;cauthor=true&amp;cauthor_uid=14647461" \h </w:instrText>
      </w:r>
      <w:r>
        <w:fldChar w:fldCharType="separate"/>
      </w:r>
      <w:r>
        <w:rPr>
          <w:rFonts w:ascii="Times New Roman" w:hAnsi="Times New Roman" w:cs="Times New Roman"/>
          <w:sz w:val="18"/>
          <w:szCs w:val="18"/>
        </w:rPr>
        <w:t>Pession A</w:t>
      </w:r>
      <w:r>
        <w:rPr>
          <w:rFonts w:ascii="Times New Roman" w:hAnsi="Times New Roman" w:cs="Times New Roman"/>
          <w:sz w:val="18"/>
          <w:szCs w:val="18"/>
        </w:rPr>
        <w:fldChar w:fldCharType="end"/>
      </w:r>
      <w:r>
        <w:rPr>
          <w:rFonts w:ascii="Times New Roman" w:hAnsi="Times New Roman" w:cs="Times New Roman"/>
          <w:sz w:val="18"/>
          <w:szCs w:val="18"/>
        </w:rPr>
        <w:t xml:space="preserve">, et al. MLL-AF9 oncogene expression affects cell growth but not terminal differentiation and is downregulated during monocyte-macrophage maturation in AML-M5 THP-1 cells. Oncogene. 2003, 22(54):8671-6.  </w:t>
      </w:r>
    </w:p>
    <w:p>
      <w:pPr>
        <w:widowControl/>
        <w:numPr>
          <w:ilvl w:val="0"/>
          <w:numId w:val="21"/>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"http://www.ncbi.nlm.nih.gov/pubmed?term=Naoe%20T%5BAuthor%5D&amp;cauthor=true&amp;cauthor_uid=23359299" \h </w:instrText>
      </w:r>
      <w:r>
        <w:fldChar w:fldCharType="separate"/>
      </w:r>
      <w:r>
        <w:rPr>
          <w:rFonts w:ascii="Times New Roman" w:hAnsi="Times New Roman" w:cs="Times New Roman"/>
          <w:sz w:val="18"/>
          <w:szCs w:val="18"/>
        </w:rPr>
        <w:t>Naoe T</w:t>
      </w:r>
      <w:r>
        <w:rPr>
          <w:rFonts w:ascii="Times New Roman" w:hAnsi="Times New Roman" w:cs="Times New Roman"/>
          <w:sz w:val="18"/>
          <w:szCs w:val="18"/>
        </w:rPr>
        <w:fldChar w:fldCharType="end"/>
      </w:r>
      <w:r>
        <w:fldChar w:fldCharType="begin"/>
      </w:r>
      <w:r>
        <w:instrText xml:space="preserve"> HYPERLINK "http://www.ncbi.nlm.nih.gov/pubmed?term=Naoe%20T%5BAuthor%5D&amp;cauthor=true&amp;cauthor_uid=23359299" \h </w:instrText>
      </w:r>
      <w:r>
        <w:fldChar w:fldCharType="separate"/>
      </w:r>
      <w:r>
        <w:rPr>
          <w:rFonts w:ascii="Times New Roman" w:hAnsi="Times New Roman" w:cs="Times New Roman"/>
          <w:sz w:val="18"/>
          <w:szCs w:val="18"/>
        </w:rPr>
        <w:t>,</w:t>
      </w:r>
      <w:r>
        <w:rPr>
          <w:rFonts w:ascii="Times New Roman" w:hAnsi="Times New Roman" w:cs="Times New Roman"/>
          <w:sz w:val="18"/>
          <w:szCs w:val="18"/>
        </w:rPr>
        <w:fldChar w:fldCharType="end"/>
      </w:r>
      <w:r>
        <w:fldChar w:fldCharType="begin"/>
      </w:r>
      <w:r>
        <w:instrText xml:space="preserve"> HYPERLINK "http://www.ncbi.nlm.nih.gov/pubmed?term=Kiyoi%20H%5BAuthor%5D&amp;cauthor=true&amp;cauthor_uid=23359299"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fldChar w:fldCharType="begin"/>
      </w:r>
      <w:r>
        <w:instrText xml:space="preserve"> HYPERLINK "http://www.ncbi.nlm.nih.gov/pubmed?term=Kiyoi%20H%5BAuthor%5D&amp;cauthor=true&amp;cauthor_uid=23359299" \h </w:instrText>
      </w:r>
      <w:r>
        <w:fldChar w:fldCharType="separate"/>
      </w:r>
      <w:r>
        <w:rPr>
          <w:rFonts w:ascii="Times New Roman" w:hAnsi="Times New Roman" w:cs="Times New Roman"/>
          <w:sz w:val="18"/>
          <w:szCs w:val="18"/>
        </w:rPr>
        <w:t>Kiyoi H.</w:t>
      </w:r>
      <w:r>
        <w:rPr>
          <w:rFonts w:ascii="Times New Roman" w:hAnsi="Times New Roman" w:cs="Times New Roman"/>
          <w:sz w:val="18"/>
          <w:szCs w:val="18"/>
        </w:rPr>
        <w:fldChar w:fldCharType="end"/>
      </w:r>
      <w:r>
        <w:rPr>
          <w:rFonts w:ascii="Times New Roman" w:hAnsi="Times New Roman" w:cs="Times New Roman"/>
          <w:sz w:val="18"/>
          <w:szCs w:val="18"/>
        </w:rPr>
        <w:t xml:space="preserve"> Gene mutations of acute myeloid leukemia in the genome era. Int J Hematol. 2013, 97(2):165-74.</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rPr>
          <w:rFonts w:ascii="微软雅黑" w:hAnsi="微软雅黑" w:eastAsia="微软雅黑" w:cs="Arial"/>
          <w:b/>
          <w:sz w:val="24"/>
          <w:szCs w:val="24"/>
        </w:rPr>
      </w:pPr>
      <w:r>
        <w:rPr>
          <w:rFonts w:ascii="微软雅黑" w:hAnsi="微软雅黑" w:eastAsia="微软雅黑" w:cs="Arial"/>
          <w:b/>
          <w:sz w:val="24"/>
          <w:szCs w:val="24"/>
        </w:rPr>
        <w:t>NRAS</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已在人类鉴定出三种不同的RAS基因：KRAS基因（与 Kirsten 大鼠肉瘤病毒致癌基因同源），HRAS（与哈维大鼠肉瘤病毒致癌基因同源），和NRAS（分离自人类神经母细胞瘤）。RAS基因高度同源但功能区分。RAS蛋白均为小的鸟苷酸结合调节蛋白，可由无活性的鸟苷二磷酸结合形式转化为活性鸟苷三磷酸结合形式。RAS蛋白是生长因子信号通路下游的中心调控者，因此对细胞增殖、存活和分化非常关键。RAS蛋白可激活多个下游效应物，包括与细胞存活相关的PI3K-AKT-mTOR途径，参与细胞增殖的 RAS-RAF-MEK-ERK通路（图示）。不同的恶性肿瘤可观察到某种RAS基因的反复突变。NRAS突变特别常见于黑色素瘤、干细胞癌、髓性白血病，以及甲状腺癌</w:t>
      </w:r>
      <w:r>
        <w:rPr>
          <w:rFonts w:ascii="微软雅黑" w:hAnsi="微软雅黑" w:eastAsia="微软雅黑" w:cs="MicrosoftYaHei"/>
          <w:kern w:val="0"/>
          <w:sz w:val="22"/>
          <w:szCs w:val="24"/>
          <w:vertAlign w:val="superscript"/>
        </w:rPr>
        <w:t xml:space="preserve"> 1</w:t>
      </w:r>
      <w:r>
        <w:rPr>
          <w:rFonts w:hint="eastAsia"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 xml:space="preserve">。 </w:t>
      </w:r>
    </w:p>
    <w:p>
      <w:pPr>
        <w:spacing w:after="208" w:line="259" w:lineRule="auto"/>
        <w:jc w:val="left"/>
        <w:rPr>
          <w:rFonts w:ascii="Arial" w:hAnsi="Arial" w:eastAsia="Arial" w:cs="Arial"/>
          <w:sz w:val="17"/>
        </w:rPr>
      </w:pPr>
      <w:r>
        <w:drawing>
          <wp:anchor distT="0" distB="0" distL="114300" distR="114300" simplePos="0" relativeHeight="251680768" behindDoc="0" locked="0" layoutInCell="1" allowOverlap="1">
            <wp:simplePos x="0" y="0"/>
            <wp:positionH relativeFrom="margin">
              <wp:align>center</wp:align>
            </wp:positionH>
            <wp:positionV relativeFrom="paragraph">
              <wp:posOffset>119380</wp:posOffset>
            </wp:positionV>
            <wp:extent cx="4400550" cy="2838450"/>
            <wp:effectExtent l="0" t="0" r="0" b="0"/>
            <wp:wrapNone/>
            <wp:docPr id="17902" name="Picture 17902"/>
            <wp:cNvGraphicFramePr/>
            <a:graphic xmlns:a="http://schemas.openxmlformats.org/drawingml/2006/main">
              <a:graphicData uri="http://schemas.openxmlformats.org/drawingml/2006/picture">
                <pic:pic xmlns:pic="http://schemas.openxmlformats.org/drawingml/2006/picture">
                  <pic:nvPicPr>
                    <pic:cNvPr id="17902" name="Picture 17902"/>
                    <pic:cNvPicPr/>
                  </pic:nvPicPr>
                  <pic:blipFill>
                    <a:blip r:embed="rId34">
                      <a:extLst>
                        <a:ext uri="{28A0092B-C50C-407E-A947-70E740481C1C}">
                          <a14:useLocalDpi xmlns:a14="http://schemas.microsoft.com/office/drawing/2010/main" val="0"/>
                        </a:ext>
                      </a:extLst>
                    </a:blip>
                    <a:stretch>
                      <a:fillRect/>
                    </a:stretch>
                  </pic:blipFill>
                  <pic:spPr>
                    <a:xfrm>
                      <a:off x="0" y="0"/>
                      <a:ext cx="4400550" cy="2838450"/>
                    </a:xfrm>
                    <a:prstGeom prst="rect">
                      <a:avLst/>
                    </a:prstGeom>
                  </pic:spPr>
                </pic:pic>
              </a:graphicData>
            </a:graphic>
          </wp:anchor>
        </w:drawing>
      </w:r>
      <w:r>
        <w:rPr>
          <w:rFonts w:ascii="Arial" w:hAnsi="Arial" w:eastAsia="Arial" w:cs="Arial"/>
          <w:sz w:val="17"/>
        </w:rPr>
        <w:t xml:space="preserve"> </w:t>
      </w:r>
    </w:p>
    <w:p>
      <w:pPr>
        <w:spacing w:after="208" w:line="259" w:lineRule="auto"/>
        <w:jc w:val="left"/>
      </w:pPr>
    </w:p>
    <w:p>
      <w:pPr>
        <w:spacing w:after="208" w:line="259" w:lineRule="auto"/>
        <w:jc w:val="left"/>
      </w:pPr>
    </w:p>
    <w:p>
      <w:pPr>
        <w:spacing w:after="208" w:line="259" w:lineRule="auto"/>
        <w:jc w:val="left"/>
      </w:pPr>
    </w:p>
    <w:p>
      <w:pPr>
        <w:spacing w:after="208" w:line="259" w:lineRule="auto"/>
        <w:jc w:val="left"/>
      </w:pPr>
    </w:p>
    <w:p>
      <w:pPr>
        <w:spacing w:after="208" w:line="259" w:lineRule="auto"/>
        <w:jc w:val="left"/>
      </w:pPr>
    </w:p>
    <w:p>
      <w:pPr>
        <w:spacing w:after="208" w:line="259" w:lineRule="auto"/>
        <w:jc w:val="left"/>
      </w:pPr>
    </w:p>
    <w:p>
      <w:pPr>
        <w:spacing w:after="208" w:line="259" w:lineRule="auto"/>
        <w:jc w:val="left"/>
      </w:pPr>
    </w:p>
    <w:p>
      <w:pPr>
        <w:spacing w:after="241" w:line="259" w:lineRule="auto"/>
        <w:ind w:right="1367"/>
        <w:jc w:val="right"/>
      </w:pPr>
      <w:r>
        <w:rPr>
          <w:rFonts w:ascii="Arial" w:hAnsi="Arial" w:eastAsia="Arial" w:cs="Arial"/>
          <w:sz w:val="17"/>
        </w:rPr>
        <w:t xml:space="preserve"> </w:t>
      </w:r>
    </w:p>
    <w:p>
      <w:pPr>
        <w:spacing w:after="12" w:line="265" w:lineRule="auto"/>
        <w:ind w:left="216" w:right="420" w:hanging="10"/>
        <w:jc w:val="center"/>
      </w:pPr>
      <w:r>
        <w:rPr>
          <w:rFonts w:ascii="微软雅黑" w:hAnsi="微软雅黑" w:eastAsia="微软雅黑" w:cs="微软雅黑"/>
          <w:b/>
          <w:sz w:val="18"/>
        </w:rPr>
        <w:t>图示：</w:t>
      </w:r>
      <w:r>
        <w:rPr>
          <w:rFonts w:ascii="微软雅黑" w:hAnsi="微软雅黑" w:eastAsia="微软雅黑" w:cs="微软雅黑"/>
          <w:sz w:val="18"/>
        </w:rPr>
        <w:t xml:space="preserve">突变 </w:t>
      </w:r>
      <w:r>
        <w:rPr>
          <w:sz w:val="18"/>
        </w:rPr>
        <w:t xml:space="preserve">NARS </w:t>
      </w:r>
      <w:r>
        <w:rPr>
          <w:rFonts w:ascii="微软雅黑" w:hAnsi="微软雅黑" w:eastAsia="微软雅黑" w:cs="微软雅黑"/>
          <w:sz w:val="18"/>
        </w:rPr>
        <w:t>导致黑色素细胞癌变</w:t>
      </w:r>
      <w:r>
        <w:rPr>
          <w:sz w:val="18"/>
        </w:rPr>
        <w:t xml:space="preserve"> </w:t>
      </w:r>
    </w:p>
    <w:p>
      <w:pPr>
        <w:spacing w:line="259" w:lineRule="auto"/>
        <w:ind w:right="169"/>
        <w:jc w:val="center"/>
      </w:pPr>
      <w:r>
        <w:rPr>
          <w:sz w:val="18"/>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22"/>
        </w:numPr>
        <w:spacing w:after="3" w:line="247" w:lineRule="auto"/>
        <w:ind w:right="202" w:hanging="420"/>
      </w:pPr>
      <w:r>
        <w:fldChar w:fldCharType="begin"/>
      </w:r>
      <w:r>
        <w:instrText xml:space="preserve"> HYPERLINK "http://www.ncbi.nlm.nih.gov/pubmed?term=Schubbert%20S%5BAuthor%5D&amp;cauthor=true&amp;cauthor_uid=17384584" \h </w:instrText>
      </w:r>
      <w:r>
        <w:fldChar w:fldCharType="separate"/>
      </w:r>
      <w:r>
        <w:t>Schubbert S</w:t>
      </w:r>
      <w:r>
        <w:fldChar w:fldCharType="end"/>
      </w:r>
      <w:r>
        <w:t xml:space="preserve">, et al. Hyperactive Ras in developmental disorders and cancer. Nat Rev Cancer. 2007, 7(4):295-308. </w:t>
      </w:r>
    </w:p>
    <w:p>
      <w:pPr>
        <w:widowControl/>
        <w:numPr>
          <w:ilvl w:val="0"/>
          <w:numId w:val="22"/>
        </w:numPr>
        <w:spacing w:after="3" w:line="247" w:lineRule="auto"/>
        <w:ind w:right="202" w:hanging="420"/>
      </w:pPr>
      <w:r>
        <w:t>Huang PH, Marais R. Cancer: Melanoma troops massed. Nature. 2009, 459(7245):336-7.</w:t>
      </w:r>
    </w:p>
    <w:p>
      <w:pPr>
        <w:widowControl/>
        <w:jc w:val="left"/>
      </w:pPr>
      <w:r>
        <w:br w:type="page"/>
      </w:r>
    </w:p>
    <w:p>
      <w:pPr>
        <w:spacing w:after="38" w:line="259" w:lineRule="auto"/>
        <w:ind w:left="-5" w:hanging="10"/>
        <w:jc w:val="center"/>
        <w:rPr>
          <w:rFonts w:ascii="微软雅黑" w:hAnsi="微软雅黑" w:eastAsia="微软雅黑" w:cs="Arial"/>
          <w:b/>
          <w:sz w:val="24"/>
          <w:szCs w:val="24"/>
        </w:rPr>
      </w:pPr>
      <w:r>
        <w:rPr>
          <w:rFonts w:ascii="微软雅黑" w:hAnsi="微软雅黑" w:eastAsia="微软雅黑" w:cs="Arial"/>
          <w:b/>
          <w:sz w:val="24"/>
          <w:szCs w:val="24"/>
        </w:rPr>
        <w:t>PDGFRA</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血小板衍生生长因子受体α（PDGFRA）属于受体酪氨酸激酶（RTK）家族，包括PDGFRA 和PDGFRB。与配体如血小板衍生生长因子（PDGF）的结合，诱导构象变化从而形成同源或异源二聚体，这样活化PDGFRA 酪氨酸激酶活性（图示）。活化的PDGFRA 然后磷酸化其底物，导致细胞中多个下游途径的激活，包括与细胞存活有关的PI3K-AKT-mTOR途径，和涉及细胞增殖的RAS-RAF-MEKERK通路。突变体PDGFRA被报道参与了一些癌症的发病。如突变可见于胃肠道间质瘤（GIST）</w:t>
      </w:r>
      <w:r>
        <w:rPr>
          <w:rFonts w:ascii="微软雅黑" w:hAnsi="微软雅黑" w:eastAsia="微软雅黑" w:cs="MicrosoftYaHei"/>
          <w:kern w:val="0"/>
          <w:sz w:val="22"/>
          <w:szCs w:val="24"/>
          <w:vertAlign w:val="superscript"/>
        </w:rPr>
        <w:t>1，2</w:t>
      </w:r>
      <w:r>
        <w:rPr>
          <w:rFonts w:ascii="微软雅黑" w:hAnsi="微软雅黑" w:eastAsia="微软雅黑" w:cs="MicrosoftYaHei"/>
          <w:kern w:val="0"/>
          <w:sz w:val="22"/>
          <w:szCs w:val="24"/>
        </w:rPr>
        <w:t>，基因融合见于嗜酸性粒细胞增多综合征</w:t>
      </w:r>
      <w:r>
        <w:rPr>
          <w:rFonts w:ascii="微软雅黑" w:hAnsi="微软雅黑" w:eastAsia="微软雅黑" w:cs="MicrosoftYaHei"/>
          <w:kern w:val="0"/>
          <w:sz w:val="22"/>
          <w:szCs w:val="24"/>
          <w:vertAlign w:val="superscript"/>
        </w:rPr>
        <w:t>3</w:t>
      </w:r>
      <w:r>
        <w:rPr>
          <w:rFonts w:ascii="微软雅黑" w:hAnsi="微软雅黑" w:eastAsia="微软雅黑" w:cs="MicrosoftYaHei"/>
          <w:kern w:val="0"/>
          <w:sz w:val="22"/>
          <w:szCs w:val="24"/>
        </w:rPr>
        <w:t>和隆突皮肤纤维肉瘤</w:t>
      </w:r>
      <w:r>
        <w:rPr>
          <w:rFonts w:ascii="微软雅黑" w:hAnsi="微软雅黑" w:eastAsia="微软雅黑" w:cs="MicrosoftYaHei"/>
          <w:kern w:val="0"/>
          <w:sz w:val="22"/>
          <w:szCs w:val="24"/>
          <w:vertAlign w:val="superscript"/>
        </w:rPr>
        <w:t>4</w:t>
      </w:r>
      <w:r>
        <w:rPr>
          <w:rFonts w:ascii="微软雅黑" w:hAnsi="微软雅黑" w:eastAsia="微软雅黑" w:cs="MicrosoftYaHei"/>
          <w:kern w:val="0"/>
          <w:sz w:val="22"/>
          <w:szCs w:val="24"/>
        </w:rPr>
        <w:t>。5%的GIST患者能检测到PDGFRA基因突变，大部分是胃性GIST。PDGFRA基因突变主要在其18外显子（也就是酪氨酸激酶 2功能域，约5%）、12外显子上（近膜功能域，约1%）、14外显子（也就是酪氨酸激酶1功能域，少于1%）。除D842V外，18号外显子其它的突变均对伊马替尼（imatinib）敏感</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 xml:space="preserve">。 </w:t>
      </w:r>
    </w:p>
    <w:p>
      <w:pPr>
        <w:spacing w:after="245" w:line="259" w:lineRule="auto"/>
        <w:ind w:right="139"/>
        <w:jc w:val="center"/>
      </w:pPr>
      <w:r>
        <w:drawing>
          <wp:inline distT="0" distB="0" distL="0" distR="0">
            <wp:extent cx="1771650" cy="2409825"/>
            <wp:effectExtent l="0" t="0" r="0" b="0"/>
            <wp:docPr id="18082" name="Picture 18082"/>
            <wp:cNvGraphicFramePr/>
            <a:graphic xmlns:a="http://schemas.openxmlformats.org/drawingml/2006/main">
              <a:graphicData uri="http://schemas.openxmlformats.org/drawingml/2006/picture">
                <pic:pic xmlns:pic="http://schemas.openxmlformats.org/drawingml/2006/picture">
                  <pic:nvPicPr>
                    <pic:cNvPr id="18082" name="Picture 18082"/>
                    <pic:cNvPicPr/>
                  </pic:nvPicPr>
                  <pic:blipFill>
                    <a:blip r:embed="rId35"/>
                    <a:stretch>
                      <a:fillRect/>
                    </a:stretch>
                  </pic:blipFill>
                  <pic:spPr>
                    <a:xfrm>
                      <a:off x="0" y="0"/>
                      <a:ext cx="1771650" cy="2409825"/>
                    </a:xfrm>
                    <a:prstGeom prst="rect">
                      <a:avLst/>
                    </a:prstGeom>
                  </pic:spPr>
                </pic:pic>
              </a:graphicData>
            </a:graphic>
          </wp:inline>
        </w:drawing>
      </w:r>
      <w:r>
        <w:rPr>
          <w:rFonts w:ascii="Arial" w:hAnsi="Arial" w:eastAsia="Arial" w:cs="Arial"/>
          <w:sz w:val="17"/>
        </w:rPr>
        <w:t xml:space="preserve"> </w:t>
      </w:r>
    </w:p>
    <w:p>
      <w:pPr>
        <w:spacing w:after="255" w:line="265" w:lineRule="auto"/>
        <w:ind w:left="216" w:right="425" w:hanging="10"/>
        <w:jc w:val="center"/>
      </w:pPr>
      <w:r>
        <w:rPr>
          <w:rFonts w:ascii="微软雅黑" w:hAnsi="微软雅黑" w:eastAsia="微软雅黑" w:cs="微软雅黑"/>
          <w:sz w:val="18"/>
        </w:rPr>
        <w:t>图示：</w:t>
      </w:r>
      <w:r>
        <w:rPr>
          <w:sz w:val="18"/>
        </w:rPr>
        <w:t>PDGFRA</w:t>
      </w:r>
      <w:r>
        <w:rPr>
          <w:rFonts w:ascii="微软雅黑" w:hAnsi="微软雅黑" w:eastAsia="微软雅黑" w:cs="微软雅黑"/>
          <w:sz w:val="18"/>
        </w:rPr>
        <w:t>信号传递途径</w:t>
      </w:r>
      <w:r>
        <w:rPr>
          <w:sz w:val="18"/>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23"/>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 xml:space="preserve">Corless CL, et al. PDGFRA mutations in gastrointestinal stromal tumors: frequency, spectrum and in vitro sensitivity to imatinib. J Clin Oncol. 2005, 23(23):5357-64. </w:t>
      </w:r>
    </w:p>
    <w:p>
      <w:pPr>
        <w:widowControl/>
        <w:numPr>
          <w:ilvl w:val="0"/>
          <w:numId w:val="23"/>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"http://www.ncbi.nlm.nih.gov/pubmed?term=Heinrich%20MC%5BAuthor%5D&amp;cauthor=true&amp;cauthor_uid=12522257" \h </w:instrText>
      </w:r>
      <w:r>
        <w:fldChar w:fldCharType="separate"/>
      </w:r>
      <w:r>
        <w:rPr>
          <w:rFonts w:ascii="Times New Roman" w:hAnsi="Times New Roman" w:cs="Times New Roman"/>
          <w:sz w:val="18"/>
          <w:szCs w:val="18"/>
        </w:rPr>
        <w:t>Heinrich M</w:t>
      </w:r>
      <w:r>
        <w:rPr>
          <w:rFonts w:ascii="Times New Roman" w:hAnsi="Times New Roman" w:cs="Times New Roman"/>
          <w:sz w:val="18"/>
          <w:szCs w:val="18"/>
        </w:rPr>
        <w:fldChar w:fldCharType="end"/>
      </w:r>
      <w:r>
        <w:rPr>
          <w:rFonts w:ascii="Times New Roman" w:hAnsi="Times New Roman" w:cs="Times New Roman"/>
          <w:sz w:val="18"/>
          <w:szCs w:val="18"/>
        </w:rPr>
        <w:t xml:space="preserve">C, et al. PDGFRA activating mutations in gastrointestinal stromal tumors. Science. 2003, 299(5607):708-10. </w:t>
      </w:r>
    </w:p>
    <w:p>
      <w:pPr>
        <w:widowControl/>
        <w:numPr>
          <w:ilvl w:val="0"/>
          <w:numId w:val="23"/>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"http://www.ncbi.nlm.nih.gov/pubmed?term=Cools%20J%5BAuthor%5D&amp;cauthor=true&amp;cauthor_uid=12660384" \h </w:instrText>
      </w:r>
      <w:r>
        <w:fldChar w:fldCharType="separate"/>
      </w:r>
      <w:r>
        <w:rPr>
          <w:rFonts w:ascii="Times New Roman" w:hAnsi="Times New Roman" w:cs="Times New Roman"/>
          <w:sz w:val="18"/>
          <w:szCs w:val="18"/>
        </w:rPr>
        <w:t>Cools J</w:t>
      </w:r>
      <w:r>
        <w:rPr>
          <w:rFonts w:ascii="Times New Roman" w:hAnsi="Times New Roman" w:cs="Times New Roman"/>
          <w:sz w:val="18"/>
          <w:szCs w:val="18"/>
        </w:rPr>
        <w:fldChar w:fldCharType="end"/>
      </w:r>
      <w:r>
        <w:rPr>
          <w:rFonts w:ascii="Times New Roman" w:hAnsi="Times New Roman" w:cs="Times New Roman"/>
          <w:sz w:val="18"/>
          <w:szCs w:val="18"/>
        </w:rPr>
        <w:t xml:space="preserve">, et al. A tyrosine kinase created by fusion of the PDGFRA and FIP1L1 genes as a therapeutic target of imatinib in idiopathic hypereosinophilic syndrome. N Engl J Med. 2003, 348(13):1201-14. </w:t>
      </w:r>
    </w:p>
    <w:p>
      <w:pPr>
        <w:widowControl/>
        <w:numPr>
          <w:ilvl w:val="0"/>
          <w:numId w:val="23"/>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"http://www.ncbi.nlm.nih.gov/pubmed?term=Simon%20MP%5BAuthor%5D&amp;cauthor=true&amp;cauthor_uid=8988177" \h </w:instrText>
      </w:r>
      <w:r>
        <w:fldChar w:fldCharType="separate"/>
      </w:r>
      <w:r>
        <w:rPr>
          <w:rFonts w:ascii="Times New Roman" w:hAnsi="Times New Roman" w:cs="Times New Roman"/>
          <w:sz w:val="18"/>
          <w:szCs w:val="18"/>
        </w:rPr>
        <w:t>Simon MP, e</w:t>
      </w:r>
      <w:r>
        <w:rPr>
          <w:rFonts w:ascii="Times New Roman" w:hAnsi="Times New Roman" w:cs="Times New Roman"/>
          <w:sz w:val="18"/>
          <w:szCs w:val="18"/>
        </w:rPr>
        <w:fldChar w:fldCharType="end"/>
      </w:r>
      <w:r>
        <w:rPr>
          <w:rFonts w:ascii="Times New Roman" w:hAnsi="Times New Roman" w:cs="Times New Roman"/>
          <w:sz w:val="18"/>
          <w:szCs w:val="18"/>
        </w:rPr>
        <w:t>t al. Deregulation of the platelet-derived growth factor B-chain gene via fusion with collagen gene COL1A1 in dermatofibrosarcoma protuberans and giant-cell fibroblastoma. Nat Genet. 1997, 15(1):95-8.</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rPr>
          <w:rFonts w:ascii="微软雅黑" w:hAnsi="微软雅黑" w:eastAsia="微软雅黑" w:cs="Arial"/>
          <w:b/>
          <w:sz w:val="24"/>
          <w:szCs w:val="24"/>
        </w:rPr>
      </w:pPr>
      <w:r>
        <w:rPr>
          <w:rFonts w:ascii="微软雅黑" w:hAnsi="微软雅黑" w:eastAsia="微软雅黑" w:cs="Arial"/>
          <w:b/>
          <w:sz w:val="24"/>
          <w:szCs w:val="24"/>
        </w:rPr>
        <w:t xml:space="preserve">PIK3CA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 xml:space="preserve">磷脂酰肌醇3 -激酶（PI3K）属于脂质激酶家族的一种，参与许多细胞过程，包括细胞生长、增殖、分化、迁移和存活等。PI3K由2个非同源亚基组成，包括一个85 kDa 的调节亚基（p85）和110 kDa的催化亚基。PIK3CA基因编码p110α催化亚基。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在细胞膜内侧</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PI3K转换PI（4,5）P2[磷脂酰肌醇4,5 -二磷酸]为PI（3,4,5）P3[磷脂酰肌醇（3,4,5）-三磷酸]。PI（3,4,5）P3可富集重要的下游信号转导蛋白例如AKT到细胞膜区域，从而使这些蛋白活性增加。PIK3CA基因突变被报道参与多种癌症的发病机制（图示），包括结肠癌、神经胶质瘤、胃癌、乳腺癌</w:t>
      </w:r>
      <w:r>
        <w:rPr>
          <w:rFonts w:hint="eastAsia" w:ascii="微软雅黑" w:hAnsi="微软雅黑" w:eastAsia="微软雅黑" w:cs="MicrosoftYaHei"/>
          <w:kern w:val="0"/>
          <w:sz w:val="22"/>
          <w:szCs w:val="24"/>
        </w:rPr>
        <w:t>、</w:t>
      </w:r>
      <w:r>
        <w:rPr>
          <w:rFonts w:ascii="微软雅黑" w:hAnsi="微软雅黑" w:eastAsia="微软雅黑" w:cs="MicrosoftYaHei"/>
          <w:kern w:val="0"/>
          <w:sz w:val="22"/>
          <w:szCs w:val="24"/>
        </w:rPr>
        <w:t xml:space="preserve">子宫内膜癌和肺癌 </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 xml:space="preserve">。 </w:t>
      </w:r>
    </w:p>
    <w:p>
      <w:pPr>
        <w:spacing w:after="190" w:line="259" w:lineRule="auto"/>
        <w:ind w:right="124"/>
        <w:jc w:val="center"/>
      </w:pPr>
      <w:r>
        <w:drawing>
          <wp:inline distT="0" distB="0" distL="0" distR="0">
            <wp:extent cx="2895600" cy="2876550"/>
            <wp:effectExtent l="0" t="0" r="0" b="0"/>
            <wp:docPr id="18217" name="Picture 18217"/>
            <wp:cNvGraphicFramePr/>
            <a:graphic xmlns:a="http://schemas.openxmlformats.org/drawingml/2006/main">
              <a:graphicData uri="http://schemas.openxmlformats.org/drawingml/2006/picture">
                <pic:pic xmlns:pic="http://schemas.openxmlformats.org/drawingml/2006/picture">
                  <pic:nvPicPr>
                    <pic:cNvPr id="18217" name="Picture 18217"/>
                    <pic:cNvPicPr/>
                  </pic:nvPicPr>
                  <pic:blipFill>
                    <a:blip r:embed="rId36"/>
                    <a:stretch>
                      <a:fillRect/>
                    </a:stretch>
                  </pic:blipFill>
                  <pic:spPr>
                    <a:xfrm>
                      <a:off x="0" y="0"/>
                      <a:ext cx="2895600" cy="2876550"/>
                    </a:xfrm>
                    <a:prstGeom prst="rect">
                      <a:avLst/>
                    </a:prstGeom>
                  </pic:spPr>
                </pic:pic>
              </a:graphicData>
            </a:graphic>
          </wp:inline>
        </w:drawing>
      </w:r>
      <w:r>
        <w:rPr>
          <w:rFonts w:ascii="Arial" w:hAnsi="Arial" w:eastAsia="Arial" w:cs="Arial"/>
          <w:sz w:val="22"/>
        </w:rPr>
        <w:t xml:space="preserve"> </w:t>
      </w:r>
    </w:p>
    <w:p>
      <w:pPr>
        <w:spacing w:after="355" w:line="265" w:lineRule="auto"/>
        <w:ind w:left="10" w:right="217" w:hanging="10"/>
        <w:jc w:val="center"/>
        <w:rPr>
          <w:rFonts w:ascii="微软雅黑" w:hAnsi="微软雅黑" w:eastAsia="微软雅黑"/>
        </w:rPr>
      </w:pPr>
      <w:r>
        <w:rPr>
          <w:rFonts w:ascii="微软雅黑" w:hAnsi="微软雅黑" w:eastAsia="微软雅黑" w:cs="微软雅黑"/>
          <w:sz w:val="18"/>
        </w:rPr>
        <w:t>图示：</w:t>
      </w:r>
      <w:r>
        <w:rPr>
          <w:rFonts w:ascii="微软雅黑" w:hAnsi="微软雅黑" w:eastAsia="微软雅黑"/>
          <w:color w:val="222222"/>
          <w:sz w:val="18"/>
        </w:rPr>
        <w:t>PIK3CA</w:t>
      </w:r>
      <w:r>
        <w:rPr>
          <w:rFonts w:ascii="微软雅黑" w:hAnsi="微软雅黑" w:eastAsia="微软雅黑" w:cs="微软雅黑"/>
          <w:color w:val="222222"/>
          <w:sz w:val="18"/>
        </w:rPr>
        <w:t>基因突变参与细胞癌变</w:t>
      </w:r>
      <w:r>
        <w:rPr>
          <w:rFonts w:ascii="微软雅黑" w:hAnsi="微软雅黑" w:eastAsia="微软雅黑"/>
          <w:sz w:val="18"/>
        </w:rPr>
        <w:t xml:space="preserve"> </w:t>
      </w:r>
    </w:p>
    <w:p>
      <w:pPr>
        <w:spacing w:after="82" w:line="259" w:lineRule="auto"/>
        <w:jc w:val="left"/>
      </w:pPr>
      <w:r>
        <w:rPr>
          <w:rFonts w:ascii="微软雅黑" w:hAnsi="微软雅黑" w:eastAsia="微软雅黑" w:cs="微软雅黑"/>
        </w:rPr>
        <w:t xml:space="preserve"> </w:t>
      </w:r>
    </w:p>
    <w:p>
      <w:pPr>
        <w:spacing w:line="259" w:lineRule="auto"/>
        <w:ind w:left="-5" w:right="197" w:hanging="10"/>
      </w:pPr>
      <w:r>
        <w:rPr>
          <w:rFonts w:ascii="微软雅黑" w:hAnsi="微软雅黑" w:eastAsia="微软雅黑" w:cs="微软雅黑"/>
        </w:rPr>
        <w:t xml:space="preserve">参考文献 </w:t>
      </w:r>
    </w:p>
    <w:p>
      <w:pPr>
        <w:spacing w:after="210"/>
        <w:ind w:right="202"/>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eastAsia="Arial" w:cs="Times New Roman"/>
          <w:sz w:val="18"/>
          <w:szCs w:val="18"/>
        </w:rPr>
        <w:t xml:space="preserve"> </w:t>
      </w:r>
      <w:r>
        <w:fldChar w:fldCharType="begin"/>
      </w:r>
      <w:r>
        <w:instrText xml:space="preserve"> HYPERLINK "http://www.ncbi.nlm.nih.gov/pubmed?term=Samuels%20Y%5BAuthor%5D&amp;cauthor=true&amp;cauthor_uid=15016963" \h </w:instrText>
      </w:r>
      <w:r>
        <w:fldChar w:fldCharType="separate"/>
      </w:r>
      <w:r>
        <w:rPr>
          <w:rFonts w:ascii="Times New Roman" w:hAnsi="Times New Roman" w:cs="Times New Roman"/>
          <w:sz w:val="18"/>
          <w:szCs w:val="18"/>
        </w:rPr>
        <w:t>Samuels Y</w:t>
      </w:r>
      <w:r>
        <w:rPr>
          <w:rFonts w:ascii="Times New Roman" w:hAnsi="Times New Roman" w:cs="Times New Roman"/>
          <w:sz w:val="18"/>
          <w:szCs w:val="18"/>
        </w:rPr>
        <w:fldChar w:fldCharType="end"/>
      </w:r>
      <w:r>
        <w:rPr>
          <w:rFonts w:ascii="Times New Roman" w:hAnsi="Times New Roman" w:cs="Times New Roman"/>
          <w:sz w:val="18"/>
          <w:szCs w:val="18"/>
        </w:rPr>
        <w:t xml:space="preserve">, et al. High frequency of mutations of the PIK3CA gene in human cancers. Science. 2004, 304(5670):554. </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pPr>
      <w:r>
        <w:rPr>
          <w:rFonts w:ascii="微软雅黑" w:hAnsi="微软雅黑" w:eastAsia="微软雅黑" w:cs="Arial"/>
          <w:b/>
          <w:sz w:val="24"/>
          <w:szCs w:val="24"/>
        </w:rPr>
        <w:t>PTEN</w:t>
      </w:r>
      <w:r>
        <w:rPr>
          <w:rFonts w:ascii="Arial" w:hAnsi="Arial" w:eastAsia="Arial" w:cs="Arial"/>
          <w:sz w:val="22"/>
        </w:rPr>
        <w:t xml:space="preserve">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 xml:space="preserve">PTEN（磷酸酶和张力蛋白同源物，10号染色体删除）是一种脂质/蛋白质磷酸，在生长、增殖、存活和维持基因组完整性等多种细胞过程起作用。PTEN是一种肿瘤抑制因子，通过对细胞膜上磷脂酰肌醇（3,4,5）-三磷酸（PIP3）的去磷酸化负调控PI3K/AKT 信号传导途径实现功能。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癌症相关PTEN基因的变异经常导致基因失活，从而PI3K-AKT通路活性增加。PTEN 基因体细胞突变可发生于多种恶性肿瘤，包括神经胶质瘤、黑色素瘤、前列腺癌、子宫内膜癌、乳腺癌、卵巢癌、肾癌和肺癌。PTEN基因胚系突变导致遗传性错构瘤和考登综合征</w:t>
      </w:r>
      <w:r>
        <w:rPr>
          <w:rFonts w:ascii="微软雅黑" w:hAnsi="微软雅黑" w:eastAsia="微软雅黑" w:cs="MicrosoftYaHei"/>
          <w:kern w:val="0"/>
          <w:sz w:val="22"/>
          <w:szCs w:val="24"/>
          <w:vertAlign w:val="superscript"/>
        </w:rPr>
        <w:t>1，2</w:t>
      </w:r>
      <w:r>
        <w:rPr>
          <w:rFonts w:ascii="微软雅黑" w:hAnsi="微软雅黑" w:eastAsia="微软雅黑" w:cs="MicrosoftYaHei"/>
          <w:kern w:val="0"/>
          <w:sz w:val="22"/>
          <w:szCs w:val="24"/>
        </w:rPr>
        <w:t>。也可通过其他机制如表观遗传学改变或翻译后修饰丢失PTEN的活性</w:t>
      </w:r>
      <w:r>
        <w:rPr>
          <w:rFonts w:ascii="微软雅黑" w:hAnsi="微软雅黑" w:eastAsia="微软雅黑" w:cs="MicrosoftYaHei"/>
          <w:kern w:val="0"/>
          <w:sz w:val="22"/>
          <w:szCs w:val="24"/>
          <w:vertAlign w:val="superscript"/>
        </w:rPr>
        <w:t>3</w:t>
      </w:r>
      <w:r>
        <w:rPr>
          <w:rFonts w:ascii="微软雅黑" w:hAnsi="微软雅黑" w:eastAsia="微软雅黑" w:cs="MicrosoftYaHei"/>
          <w:kern w:val="0"/>
          <w:sz w:val="22"/>
          <w:szCs w:val="24"/>
        </w:rPr>
        <w:t xml:space="preserve">。免疫化学方法是一种鉴定PTEN表达的常用方式，若低表达则经常被认为是PTEN表达丢失，会导致PI3K- AKT途径活性增加（图示）。 </w:t>
      </w:r>
    </w:p>
    <w:p>
      <w:pPr>
        <w:spacing w:after="188" w:line="259" w:lineRule="auto"/>
        <w:ind w:left="1845"/>
        <w:jc w:val="left"/>
      </w:pPr>
      <w:r>
        <w:drawing>
          <wp:inline distT="0" distB="0" distL="0" distR="0">
            <wp:extent cx="3619500" cy="2876550"/>
            <wp:effectExtent l="0" t="0" r="0" b="0"/>
            <wp:docPr id="18377" name="Picture 18377"/>
            <wp:cNvGraphicFramePr/>
            <a:graphic xmlns:a="http://schemas.openxmlformats.org/drawingml/2006/main">
              <a:graphicData uri="http://schemas.openxmlformats.org/drawingml/2006/picture">
                <pic:pic xmlns:pic="http://schemas.openxmlformats.org/drawingml/2006/picture">
                  <pic:nvPicPr>
                    <pic:cNvPr id="18377" name="Picture 18377"/>
                    <pic:cNvPicPr/>
                  </pic:nvPicPr>
                  <pic:blipFill>
                    <a:blip r:embed="rId37"/>
                    <a:stretch>
                      <a:fillRect/>
                    </a:stretch>
                  </pic:blipFill>
                  <pic:spPr>
                    <a:xfrm>
                      <a:off x="0" y="0"/>
                      <a:ext cx="3619500" cy="2876550"/>
                    </a:xfrm>
                    <a:prstGeom prst="rect">
                      <a:avLst/>
                    </a:prstGeom>
                  </pic:spPr>
                </pic:pic>
              </a:graphicData>
            </a:graphic>
          </wp:inline>
        </w:drawing>
      </w:r>
      <w:r>
        <w:rPr>
          <w:rFonts w:ascii="Arial" w:hAnsi="Arial" w:eastAsia="Arial" w:cs="Arial"/>
          <w:sz w:val="22"/>
        </w:rPr>
        <w:t xml:space="preserve"> </w:t>
      </w:r>
    </w:p>
    <w:p>
      <w:pPr>
        <w:spacing w:after="114" w:line="264" w:lineRule="auto"/>
        <w:ind w:left="10" w:right="216" w:hanging="10"/>
        <w:jc w:val="center"/>
        <w:rPr>
          <w:rFonts w:ascii="微软雅黑" w:hAnsi="微软雅黑" w:eastAsia="微软雅黑"/>
        </w:rPr>
      </w:pPr>
      <w:r>
        <w:rPr>
          <w:rFonts w:ascii="微软雅黑" w:hAnsi="微软雅黑" w:eastAsia="微软雅黑" w:cs="微软雅黑"/>
          <w:sz w:val="18"/>
        </w:rPr>
        <w:t>图示：</w:t>
      </w:r>
      <w:r>
        <w:rPr>
          <w:rFonts w:ascii="微软雅黑" w:hAnsi="微软雅黑" w:eastAsia="微软雅黑"/>
          <w:sz w:val="18"/>
        </w:rPr>
        <w:t>PTEN</w:t>
      </w:r>
      <w:r>
        <w:rPr>
          <w:rFonts w:ascii="微软雅黑" w:hAnsi="微软雅黑" w:eastAsia="微软雅黑" w:cs="微软雅黑"/>
          <w:sz w:val="18"/>
        </w:rPr>
        <w:t>与</w:t>
      </w:r>
      <w:r>
        <w:rPr>
          <w:rFonts w:ascii="微软雅黑" w:hAnsi="微软雅黑" w:eastAsia="微软雅黑"/>
          <w:color w:val="222222"/>
          <w:sz w:val="18"/>
        </w:rPr>
        <w:t>PI3K-AKT</w:t>
      </w:r>
      <w:r>
        <w:rPr>
          <w:rFonts w:ascii="微软雅黑" w:hAnsi="微软雅黑" w:eastAsia="微软雅黑" w:cs="微软雅黑"/>
          <w:color w:val="222222"/>
          <w:sz w:val="18"/>
        </w:rPr>
        <w:t>途径</w:t>
      </w:r>
      <w:r>
        <w:rPr>
          <w:rFonts w:ascii="微软雅黑" w:hAnsi="微软雅黑" w:eastAsia="微软雅黑"/>
          <w:color w:val="222222"/>
          <w:sz w:val="18"/>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24"/>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"http://www.ncbi.nlm.nih.gov/pubmed?term=Chalhoub%20N%5BAuthor%5D&amp;cauthor=true&amp;cauthor_uid=18767981" \h </w:instrText>
      </w:r>
      <w:r>
        <w:fldChar w:fldCharType="separate"/>
      </w:r>
      <w:r>
        <w:rPr>
          <w:rFonts w:ascii="Times New Roman" w:hAnsi="Times New Roman" w:cs="Times New Roman"/>
          <w:sz w:val="18"/>
          <w:szCs w:val="18"/>
        </w:rPr>
        <w:t>Chalhoub N</w:t>
      </w:r>
      <w:r>
        <w:rPr>
          <w:rFonts w:ascii="Times New Roman" w:hAnsi="Times New Roman" w:cs="Times New Roman"/>
          <w:sz w:val="18"/>
          <w:szCs w:val="18"/>
        </w:rPr>
        <w:fldChar w:fldCharType="end"/>
      </w:r>
      <w:r>
        <w:fldChar w:fldCharType="begin"/>
      </w:r>
      <w:r>
        <w:instrText xml:space="preserve"> HYPERLINK "http://www.ncbi.nlm.nih.gov/pubmed?term=Chalhoub%20N%5BAuthor%5D&amp;cauthor=true&amp;cauthor_uid=18767981" \h </w:instrText>
      </w:r>
      <w:r>
        <w:fldChar w:fldCharType="separate"/>
      </w:r>
      <w:r>
        <w:rPr>
          <w:rFonts w:ascii="Times New Roman" w:hAnsi="Times New Roman" w:cs="Times New Roman"/>
          <w:sz w:val="18"/>
          <w:szCs w:val="18"/>
        </w:rPr>
        <w:t>,</w:t>
      </w:r>
      <w:r>
        <w:rPr>
          <w:rFonts w:ascii="Times New Roman" w:hAnsi="Times New Roman" w:cs="Times New Roman"/>
          <w:sz w:val="18"/>
          <w:szCs w:val="18"/>
        </w:rPr>
        <w:fldChar w:fldCharType="end"/>
      </w:r>
      <w:r>
        <w:fldChar w:fldCharType="begin"/>
      </w:r>
      <w:r>
        <w:instrText xml:space="preserve"> HYPERLINK "http://www.ncbi.nlm.nih.gov/pubmed?term=Baker%20SJ%5BAuthor%5D&amp;cauthor=true&amp;cauthor_uid=18767981"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fldChar w:fldCharType="begin"/>
      </w:r>
      <w:r>
        <w:instrText xml:space="preserve"> HYPERLINK "http://www.ncbi.nlm.nih.gov/pubmed?term=Baker%20SJ%5BAuthor%5D&amp;cauthor=true&amp;cauthor_uid=18767981" \h </w:instrText>
      </w:r>
      <w:r>
        <w:fldChar w:fldCharType="separate"/>
      </w:r>
      <w:r>
        <w:rPr>
          <w:rFonts w:ascii="Times New Roman" w:hAnsi="Times New Roman" w:cs="Times New Roman"/>
          <w:sz w:val="18"/>
          <w:szCs w:val="18"/>
        </w:rPr>
        <w:t>Baker SJ.</w:t>
      </w:r>
      <w:r>
        <w:rPr>
          <w:rFonts w:ascii="Times New Roman" w:hAnsi="Times New Roman" w:cs="Times New Roman"/>
          <w:sz w:val="18"/>
          <w:szCs w:val="18"/>
        </w:rPr>
        <w:fldChar w:fldCharType="end"/>
      </w:r>
      <w:r>
        <w:rPr>
          <w:rFonts w:ascii="Times New Roman" w:hAnsi="Times New Roman" w:cs="Times New Roman"/>
          <w:sz w:val="18"/>
          <w:szCs w:val="18"/>
        </w:rPr>
        <w:t xml:space="preserve"> PTEN and the PI3-kinase pathway in cancer. Annu Rev Pathol. 2009, 4:127-50. </w:t>
      </w:r>
    </w:p>
    <w:p>
      <w:pPr>
        <w:widowControl/>
        <w:numPr>
          <w:ilvl w:val="0"/>
          <w:numId w:val="24"/>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"http://www.ncbi.nlm.nih.gov/pubmed?term=Maehama%20T%5BAuthor%5D&amp;cauthor=true&amp;cauthor_uid=17827710" \h </w:instrText>
      </w:r>
      <w:r>
        <w:fldChar w:fldCharType="separate"/>
      </w:r>
      <w:r>
        <w:rPr>
          <w:rFonts w:ascii="Times New Roman" w:hAnsi="Times New Roman" w:cs="Times New Roman"/>
          <w:sz w:val="18"/>
          <w:szCs w:val="18"/>
        </w:rPr>
        <w:t>Maehama T.</w:t>
      </w:r>
      <w:r>
        <w:rPr>
          <w:rFonts w:ascii="Times New Roman" w:hAnsi="Times New Roman" w:cs="Times New Roman"/>
          <w:sz w:val="18"/>
          <w:szCs w:val="18"/>
        </w:rPr>
        <w:fldChar w:fldCharType="end"/>
      </w:r>
      <w:r>
        <w:rPr>
          <w:rFonts w:ascii="Times New Roman" w:hAnsi="Times New Roman" w:cs="Times New Roman"/>
          <w:sz w:val="18"/>
          <w:szCs w:val="18"/>
        </w:rPr>
        <w:t xml:space="preserve"> PTEN: its deregulation and tumorigenesis. Biol Pharm Bull. 2007, 30(9):1624-7. </w:t>
      </w:r>
    </w:p>
    <w:p>
      <w:pPr>
        <w:widowControl/>
        <w:numPr>
          <w:ilvl w:val="0"/>
          <w:numId w:val="24"/>
        </w:numPr>
        <w:spacing w:after="172" w:line="247" w:lineRule="auto"/>
        <w:ind w:right="202" w:hanging="420"/>
        <w:rPr>
          <w:rFonts w:ascii="Times New Roman" w:hAnsi="Times New Roman" w:cs="Times New Roman"/>
          <w:sz w:val="18"/>
          <w:szCs w:val="18"/>
        </w:rPr>
      </w:pPr>
      <w:r>
        <w:fldChar w:fldCharType="begin"/>
      </w:r>
      <w:r>
        <w:instrText xml:space="preserve"> HYPERLINK "http://www.ncbi.nlm.nih.gov/pubmed?term=Leslie%20NR%5BAuthor%5D&amp;cauthor=true&amp;cauthor_uid=21236500" \h </w:instrText>
      </w:r>
      <w:r>
        <w:fldChar w:fldCharType="separate"/>
      </w:r>
      <w:r>
        <w:rPr>
          <w:rFonts w:ascii="Times New Roman" w:hAnsi="Times New Roman" w:cs="Times New Roman"/>
          <w:sz w:val="18"/>
          <w:szCs w:val="18"/>
        </w:rPr>
        <w:t>Leslie NR</w:t>
      </w:r>
      <w:r>
        <w:rPr>
          <w:rFonts w:ascii="Times New Roman" w:hAnsi="Times New Roman" w:cs="Times New Roman"/>
          <w:sz w:val="18"/>
          <w:szCs w:val="18"/>
        </w:rPr>
        <w:fldChar w:fldCharType="end"/>
      </w:r>
      <w:r>
        <w:fldChar w:fldCharType="begin"/>
      </w:r>
      <w:r>
        <w:instrText xml:space="preserve"> HYPERLINK "http://www.ncbi.nlm.nih.gov/pubmed?term=Leslie%20NR%5BAuthor%5D&amp;cauthor=true&amp;cauthor_uid=21236500" \h </w:instrText>
      </w:r>
      <w:r>
        <w:fldChar w:fldCharType="separate"/>
      </w:r>
      <w:r>
        <w:rPr>
          <w:rFonts w:ascii="Times New Roman" w:hAnsi="Times New Roman" w:cs="Times New Roman"/>
          <w:sz w:val="18"/>
          <w:szCs w:val="18"/>
        </w:rPr>
        <w:t>,</w:t>
      </w:r>
      <w:r>
        <w:rPr>
          <w:rFonts w:ascii="Times New Roman" w:hAnsi="Times New Roman" w:cs="Times New Roman"/>
          <w:sz w:val="18"/>
          <w:szCs w:val="18"/>
        </w:rPr>
        <w:fldChar w:fldCharType="end"/>
      </w:r>
      <w:r>
        <w:fldChar w:fldCharType="begin"/>
      </w:r>
      <w:r>
        <w:instrText xml:space="preserve"> HYPERLINK "http://www.ncbi.nlm.nih.gov/pubmed?term=Foti%20M%5BAuthor%5D&amp;cauthor=true&amp;cauthor_uid=21236500"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fldChar w:fldCharType="begin"/>
      </w:r>
      <w:r>
        <w:instrText xml:space="preserve"> HYPERLINK "http://www.ncbi.nlm.nih.gov/pubmed?term=Foti%20M%5BAuthor%5D&amp;cauthor=true&amp;cauthor_uid=21236500" \h </w:instrText>
      </w:r>
      <w:r>
        <w:fldChar w:fldCharType="separate"/>
      </w:r>
      <w:r>
        <w:rPr>
          <w:rFonts w:ascii="Times New Roman" w:hAnsi="Times New Roman" w:cs="Times New Roman"/>
          <w:sz w:val="18"/>
          <w:szCs w:val="18"/>
        </w:rPr>
        <w:t>Foti M.</w:t>
      </w:r>
      <w:r>
        <w:rPr>
          <w:rFonts w:ascii="Times New Roman" w:hAnsi="Times New Roman" w:cs="Times New Roman"/>
          <w:sz w:val="18"/>
          <w:szCs w:val="18"/>
        </w:rPr>
        <w:fldChar w:fldCharType="end"/>
      </w:r>
      <w:r>
        <w:rPr>
          <w:rFonts w:ascii="Times New Roman" w:hAnsi="Times New Roman" w:cs="Times New Roman"/>
          <w:sz w:val="18"/>
          <w:szCs w:val="18"/>
        </w:rPr>
        <w:t xml:space="preserve"> Non-genomic loss of PTEN function in cancer: not in my genes. Trends Pharmacol Sci. 2011, 32(3):131-40. </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rPr>
          <w:rFonts w:ascii="微软雅黑" w:hAnsi="微软雅黑" w:eastAsia="微软雅黑" w:cs="Arial"/>
          <w:b/>
          <w:sz w:val="24"/>
          <w:szCs w:val="24"/>
        </w:rPr>
      </w:pPr>
      <w:r>
        <w:rPr>
          <w:rFonts w:ascii="微软雅黑" w:hAnsi="微软雅黑" w:eastAsia="微软雅黑" w:cs="Arial"/>
          <w:b/>
          <w:sz w:val="24"/>
          <w:szCs w:val="24"/>
        </w:rPr>
        <w:t xml:space="preserve">RARA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 xml:space="preserve">视黄酸受体α（RARA）编码一种核内维甲酸受体，也是一种转录调节蛋白。可在急性髓性白血病和急性早幼粒细胞白血病检测到RARA的基因重排。也正在研究其在胃癌和其他癌症中的作用。原髓细胞白血病（PML）基因编码一种转录因子和肿瘤抑制蛋白。急性髓性白血病病人可观察到PML参与基因重组，特别是APL（急性早幼粒细胞白血病）病人。在大部分APL病人可观察到PML-RARA融合体（图示）。PML-RARA融合基因，t（15;17）（q24.1;21.1），是导致急性早幼粒细胞性白血病这种AML的主要细胞遗传学异常。与野生型PML和RARA相比，PML-RARA融合蛋白表现为变化的转录因子的行为。可能需要其它基因突变一起，方可形成白血病 </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 xml:space="preserve">。 </w:t>
      </w:r>
    </w:p>
    <w:p>
      <w:pPr>
        <w:spacing w:after="197" w:line="259" w:lineRule="auto"/>
        <w:ind w:left="401"/>
        <w:jc w:val="left"/>
      </w:pPr>
      <w:r>
        <w:drawing>
          <wp:anchor distT="0" distB="0" distL="114300" distR="114300" simplePos="0" relativeHeight="251681792" behindDoc="0" locked="0" layoutInCell="1" allowOverlap="1">
            <wp:simplePos x="0" y="0"/>
            <wp:positionH relativeFrom="margin">
              <wp:align>center</wp:align>
            </wp:positionH>
            <wp:positionV relativeFrom="paragraph">
              <wp:posOffset>157480</wp:posOffset>
            </wp:positionV>
            <wp:extent cx="4295775" cy="1800225"/>
            <wp:effectExtent l="0" t="0" r="9525" b="9525"/>
            <wp:wrapNone/>
            <wp:docPr id="18508" name="Picture 18508"/>
            <wp:cNvGraphicFramePr/>
            <a:graphic xmlns:a="http://schemas.openxmlformats.org/drawingml/2006/main">
              <a:graphicData uri="http://schemas.openxmlformats.org/drawingml/2006/picture">
                <pic:pic xmlns:pic="http://schemas.openxmlformats.org/drawingml/2006/picture">
                  <pic:nvPicPr>
                    <pic:cNvPr id="18508" name="Picture 18508"/>
                    <pic:cNvPicPr/>
                  </pic:nvPicPr>
                  <pic:blipFill>
                    <a:blip r:embed="rId38">
                      <a:extLst>
                        <a:ext uri="{28A0092B-C50C-407E-A947-70E740481C1C}">
                          <a14:useLocalDpi xmlns:a14="http://schemas.microsoft.com/office/drawing/2010/main" val="0"/>
                        </a:ext>
                      </a:extLst>
                    </a:blip>
                    <a:stretch>
                      <a:fillRect/>
                    </a:stretch>
                  </pic:blipFill>
                  <pic:spPr>
                    <a:xfrm>
                      <a:off x="0" y="0"/>
                      <a:ext cx="4295775" cy="1800225"/>
                    </a:xfrm>
                    <a:prstGeom prst="rect">
                      <a:avLst/>
                    </a:prstGeom>
                  </pic:spPr>
                </pic:pic>
              </a:graphicData>
            </a:graphic>
          </wp:anchor>
        </w:drawing>
      </w:r>
      <w:r>
        <w:rPr>
          <w:sz w:val="20"/>
        </w:rPr>
        <w:t xml:space="preserve"> </w:t>
      </w:r>
    </w:p>
    <w:p>
      <w:pPr>
        <w:spacing w:after="68" w:line="507" w:lineRule="auto"/>
        <w:ind w:left="3107" w:right="889" w:hanging="1802"/>
        <w:rPr>
          <w:rFonts w:ascii="Arial" w:hAnsi="Arial" w:eastAsia="Arial" w:cs="Arial"/>
          <w:sz w:val="22"/>
        </w:rPr>
      </w:pPr>
    </w:p>
    <w:p>
      <w:pPr>
        <w:spacing w:after="68" w:line="507" w:lineRule="auto"/>
        <w:ind w:left="3107" w:right="889" w:hanging="1802"/>
        <w:rPr>
          <w:rFonts w:ascii="Arial" w:hAnsi="Arial" w:eastAsia="Arial" w:cs="Arial"/>
          <w:sz w:val="22"/>
        </w:rPr>
      </w:pPr>
    </w:p>
    <w:p>
      <w:pPr>
        <w:spacing w:after="68" w:line="507" w:lineRule="auto"/>
        <w:ind w:left="3107" w:right="889" w:hanging="1802"/>
        <w:rPr>
          <w:rFonts w:ascii="Arial" w:hAnsi="Arial" w:eastAsia="Arial" w:cs="Arial"/>
          <w:sz w:val="22"/>
        </w:rPr>
      </w:pPr>
    </w:p>
    <w:p>
      <w:pPr>
        <w:spacing w:after="68" w:line="507" w:lineRule="auto"/>
        <w:ind w:left="3107" w:right="889" w:hanging="1802"/>
        <w:rPr>
          <w:rFonts w:ascii="Arial" w:hAnsi="Arial" w:eastAsia="Arial" w:cs="Arial"/>
          <w:sz w:val="22"/>
        </w:rPr>
      </w:pPr>
    </w:p>
    <w:p>
      <w:pPr>
        <w:spacing w:after="68" w:line="507" w:lineRule="auto"/>
        <w:ind w:left="3107" w:right="889" w:hanging="1802"/>
        <w:jc w:val="center"/>
      </w:pPr>
      <w:r>
        <w:rPr>
          <w:rFonts w:ascii="微软雅黑" w:hAnsi="微软雅黑" w:eastAsia="微软雅黑" w:cs="微软雅黑"/>
          <w:sz w:val="18"/>
        </w:rPr>
        <w:t>图示：不同组合形式的</w:t>
      </w:r>
      <w:r>
        <w:rPr>
          <w:sz w:val="18"/>
        </w:rPr>
        <w:t>RARA</w:t>
      </w:r>
      <w:r>
        <w:rPr>
          <w:rFonts w:ascii="微软雅黑" w:hAnsi="微软雅黑" w:eastAsia="微软雅黑" w:cs="微软雅黑"/>
          <w:sz w:val="18"/>
        </w:rPr>
        <w:t>融合蛋白</w:t>
      </w:r>
    </w:p>
    <w:p>
      <w:pPr>
        <w:spacing w:line="259" w:lineRule="auto"/>
        <w:ind w:left="-5" w:right="197" w:hanging="10"/>
      </w:pPr>
      <w:r>
        <w:rPr>
          <w:rFonts w:ascii="微软雅黑" w:hAnsi="微软雅黑" w:eastAsia="微软雅黑" w:cs="微软雅黑"/>
        </w:rPr>
        <w:t xml:space="preserve">参考文献 </w:t>
      </w:r>
    </w:p>
    <w:p>
      <w:pPr>
        <w:ind w:right="202"/>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eastAsia="Arial" w:cs="Times New Roman"/>
          <w:sz w:val="18"/>
          <w:szCs w:val="18"/>
        </w:rPr>
        <w:t xml:space="preserve"> </w:t>
      </w:r>
      <w:r>
        <w:fldChar w:fldCharType="begin"/>
      </w:r>
      <w:r>
        <w:instrText xml:space="preserve"> HYPERLINK "http://www.ncbi.nlm.nih.gov/pubmed?term=Reiter%20A%5BAuthor%5D&amp;cauthor=true&amp;cauthor_uid=15179005" \h </w:instrText>
      </w:r>
      <w:r>
        <w:fldChar w:fldCharType="separate"/>
      </w:r>
      <w:r>
        <w:rPr>
          <w:rFonts w:ascii="Times New Roman" w:hAnsi="Times New Roman" w:cs="Times New Roman"/>
          <w:sz w:val="18"/>
          <w:szCs w:val="18"/>
        </w:rPr>
        <w:t>Reiter A</w:t>
      </w:r>
      <w:r>
        <w:rPr>
          <w:rFonts w:ascii="Times New Roman" w:hAnsi="Times New Roman" w:cs="Times New Roman"/>
          <w:sz w:val="18"/>
          <w:szCs w:val="18"/>
        </w:rPr>
        <w:fldChar w:fldCharType="end"/>
      </w:r>
      <w:r>
        <w:rPr>
          <w:rFonts w:ascii="Times New Roman" w:hAnsi="Times New Roman" w:cs="Times New Roman"/>
          <w:sz w:val="18"/>
          <w:szCs w:val="18"/>
        </w:rPr>
        <w:t xml:space="preserve">, et al. Pathogenesis, diagnosis and monitoring of residual disease in acute promyelocytic leukaemia. Acta Haematol. 2004, 112(1-2):55-67. </w:t>
      </w:r>
    </w:p>
    <w:p>
      <w:pPr>
        <w:spacing w:line="259" w:lineRule="auto"/>
        <w:jc w:val="left"/>
        <w:rPr>
          <w:rFonts w:ascii="Times New Roman" w:hAnsi="Times New Roman" w:cs="Times New Roman"/>
          <w:sz w:val="18"/>
          <w:szCs w:val="18"/>
        </w:rPr>
      </w:pPr>
      <w:r>
        <w:rPr>
          <w:rFonts w:ascii="Times New Roman" w:hAnsi="Times New Roman" w:eastAsia="Arial"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rPr>
          <w:rFonts w:ascii="微软雅黑" w:hAnsi="微软雅黑" w:eastAsia="微软雅黑" w:cs="Arial"/>
          <w:b/>
          <w:sz w:val="24"/>
          <w:szCs w:val="24"/>
        </w:rPr>
      </w:pPr>
      <w:r>
        <w:rPr>
          <w:rFonts w:ascii="微软雅黑" w:hAnsi="微软雅黑" w:eastAsia="微软雅黑" w:cs="Arial"/>
          <w:b/>
          <w:sz w:val="24"/>
          <w:szCs w:val="24"/>
        </w:rPr>
        <w:t>RET</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RET基因（“转染过程中重新排列”</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），位于10号染色体上，编码一种受体酪氨酸激酶（RTK），属于RTK的RET家庭。RET基因在神经嵴发育中起到至关重要的作用。与带有胞外信号分子的胶质细胞源性神经营养因子（GDNF）配体家族</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 xml:space="preserve">的结合，诱导受体磷酸化和激活。活化的RET进一步磷酸化其底物，最终激活多个下游的细胞通路 </w:t>
      </w:r>
      <w:r>
        <w:rPr>
          <w:rFonts w:ascii="微软雅黑" w:hAnsi="微软雅黑" w:eastAsia="微软雅黑" w:cs="MicrosoftYaHei"/>
          <w:kern w:val="0"/>
          <w:sz w:val="22"/>
          <w:szCs w:val="24"/>
          <w:vertAlign w:val="superscript"/>
        </w:rPr>
        <w:t>3</w:t>
      </w:r>
      <w:r>
        <w:rPr>
          <w:rFonts w:ascii="微软雅黑" w:hAnsi="微软雅黑" w:eastAsia="微软雅黑" w:cs="MicrosoftYaHei"/>
          <w:kern w:val="0"/>
          <w:sz w:val="22"/>
          <w:szCs w:val="24"/>
        </w:rPr>
        <w:t xml:space="preserve">（图示）。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RET变异主要发现于甲状腺癌。体细胞和胚系点突变与散发性和家族性甲状腺髓样癌相关</w:t>
      </w:r>
      <w:r>
        <w:rPr>
          <w:rFonts w:ascii="微软雅黑" w:hAnsi="微软雅黑" w:eastAsia="微软雅黑" w:cs="MicrosoftYaHei"/>
          <w:kern w:val="0"/>
          <w:sz w:val="22"/>
          <w:szCs w:val="24"/>
          <w:vertAlign w:val="superscript"/>
        </w:rPr>
        <w:t>4，5</w:t>
      </w:r>
      <w:r>
        <w:rPr>
          <w:rFonts w:ascii="微软雅黑" w:hAnsi="微软雅黑" w:eastAsia="微软雅黑" w:cs="MicrosoftYaHei"/>
          <w:kern w:val="0"/>
          <w:sz w:val="22"/>
          <w:szCs w:val="24"/>
        </w:rPr>
        <w:t>。 RET融合还发现于某些肺腺癌病人</w:t>
      </w:r>
      <w:r>
        <w:rPr>
          <w:rFonts w:ascii="微软雅黑" w:hAnsi="微软雅黑" w:eastAsia="微软雅黑" w:cs="MicrosoftYaHei"/>
          <w:kern w:val="0"/>
          <w:sz w:val="22"/>
          <w:szCs w:val="24"/>
          <w:vertAlign w:val="superscript"/>
        </w:rPr>
        <w:t>6</w:t>
      </w:r>
      <w:r>
        <w:rPr>
          <w:rFonts w:ascii="微软雅黑" w:hAnsi="微软雅黑" w:eastAsia="微软雅黑" w:cs="MicrosoftYaHei"/>
          <w:kern w:val="0"/>
          <w:sz w:val="22"/>
          <w:szCs w:val="24"/>
        </w:rPr>
        <w:t xml:space="preserve">。 </w:t>
      </w:r>
    </w:p>
    <w:p>
      <w:pPr>
        <w:spacing w:after="131" w:line="244" w:lineRule="auto"/>
        <w:ind w:left="3611" w:right="1884" w:hanging="1316"/>
      </w:pPr>
      <w:r>
        <w:drawing>
          <wp:inline distT="0" distB="0" distL="0" distR="0">
            <wp:extent cx="3038475" cy="2486025"/>
            <wp:effectExtent l="0" t="0" r="0" b="0"/>
            <wp:docPr id="18674" name="Picture 18674"/>
            <wp:cNvGraphicFramePr/>
            <a:graphic xmlns:a="http://schemas.openxmlformats.org/drawingml/2006/main">
              <a:graphicData uri="http://schemas.openxmlformats.org/drawingml/2006/picture">
                <pic:pic xmlns:pic="http://schemas.openxmlformats.org/drawingml/2006/picture">
                  <pic:nvPicPr>
                    <pic:cNvPr id="18674" name="Picture 18674"/>
                    <pic:cNvPicPr/>
                  </pic:nvPicPr>
                  <pic:blipFill>
                    <a:blip r:embed="rId39"/>
                    <a:stretch>
                      <a:fillRect/>
                    </a:stretch>
                  </pic:blipFill>
                  <pic:spPr>
                    <a:xfrm>
                      <a:off x="0" y="0"/>
                      <a:ext cx="3038475" cy="2486025"/>
                    </a:xfrm>
                    <a:prstGeom prst="rect">
                      <a:avLst/>
                    </a:prstGeom>
                  </pic:spPr>
                </pic:pic>
              </a:graphicData>
            </a:graphic>
          </wp:inline>
        </w:drawing>
      </w:r>
      <w:r>
        <w:rPr>
          <w:rFonts w:ascii="Arial" w:hAnsi="Arial" w:eastAsia="Arial" w:cs="Arial"/>
          <w:b/>
          <w:sz w:val="20"/>
        </w:rPr>
        <w:t xml:space="preserve"> </w:t>
      </w:r>
      <w:r>
        <w:rPr>
          <w:rFonts w:ascii="微软雅黑" w:hAnsi="微软雅黑" w:eastAsia="微软雅黑" w:cs="微软雅黑"/>
          <w:b/>
          <w:sz w:val="18"/>
        </w:rPr>
        <w:t xml:space="preserve">      </w:t>
      </w:r>
      <w:r>
        <w:rPr>
          <w:rFonts w:ascii="微软雅黑" w:hAnsi="微软雅黑" w:eastAsia="微软雅黑"/>
          <w:sz w:val="18"/>
        </w:rPr>
        <w:t xml:space="preserve">   </w:t>
      </w:r>
      <w:r>
        <w:rPr>
          <w:rFonts w:ascii="微软雅黑" w:hAnsi="微软雅黑" w:eastAsia="微软雅黑" w:cs="微软雅黑"/>
          <w:sz w:val="18"/>
        </w:rPr>
        <w:t>图示：</w:t>
      </w:r>
      <w:r>
        <w:rPr>
          <w:rFonts w:ascii="微软雅黑" w:hAnsi="微软雅黑" w:eastAsia="微软雅黑"/>
          <w:sz w:val="18"/>
        </w:rPr>
        <w:t>RET</w:t>
      </w:r>
      <w:r>
        <w:rPr>
          <w:rFonts w:ascii="微软雅黑" w:hAnsi="微软雅黑" w:eastAsia="微软雅黑" w:cs="微软雅黑"/>
          <w:sz w:val="18"/>
        </w:rPr>
        <w:t>信号通路</w:t>
      </w:r>
      <w:r>
        <w:rPr>
          <w:rFonts w:ascii="微软雅黑" w:hAnsi="微软雅黑" w:eastAsia="微软雅黑"/>
          <w:sz w:val="18"/>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25"/>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"http://www.ncbi.nlm.nih.gov/pubmed?term=Takahashi%20M%5BAuthor%5D&amp;cauthor=true&amp;cauthor_uid=2992805" \h </w:instrText>
      </w:r>
      <w:r>
        <w:fldChar w:fldCharType="separate"/>
      </w:r>
      <w:r>
        <w:rPr>
          <w:rFonts w:ascii="Times New Roman" w:hAnsi="Times New Roman" w:cs="Times New Roman"/>
          <w:sz w:val="18"/>
          <w:szCs w:val="18"/>
        </w:rPr>
        <w:t>Takahashi</w:t>
      </w:r>
      <w:r>
        <w:rPr>
          <w:rFonts w:ascii="Times New Roman" w:hAnsi="Times New Roman" w:cs="Times New Roman"/>
          <w:sz w:val="18"/>
          <w:szCs w:val="18"/>
        </w:rPr>
        <w:fldChar w:fldCharType="end"/>
      </w:r>
      <w:r>
        <w:fldChar w:fldCharType="begin"/>
      </w:r>
      <w:r>
        <w:instrText xml:space="preserve"> HYPERLINK "http://www.ncbi.nlm.nih.gov/pubmed?term=Takahashi%20M%5BAuthor%5D&amp;cauthor=true&amp;cauthor_uid=2992805"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rPr>
          <w:rFonts w:ascii="Times New Roman" w:hAnsi="Times New Roman" w:cs="Times New Roman"/>
          <w:sz w:val="18"/>
          <w:szCs w:val="18"/>
        </w:rPr>
        <w:t xml:space="preserve">M, et al. Activation of a novel human transforming gene, ret, by DNA rearrangement. Cell.  1985, 42(2):581-8. </w:t>
      </w:r>
    </w:p>
    <w:p>
      <w:pPr>
        <w:widowControl/>
        <w:numPr>
          <w:ilvl w:val="0"/>
          <w:numId w:val="25"/>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"http://www.ncbi.nlm.nih.gov/pubmed?term=Airaksinen%20MS%5BAuthor%5D&amp;cauthor=true&amp;cauthor_uid=10356294" \h </w:instrText>
      </w:r>
      <w:r>
        <w:fldChar w:fldCharType="separate"/>
      </w:r>
      <w:r>
        <w:rPr>
          <w:rFonts w:ascii="Times New Roman" w:hAnsi="Times New Roman" w:cs="Times New Roman"/>
          <w:sz w:val="18"/>
          <w:szCs w:val="18"/>
        </w:rPr>
        <w:t>Airaksinen M</w:t>
      </w:r>
      <w:r>
        <w:rPr>
          <w:rFonts w:ascii="Times New Roman" w:hAnsi="Times New Roman" w:cs="Times New Roman"/>
          <w:sz w:val="18"/>
          <w:szCs w:val="18"/>
        </w:rPr>
        <w:fldChar w:fldCharType="end"/>
      </w:r>
      <w:r>
        <w:rPr>
          <w:rFonts w:ascii="Times New Roman" w:hAnsi="Times New Roman" w:cs="Times New Roman"/>
          <w:sz w:val="18"/>
          <w:szCs w:val="18"/>
        </w:rPr>
        <w:t xml:space="preserve">S, et al. GDNF family neurotrophic factor signaling: four masters, one servant? Mol Cell Neurosci. 1999, 13(5):313-25. </w:t>
      </w:r>
    </w:p>
    <w:p>
      <w:pPr>
        <w:widowControl/>
        <w:numPr>
          <w:ilvl w:val="0"/>
          <w:numId w:val="25"/>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"http://www.ncbi.nlm.nih.gov/pubmed?term=Phay%20JE%5BAuthor%5D&amp;cauthor=true&amp;cauthor_uid=20930041" \h </w:instrText>
      </w:r>
      <w:r>
        <w:fldChar w:fldCharType="separate"/>
      </w:r>
      <w:r>
        <w:rPr>
          <w:rFonts w:ascii="Times New Roman" w:hAnsi="Times New Roman" w:cs="Times New Roman"/>
          <w:sz w:val="18"/>
          <w:szCs w:val="18"/>
        </w:rPr>
        <w:t>Phay JE</w:t>
      </w:r>
      <w:r>
        <w:rPr>
          <w:rFonts w:ascii="Times New Roman" w:hAnsi="Times New Roman" w:cs="Times New Roman"/>
          <w:sz w:val="18"/>
          <w:szCs w:val="18"/>
        </w:rPr>
        <w:fldChar w:fldCharType="end"/>
      </w:r>
      <w:r>
        <w:fldChar w:fldCharType="begin"/>
      </w:r>
      <w:r>
        <w:instrText xml:space="preserve"> HYPERLINK "http://www.ncbi.nlm.nih.gov/pubmed?term=Phay%20JE%5BAuthor%5D&amp;cauthor=true&amp;cauthor_uid=20930041" \h </w:instrText>
      </w:r>
      <w:r>
        <w:fldChar w:fldCharType="separate"/>
      </w:r>
      <w:r>
        <w:rPr>
          <w:rFonts w:ascii="Times New Roman" w:hAnsi="Times New Roman" w:cs="Times New Roman"/>
          <w:sz w:val="18"/>
          <w:szCs w:val="18"/>
        </w:rPr>
        <w:t>,</w:t>
      </w:r>
      <w:r>
        <w:rPr>
          <w:rFonts w:ascii="Times New Roman" w:hAnsi="Times New Roman" w:cs="Times New Roman"/>
          <w:sz w:val="18"/>
          <w:szCs w:val="18"/>
        </w:rPr>
        <w:fldChar w:fldCharType="end"/>
      </w:r>
      <w:r>
        <w:fldChar w:fldCharType="begin"/>
      </w:r>
      <w:r>
        <w:instrText xml:space="preserve"> HYPERLINK "http://www.ncbi.nlm.nih.gov/pubmed?term=Shah%20MH%5BAuthor%5D&amp;cauthor=true&amp;cauthor_uid=20930041"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fldChar w:fldCharType="begin"/>
      </w:r>
      <w:r>
        <w:instrText xml:space="preserve"> HYPERLINK "http://www.ncbi.nlm.nih.gov/pubmed?term=Shah%20MH%5BAuthor%5D&amp;cauthor=true&amp;cauthor_uid=20930041" \h </w:instrText>
      </w:r>
      <w:r>
        <w:fldChar w:fldCharType="separate"/>
      </w:r>
      <w:r>
        <w:rPr>
          <w:rFonts w:ascii="Times New Roman" w:hAnsi="Times New Roman" w:cs="Times New Roman"/>
          <w:sz w:val="18"/>
          <w:szCs w:val="18"/>
        </w:rPr>
        <w:t>Shah MH.</w:t>
      </w:r>
      <w:r>
        <w:rPr>
          <w:rFonts w:ascii="Times New Roman" w:hAnsi="Times New Roman" w:cs="Times New Roman"/>
          <w:sz w:val="18"/>
          <w:szCs w:val="18"/>
        </w:rPr>
        <w:fldChar w:fldCharType="end"/>
      </w:r>
      <w:r>
        <w:rPr>
          <w:rFonts w:ascii="Times New Roman" w:hAnsi="Times New Roman" w:cs="Times New Roman"/>
          <w:sz w:val="18"/>
          <w:szCs w:val="18"/>
        </w:rPr>
        <w:t xml:space="preserve"> Targeting RET receptor tyrosine kinase activation in cancer. Clin Cancer Res. 2010, 16(24):5936-41.  </w:t>
      </w:r>
    </w:p>
    <w:p>
      <w:pPr>
        <w:widowControl/>
        <w:numPr>
          <w:ilvl w:val="0"/>
          <w:numId w:val="25"/>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"http://www.ncbi.nlm.nih.gov/pubmed?term=Ciampi%20R%5BAuthor%5D&amp;cauthor=true&amp;cauthor_uid=16946010" \h </w:instrText>
      </w:r>
      <w:r>
        <w:fldChar w:fldCharType="separate"/>
      </w:r>
      <w:r>
        <w:rPr>
          <w:rFonts w:ascii="Times New Roman" w:hAnsi="Times New Roman" w:cs="Times New Roman"/>
          <w:sz w:val="18"/>
          <w:szCs w:val="18"/>
        </w:rPr>
        <w:t>Ciampi R</w:t>
      </w:r>
      <w:r>
        <w:rPr>
          <w:rFonts w:ascii="Times New Roman" w:hAnsi="Times New Roman" w:cs="Times New Roman"/>
          <w:sz w:val="18"/>
          <w:szCs w:val="18"/>
        </w:rPr>
        <w:fldChar w:fldCharType="end"/>
      </w:r>
      <w:r>
        <w:fldChar w:fldCharType="begin"/>
      </w:r>
      <w:r>
        <w:instrText xml:space="preserve"> HYPERLINK "http://www.ncbi.nlm.nih.gov/pubmed?term=Ciampi%20R%5BAuthor%5D&amp;cauthor=true&amp;cauthor_uid=16946010" \h </w:instrText>
      </w:r>
      <w:r>
        <w:fldChar w:fldCharType="separate"/>
      </w:r>
      <w:r>
        <w:rPr>
          <w:rFonts w:ascii="Times New Roman" w:hAnsi="Times New Roman" w:cs="Times New Roman"/>
          <w:sz w:val="18"/>
          <w:szCs w:val="18"/>
        </w:rPr>
        <w:t>,</w:t>
      </w:r>
      <w:r>
        <w:rPr>
          <w:rFonts w:ascii="Times New Roman" w:hAnsi="Times New Roman" w:cs="Times New Roman"/>
          <w:sz w:val="18"/>
          <w:szCs w:val="18"/>
        </w:rPr>
        <w:fldChar w:fldCharType="end"/>
      </w:r>
      <w:r>
        <w:rPr>
          <w:rFonts w:ascii="Times New Roman" w:hAnsi="Times New Roman" w:cs="Times New Roman"/>
          <w:sz w:val="18"/>
          <w:szCs w:val="18"/>
        </w:rPr>
        <w:t xml:space="preserve"> </w:t>
      </w:r>
      <w:r>
        <w:fldChar w:fldCharType="begin"/>
      </w:r>
      <w:r>
        <w:instrText xml:space="preserve"> HYPERLINK "http://www.ncbi.nlm.nih.gov/pubmed?term=Nikiforov%20YE%5BAuthor%5D&amp;cauthor=true&amp;cauthor_uid=16946010" \h </w:instrText>
      </w:r>
      <w:r>
        <w:fldChar w:fldCharType="separate"/>
      </w:r>
      <w:r>
        <w:rPr>
          <w:rFonts w:ascii="Times New Roman" w:hAnsi="Times New Roman" w:cs="Times New Roman"/>
          <w:sz w:val="18"/>
          <w:szCs w:val="18"/>
        </w:rPr>
        <w:t>Nikiforov YE.</w:t>
      </w:r>
      <w:r>
        <w:rPr>
          <w:rFonts w:ascii="Times New Roman" w:hAnsi="Times New Roman" w:cs="Times New Roman"/>
          <w:sz w:val="18"/>
          <w:szCs w:val="18"/>
        </w:rPr>
        <w:fldChar w:fldCharType="end"/>
      </w:r>
      <w:r>
        <w:rPr>
          <w:rFonts w:ascii="Times New Roman" w:hAnsi="Times New Roman" w:cs="Times New Roman"/>
          <w:sz w:val="18"/>
          <w:szCs w:val="18"/>
        </w:rPr>
        <w:t xml:space="preserve"> RET/PTC rearrangements and BRAF mutations in thyroid tumorigenesis. Endocrinology. 2007, 148(3):936-41. </w:t>
      </w:r>
    </w:p>
    <w:p>
      <w:pPr>
        <w:widowControl/>
        <w:numPr>
          <w:ilvl w:val="0"/>
          <w:numId w:val="25"/>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"http://www.ncbi.nlm.nih.gov/pubmed?term=Salvatore%20D%5BAuthor%5D&amp;cauthor=true&amp;cauthor_uid=11061555" \h </w:instrText>
      </w:r>
      <w:r>
        <w:fldChar w:fldCharType="separate"/>
      </w:r>
      <w:r>
        <w:rPr>
          <w:rFonts w:ascii="Times New Roman" w:hAnsi="Times New Roman" w:cs="Times New Roman"/>
          <w:sz w:val="18"/>
          <w:szCs w:val="18"/>
        </w:rPr>
        <w:t>Salvatore D</w:t>
      </w:r>
      <w:r>
        <w:rPr>
          <w:rFonts w:ascii="Times New Roman" w:hAnsi="Times New Roman" w:cs="Times New Roman"/>
          <w:sz w:val="18"/>
          <w:szCs w:val="18"/>
        </w:rPr>
        <w:fldChar w:fldCharType="end"/>
      </w:r>
      <w:r>
        <w:rPr>
          <w:rFonts w:ascii="Times New Roman" w:hAnsi="Times New Roman" w:cs="Times New Roman"/>
          <w:sz w:val="18"/>
          <w:szCs w:val="18"/>
        </w:rPr>
        <w:t xml:space="preserve">, et al. Tyrosines 1015 and 1062 are in vivo autophosphorylation sites in ret and ret-derived oncoproteins. J Clin Endocrinol Metab. 2000, 85(10):3898-907.  </w:t>
      </w:r>
    </w:p>
    <w:p>
      <w:pPr>
        <w:widowControl/>
        <w:numPr>
          <w:ilvl w:val="0"/>
          <w:numId w:val="25"/>
        </w:numPr>
        <w:spacing w:after="213" w:line="247" w:lineRule="auto"/>
        <w:ind w:right="202" w:hanging="420"/>
        <w:rPr>
          <w:rFonts w:ascii="Times New Roman" w:hAnsi="Times New Roman" w:cs="Times New Roman"/>
          <w:sz w:val="18"/>
          <w:szCs w:val="18"/>
        </w:rPr>
      </w:pPr>
      <w:r>
        <w:fldChar w:fldCharType="begin"/>
      </w:r>
      <w:r>
        <w:instrText xml:space="preserve"> HYPERLINK "http://www.ncbi.nlm.nih.gov/pubmed?term=Pao%20W%5BAuthor%5D&amp;cauthor=true&amp;cauthor_uid=22395697" \h </w:instrText>
      </w:r>
      <w:r>
        <w:fldChar w:fldCharType="separate"/>
      </w:r>
      <w:r>
        <w:rPr>
          <w:rFonts w:ascii="Times New Roman" w:hAnsi="Times New Roman" w:cs="Times New Roman"/>
          <w:sz w:val="18"/>
          <w:szCs w:val="18"/>
        </w:rPr>
        <w:t>Pao W</w:t>
      </w:r>
      <w:r>
        <w:rPr>
          <w:rFonts w:ascii="Times New Roman" w:hAnsi="Times New Roman" w:cs="Times New Roman"/>
          <w:sz w:val="18"/>
          <w:szCs w:val="18"/>
        </w:rPr>
        <w:fldChar w:fldCharType="end"/>
      </w:r>
      <w:r>
        <w:fldChar w:fldCharType="begin"/>
      </w:r>
      <w:r>
        <w:instrText xml:space="preserve"> HYPERLINK "http://www.ncbi.nlm.nih.gov/pubmed?term=Pao%20W%5BAuthor%5D&amp;cauthor=true&amp;cauthor_uid=22395697" \h </w:instrText>
      </w:r>
      <w:r>
        <w:fldChar w:fldCharType="separate"/>
      </w:r>
      <w:r>
        <w:rPr>
          <w:rFonts w:ascii="Times New Roman" w:hAnsi="Times New Roman" w:cs="Times New Roman"/>
          <w:sz w:val="18"/>
          <w:szCs w:val="18"/>
        </w:rPr>
        <w:t>,</w:t>
      </w:r>
      <w:r>
        <w:rPr>
          <w:rFonts w:ascii="Times New Roman" w:hAnsi="Times New Roman" w:cs="Times New Roman"/>
          <w:sz w:val="18"/>
          <w:szCs w:val="18"/>
        </w:rPr>
        <w:fldChar w:fldCharType="end"/>
      </w:r>
      <w:r>
        <w:fldChar w:fldCharType="begin"/>
      </w:r>
      <w:r>
        <w:instrText xml:space="preserve"> HYPERLINK "http://www.ncbi.nlm.nih.gov/pubmed?term=Hutchinson%20KE%5BAuthor%5D&amp;cauthor=true&amp;cauthor_uid=22395697"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fldChar w:fldCharType="begin"/>
      </w:r>
      <w:r>
        <w:instrText xml:space="preserve"> HYPERLINK "http://www.ncbi.nlm.nih.gov/pubmed?term=Hutchinson%20KE%5BAuthor%5D&amp;cauthor=true&amp;cauthor_uid=22395697" \h </w:instrText>
      </w:r>
      <w:r>
        <w:fldChar w:fldCharType="separate"/>
      </w:r>
      <w:r>
        <w:rPr>
          <w:rFonts w:ascii="Times New Roman" w:hAnsi="Times New Roman" w:cs="Times New Roman"/>
          <w:sz w:val="18"/>
          <w:szCs w:val="18"/>
        </w:rPr>
        <w:t>Hutchinson KE.</w:t>
      </w:r>
      <w:r>
        <w:rPr>
          <w:rFonts w:ascii="Times New Roman" w:hAnsi="Times New Roman" w:cs="Times New Roman"/>
          <w:sz w:val="18"/>
          <w:szCs w:val="18"/>
        </w:rPr>
        <w:fldChar w:fldCharType="end"/>
      </w:r>
      <w:r>
        <w:rPr>
          <w:rFonts w:ascii="Times New Roman" w:hAnsi="Times New Roman" w:cs="Times New Roman"/>
          <w:sz w:val="18"/>
          <w:szCs w:val="18"/>
        </w:rPr>
        <w:t xml:space="preserve"> Chipping away at the lung cancer genome. Nat Med. 2012, 18(3):349-51. </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pPr>
      <w:r>
        <w:rPr>
          <w:rFonts w:ascii="微软雅黑" w:hAnsi="微软雅黑" w:eastAsia="微软雅黑" w:cs="Arial"/>
          <w:b/>
          <w:sz w:val="24"/>
          <w:szCs w:val="24"/>
        </w:rPr>
        <w:t>ROS1</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ROS1是一种受体酪氨酸激酶（RTK），属于胰岛素受体家族。最早在胶质母细胞瘤发现了涉及ROS1基因的染色体重排如FIG-ROS1，在染色体的6q22位置</w:t>
      </w:r>
      <w:r>
        <w:rPr>
          <w:rFonts w:ascii="微软雅黑" w:hAnsi="微软雅黑" w:eastAsia="微软雅黑" w:cs="MicrosoftYaHei"/>
          <w:kern w:val="0"/>
          <w:sz w:val="22"/>
          <w:szCs w:val="24"/>
          <w:vertAlign w:val="superscript"/>
        </w:rPr>
        <w:t>1-3</w:t>
      </w:r>
      <w:r>
        <w:rPr>
          <w:rFonts w:ascii="微软雅黑" w:hAnsi="微软雅黑" w:eastAsia="微软雅黑" w:cs="MicrosoftYaHei"/>
          <w:kern w:val="0"/>
          <w:sz w:val="22"/>
          <w:szCs w:val="24"/>
        </w:rPr>
        <w:t>。最近，ROS1融合被确定为非小细胞肺癌</w:t>
      </w:r>
      <w:r>
        <w:rPr>
          <w:rFonts w:ascii="微软雅黑" w:hAnsi="微软雅黑" w:eastAsia="微软雅黑" w:cs="MicrosoftYaHei"/>
          <w:kern w:val="0"/>
          <w:sz w:val="22"/>
          <w:szCs w:val="24"/>
          <w:vertAlign w:val="superscript"/>
        </w:rPr>
        <w:t>4</w:t>
      </w:r>
      <w:r>
        <w:rPr>
          <w:rFonts w:ascii="微软雅黑" w:hAnsi="微软雅黑" w:eastAsia="微软雅黑" w:cs="MicrosoftYaHei"/>
          <w:kern w:val="0"/>
          <w:sz w:val="22"/>
          <w:szCs w:val="24"/>
        </w:rPr>
        <w:t>和胆管癌</w:t>
      </w:r>
      <w:r>
        <w:rPr>
          <w:rFonts w:ascii="微软雅黑" w:hAnsi="微软雅黑" w:eastAsia="微软雅黑" w:cs="MicrosoftYaHei"/>
          <w:kern w:val="0"/>
          <w:sz w:val="22"/>
          <w:szCs w:val="24"/>
          <w:vertAlign w:val="superscript"/>
        </w:rPr>
        <w:t>5</w:t>
      </w:r>
      <w:r>
        <w:rPr>
          <w:rFonts w:ascii="微软雅黑" w:hAnsi="微软雅黑" w:eastAsia="微软雅黑" w:cs="MicrosoftYaHei"/>
          <w:kern w:val="0"/>
          <w:sz w:val="22"/>
          <w:szCs w:val="24"/>
        </w:rPr>
        <w:t xml:space="preserve">的一个潜在驱动突变基因。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ROS1融合蛋白包含一个完整的酪氨酸激酶结构域。迄今为止，这些已经生物学测试的融合蛋白都具有致癌活性</w:t>
      </w:r>
      <w:r>
        <w:rPr>
          <w:rFonts w:ascii="微软雅黑" w:hAnsi="微软雅黑" w:eastAsia="微软雅黑" w:cs="MicrosoftYaHei"/>
          <w:kern w:val="0"/>
          <w:sz w:val="22"/>
          <w:szCs w:val="24"/>
          <w:vertAlign w:val="superscript"/>
        </w:rPr>
        <w:t>3，4</w:t>
      </w:r>
      <w:r>
        <w:rPr>
          <w:rFonts w:ascii="微软雅黑" w:hAnsi="微软雅黑" w:eastAsia="微软雅黑" w:cs="MicrosoftYaHei"/>
          <w:kern w:val="0"/>
          <w:sz w:val="22"/>
          <w:szCs w:val="24"/>
        </w:rPr>
        <w:t>。ROS1融合蛋白向下游的信号传递会激活参与细胞生长和细胞增殖的通路（图示）。ROS1融合蛋白在体外实验中，表现出了对酪氨酸激酶抑制剂的敏感性</w:t>
      </w:r>
      <w:r>
        <w:rPr>
          <w:rFonts w:ascii="微软雅黑" w:hAnsi="微软雅黑" w:eastAsia="微软雅黑" w:cs="MicrosoftYaHei"/>
          <w:kern w:val="0"/>
          <w:sz w:val="22"/>
          <w:szCs w:val="24"/>
          <w:vertAlign w:val="superscript"/>
        </w:rPr>
        <w:t>6</w:t>
      </w:r>
      <w:r>
        <w:rPr>
          <w:rFonts w:ascii="微软雅黑" w:hAnsi="微软雅黑" w:eastAsia="微软雅黑" w:cs="MicrosoftYaHei"/>
          <w:kern w:val="0"/>
          <w:sz w:val="22"/>
          <w:szCs w:val="24"/>
        </w:rPr>
        <w:t xml:space="preserve">。 </w:t>
      </w:r>
    </w:p>
    <w:p>
      <w:pPr>
        <w:spacing w:after="159" w:line="259" w:lineRule="auto"/>
        <w:ind w:left="420"/>
        <w:jc w:val="left"/>
      </w:pPr>
      <w:r>
        <w:t xml:space="preserve"> </w:t>
      </w:r>
    </w:p>
    <w:p>
      <w:pPr>
        <w:spacing w:line="259" w:lineRule="auto"/>
        <w:ind w:right="125"/>
        <w:jc w:val="center"/>
      </w:pPr>
      <w:r>
        <w:drawing>
          <wp:inline distT="0" distB="0" distL="0" distR="0">
            <wp:extent cx="2714625" cy="1419225"/>
            <wp:effectExtent l="0" t="0" r="0" b="0"/>
            <wp:docPr id="18875" name="Picture 18875"/>
            <wp:cNvGraphicFramePr/>
            <a:graphic xmlns:a="http://schemas.openxmlformats.org/drawingml/2006/main">
              <a:graphicData uri="http://schemas.openxmlformats.org/drawingml/2006/picture">
                <pic:pic xmlns:pic="http://schemas.openxmlformats.org/drawingml/2006/picture">
                  <pic:nvPicPr>
                    <pic:cNvPr id="18875" name="Picture 18875"/>
                    <pic:cNvPicPr/>
                  </pic:nvPicPr>
                  <pic:blipFill>
                    <a:blip r:embed="rId40"/>
                    <a:stretch>
                      <a:fillRect/>
                    </a:stretch>
                  </pic:blipFill>
                  <pic:spPr>
                    <a:xfrm>
                      <a:off x="0" y="0"/>
                      <a:ext cx="2714625" cy="1419225"/>
                    </a:xfrm>
                    <a:prstGeom prst="rect">
                      <a:avLst/>
                    </a:prstGeom>
                  </pic:spPr>
                </pic:pic>
              </a:graphicData>
            </a:graphic>
          </wp:inline>
        </w:drawing>
      </w:r>
      <w:r>
        <w:rPr>
          <w:rFonts w:ascii="微软雅黑" w:hAnsi="微软雅黑" w:eastAsia="微软雅黑" w:cs="微软雅黑"/>
          <w:b/>
          <w:sz w:val="20"/>
        </w:rPr>
        <w:t xml:space="preserve"> </w:t>
      </w:r>
    </w:p>
    <w:p>
      <w:pPr>
        <w:spacing w:after="73" w:line="265" w:lineRule="auto"/>
        <w:ind w:left="216" w:right="420" w:hanging="10"/>
        <w:jc w:val="center"/>
        <w:rPr>
          <w:rFonts w:ascii="微软雅黑" w:hAnsi="微软雅黑" w:eastAsia="微软雅黑"/>
        </w:rPr>
      </w:pPr>
      <w:r>
        <w:rPr>
          <w:rFonts w:ascii="微软雅黑" w:hAnsi="微软雅黑" w:eastAsia="微软雅黑" w:cs="微软雅黑"/>
          <w:sz w:val="18"/>
        </w:rPr>
        <w:t>图示：</w:t>
      </w:r>
      <w:r>
        <w:rPr>
          <w:rFonts w:ascii="微软雅黑" w:hAnsi="微软雅黑" w:eastAsia="微软雅黑"/>
          <w:sz w:val="18"/>
        </w:rPr>
        <w:t xml:space="preserve"> ROS1 </w:t>
      </w:r>
      <w:r>
        <w:rPr>
          <w:rFonts w:ascii="微软雅黑" w:hAnsi="微软雅黑" w:eastAsia="微软雅黑" w:cs="微软雅黑"/>
          <w:sz w:val="18"/>
        </w:rPr>
        <w:t>融合蛋白的激活。</w:t>
      </w:r>
      <w:r>
        <w:rPr>
          <w:rFonts w:ascii="微软雅黑" w:hAnsi="微软雅黑" w:eastAsia="微软雅黑"/>
          <w:sz w:val="18"/>
        </w:rPr>
        <w:t>“X”</w:t>
      </w:r>
      <w:r>
        <w:rPr>
          <w:rFonts w:ascii="微软雅黑" w:hAnsi="微软雅黑" w:eastAsia="微软雅黑" w:cs="微软雅黑"/>
          <w:sz w:val="18"/>
        </w:rPr>
        <w:t xml:space="preserve">代表各种可能的融合片断，融合蛋白的二聚体化会持续激活 </w:t>
      </w:r>
      <w:r>
        <w:rPr>
          <w:rFonts w:ascii="微软雅黑" w:hAnsi="微软雅黑" w:eastAsia="微软雅黑"/>
          <w:sz w:val="18"/>
        </w:rPr>
        <w:t xml:space="preserve">ROS1 </w:t>
      </w:r>
      <w:r>
        <w:rPr>
          <w:rFonts w:ascii="微软雅黑" w:hAnsi="微软雅黑" w:eastAsia="微软雅黑" w:cs="微软雅黑"/>
          <w:sz w:val="18"/>
        </w:rPr>
        <w:t>酪氨酸激酶活性，其信号传递导致细胞生长和抗凋亡效应。</w:t>
      </w:r>
    </w:p>
    <w:p>
      <w:pPr>
        <w:spacing w:after="10" w:line="326" w:lineRule="auto"/>
        <w:ind w:right="9513"/>
        <w:jc w:val="left"/>
      </w:pPr>
      <w:r>
        <w:rPr>
          <w:rFonts w:ascii="微软雅黑" w:hAnsi="微软雅黑" w:eastAsia="微软雅黑" w:cs="微软雅黑"/>
          <w:sz w:val="18"/>
        </w:rPr>
        <w:t xml:space="preserve"> </w:t>
      </w:r>
      <w:r>
        <w:rPr>
          <w:rFonts w:ascii="微软雅黑" w:hAnsi="微软雅黑" w:eastAsia="微软雅黑" w:cs="微软雅黑"/>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26"/>
        </w:numPr>
        <w:spacing w:after="3" w:line="247" w:lineRule="auto"/>
        <w:ind w:right="202" w:hanging="420"/>
        <w:rPr>
          <w:rFonts w:ascii="微软雅黑" w:hAnsi="微软雅黑" w:eastAsia="微软雅黑"/>
          <w:sz w:val="18"/>
          <w:szCs w:val="18"/>
        </w:rPr>
      </w:pPr>
      <w:r>
        <w:fldChar w:fldCharType="begin"/>
      </w:r>
      <w:r>
        <w:instrText xml:space="preserve"> HYPERLINK "http://www.ncbi.nlm.nih.gov/pubmed?term=Birchmeier%20C%5BAuthor%5D&amp;cauthor=true&amp;cauthor_uid=2827175" \h </w:instrText>
      </w:r>
      <w:r>
        <w:fldChar w:fldCharType="separate"/>
      </w:r>
      <w:r>
        <w:rPr>
          <w:rFonts w:ascii="微软雅黑" w:hAnsi="微软雅黑" w:eastAsia="微软雅黑"/>
          <w:sz w:val="18"/>
          <w:szCs w:val="18"/>
        </w:rPr>
        <w:t>Birchmeier C</w:t>
      </w:r>
      <w:r>
        <w:rPr>
          <w:rFonts w:ascii="微软雅黑" w:hAnsi="微软雅黑" w:eastAsia="微软雅黑"/>
          <w:sz w:val="18"/>
          <w:szCs w:val="18"/>
        </w:rPr>
        <w:fldChar w:fldCharType="end"/>
      </w:r>
      <w:r>
        <w:rPr>
          <w:rFonts w:ascii="微软雅黑" w:hAnsi="微软雅黑" w:eastAsia="微软雅黑"/>
          <w:sz w:val="18"/>
          <w:szCs w:val="18"/>
        </w:rPr>
        <w:t xml:space="preserve">, et al. Expression and rearrangement of the ROS1 gene in human glioblastoma cells. Proc Natl Acad Sci U S A. 1987, 84(24):9270-4. </w:t>
      </w:r>
    </w:p>
    <w:p>
      <w:pPr>
        <w:widowControl/>
        <w:numPr>
          <w:ilvl w:val="0"/>
          <w:numId w:val="26"/>
        </w:numPr>
        <w:spacing w:after="3" w:line="247" w:lineRule="auto"/>
        <w:ind w:right="202" w:hanging="420"/>
        <w:rPr>
          <w:rFonts w:ascii="微软雅黑" w:hAnsi="微软雅黑" w:eastAsia="微软雅黑"/>
          <w:sz w:val="18"/>
          <w:szCs w:val="18"/>
        </w:rPr>
      </w:pPr>
      <w:r>
        <w:fldChar w:fldCharType="begin"/>
      </w:r>
      <w:r>
        <w:instrText xml:space="preserve"> HYPERLINK "http://www.ncbi.nlm.nih.gov/pubmed?term=Birchmeier%20C%5BAuthor%5D&amp;cauthor=true&amp;cauthor_uid=2352949" \h </w:instrText>
      </w:r>
      <w:r>
        <w:fldChar w:fldCharType="separate"/>
      </w:r>
      <w:r>
        <w:rPr>
          <w:rFonts w:ascii="微软雅黑" w:hAnsi="微软雅黑" w:eastAsia="微软雅黑"/>
          <w:sz w:val="18"/>
          <w:szCs w:val="18"/>
        </w:rPr>
        <w:t>Birchmeier C</w:t>
      </w:r>
      <w:r>
        <w:rPr>
          <w:rFonts w:ascii="微软雅黑" w:hAnsi="微软雅黑" w:eastAsia="微软雅黑"/>
          <w:sz w:val="18"/>
          <w:szCs w:val="18"/>
        </w:rPr>
        <w:fldChar w:fldCharType="end"/>
      </w:r>
      <w:r>
        <w:rPr>
          <w:rFonts w:ascii="微软雅黑" w:hAnsi="微软雅黑" w:eastAsia="微软雅黑"/>
          <w:sz w:val="18"/>
          <w:szCs w:val="18"/>
        </w:rPr>
        <w:t xml:space="preserve">, et al. Characterization of ROS1 cDNA from a human glioblastoma cell line. Proc Natl Acad Sci U S A. 1990, 87(12):4799-803. </w:t>
      </w:r>
    </w:p>
    <w:p>
      <w:pPr>
        <w:widowControl/>
        <w:numPr>
          <w:ilvl w:val="0"/>
          <w:numId w:val="26"/>
        </w:numPr>
        <w:spacing w:after="3" w:line="247" w:lineRule="auto"/>
        <w:ind w:right="202" w:hanging="420"/>
        <w:rPr>
          <w:rFonts w:ascii="微软雅黑" w:hAnsi="微软雅黑" w:eastAsia="微软雅黑"/>
          <w:sz w:val="18"/>
          <w:szCs w:val="18"/>
        </w:rPr>
      </w:pPr>
      <w:r>
        <w:fldChar w:fldCharType="begin"/>
      </w:r>
      <w:r>
        <w:instrText xml:space="preserve"> HYPERLINK "http://www.ncbi.nlm.nih.gov/pubmed?term=Charest%20A%5BAuthor%5D&amp;cauthor=true&amp;cauthor_uid=12661006" \h </w:instrText>
      </w:r>
      <w:r>
        <w:fldChar w:fldCharType="separate"/>
      </w:r>
      <w:r>
        <w:rPr>
          <w:rFonts w:ascii="微软雅黑" w:hAnsi="微软雅黑" w:eastAsia="微软雅黑"/>
          <w:sz w:val="18"/>
          <w:szCs w:val="18"/>
        </w:rPr>
        <w:t>Charest A</w:t>
      </w:r>
      <w:r>
        <w:rPr>
          <w:rFonts w:ascii="微软雅黑" w:hAnsi="微软雅黑" w:eastAsia="微软雅黑"/>
          <w:sz w:val="18"/>
          <w:szCs w:val="18"/>
        </w:rPr>
        <w:fldChar w:fldCharType="end"/>
      </w:r>
      <w:r>
        <w:rPr>
          <w:rFonts w:ascii="微软雅黑" w:hAnsi="微软雅黑" w:eastAsia="微软雅黑"/>
          <w:sz w:val="18"/>
          <w:szCs w:val="18"/>
        </w:rPr>
        <w:t xml:space="preserve">, et al. Fusion of FIG to the receptor tyrosine kinase ROS in a glioblastoma with an interstitial del(6)(q21q21). Genes Chromosomes Cancer. 2003, 37(1):58-71. </w:t>
      </w:r>
    </w:p>
    <w:p>
      <w:pPr>
        <w:widowControl/>
        <w:numPr>
          <w:ilvl w:val="0"/>
          <w:numId w:val="26"/>
        </w:numPr>
        <w:spacing w:after="3" w:line="247" w:lineRule="auto"/>
        <w:ind w:right="202" w:hanging="420"/>
        <w:rPr>
          <w:rFonts w:ascii="微软雅黑" w:hAnsi="微软雅黑" w:eastAsia="微软雅黑"/>
          <w:sz w:val="18"/>
          <w:szCs w:val="18"/>
        </w:rPr>
      </w:pPr>
      <w:r>
        <w:rPr>
          <w:rFonts w:ascii="微软雅黑" w:hAnsi="微软雅黑" w:eastAsia="微软雅黑"/>
          <w:sz w:val="18"/>
          <w:szCs w:val="18"/>
        </w:rPr>
        <w:t xml:space="preserve">Rikova K, et al. Global survey of phosphotyrosine signaling identifies oncogenic kinases in lung cancer. Cell. 2007, 131(6):1190-203. </w:t>
      </w:r>
    </w:p>
    <w:p>
      <w:pPr>
        <w:widowControl/>
        <w:numPr>
          <w:ilvl w:val="0"/>
          <w:numId w:val="26"/>
        </w:numPr>
        <w:spacing w:after="3" w:line="247" w:lineRule="auto"/>
        <w:ind w:right="202" w:hanging="420"/>
        <w:rPr>
          <w:rFonts w:ascii="微软雅黑" w:hAnsi="微软雅黑" w:eastAsia="微软雅黑"/>
          <w:sz w:val="18"/>
          <w:szCs w:val="18"/>
        </w:rPr>
      </w:pPr>
      <w:r>
        <w:fldChar w:fldCharType="begin"/>
      </w:r>
      <w:r>
        <w:instrText xml:space="preserve"> HYPERLINK "http://www.ncbi.nlm.nih.gov/pubmed?term=Gu%20TL%5BAuthor%5D&amp;cauthor=true&amp;cauthor_uid=21253578" \h </w:instrText>
      </w:r>
      <w:r>
        <w:fldChar w:fldCharType="separate"/>
      </w:r>
      <w:r>
        <w:rPr>
          <w:rFonts w:ascii="微软雅黑" w:hAnsi="微软雅黑" w:eastAsia="微软雅黑"/>
          <w:sz w:val="18"/>
          <w:szCs w:val="18"/>
        </w:rPr>
        <w:t>Gu T</w:t>
      </w:r>
      <w:r>
        <w:rPr>
          <w:rFonts w:ascii="微软雅黑" w:hAnsi="微软雅黑" w:eastAsia="微软雅黑"/>
          <w:sz w:val="18"/>
          <w:szCs w:val="18"/>
        </w:rPr>
        <w:fldChar w:fldCharType="end"/>
      </w:r>
      <w:r>
        <w:rPr>
          <w:rFonts w:ascii="微软雅黑" w:hAnsi="微软雅黑" w:eastAsia="微软雅黑"/>
          <w:sz w:val="18"/>
          <w:szCs w:val="18"/>
        </w:rPr>
        <w:t xml:space="preserve">L, et al. Survey of tyrosine kinase signaling reveals ROS kinase fusions in human cholangiocarcinoma. PLoS One. 2011, 6(1):e15640. </w:t>
      </w:r>
    </w:p>
    <w:p>
      <w:pPr>
        <w:widowControl/>
        <w:numPr>
          <w:ilvl w:val="0"/>
          <w:numId w:val="26"/>
        </w:numPr>
        <w:spacing w:after="3" w:line="247" w:lineRule="auto"/>
        <w:ind w:right="202" w:hanging="420"/>
        <w:rPr>
          <w:rFonts w:ascii="微软雅黑" w:hAnsi="微软雅黑" w:eastAsia="微软雅黑"/>
          <w:sz w:val="18"/>
          <w:szCs w:val="18"/>
        </w:rPr>
      </w:pPr>
      <w:r>
        <w:fldChar w:fldCharType="begin"/>
      </w:r>
      <w:r>
        <w:instrText xml:space="preserve"> HYPERLINK "http://www.ncbi.nlm.nih.gov/pubmed?term=McDermott%20U%5BAuthor%5D&amp;cauthor=true&amp;cauthor_uid=18451166" \h </w:instrText>
      </w:r>
      <w:r>
        <w:fldChar w:fldCharType="separate"/>
      </w:r>
      <w:r>
        <w:rPr>
          <w:rFonts w:ascii="微软雅黑" w:hAnsi="微软雅黑" w:eastAsia="微软雅黑"/>
          <w:sz w:val="18"/>
          <w:szCs w:val="18"/>
        </w:rPr>
        <w:t>McDermott U</w:t>
      </w:r>
      <w:r>
        <w:rPr>
          <w:rFonts w:ascii="微软雅黑" w:hAnsi="微软雅黑" w:eastAsia="微软雅黑"/>
          <w:sz w:val="18"/>
          <w:szCs w:val="18"/>
        </w:rPr>
        <w:fldChar w:fldCharType="end"/>
      </w:r>
      <w:r>
        <w:rPr>
          <w:rFonts w:ascii="微软雅黑" w:hAnsi="微软雅黑" w:eastAsia="微软雅黑"/>
          <w:sz w:val="18"/>
          <w:szCs w:val="18"/>
        </w:rPr>
        <w:t xml:space="preserve">, et al. Genomic alterations of anaplastic lymphoma kinase may sensitize tumors to anaplastic lymphoma kinase inhibitors. Cancer Res. 2008, 68(9):3389-95. </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pPr>
      <w:r>
        <w:rPr>
          <w:rFonts w:ascii="微软雅黑" w:hAnsi="微软雅黑" w:eastAsia="微软雅黑" w:cs="Arial"/>
          <w:b/>
          <w:sz w:val="24"/>
          <w:szCs w:val="24"/>
        </w:rPr>
        <w:t>RUNX1</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 xml:space="preserve">侏儒相关转录因子1（ RUNX1，也称为AML1）基因编码核心结合因子蛋白的α亚基，该蛋白质被认为参与正常的造血功能。RUNX1在一些恶性血液病出现异味突变，包括急性髓性白血病和急性淋巴细胞白血病。目前正在研究该基因在早幼粒细胞性白血病，以及实体肿瘤如子宫内膜癌，卵巢癌和乳腺癌中的功用。 </w:t>
      </w:r>
    </w:p>
    <w:p>
      <w:pPr>
        <w:spacing w:line="400" w:lineRule="exact"/>
      </w:pPr>
      <w:r>
        <w:rPr>
          <w:rFonts w:ascii="微软雅黑" w:hAnsi="微软雅黑" w:eastAsia="微软雅黑" w:cs="MicrosoftYaHei"/>
          <w:kern w:val="0"/>
          <w:sz w:val="22"/>
          <w:szCs w:val="24"/>
        </w:rPr>
        <w:t>侏儒相关转录因子1 ;易位到，1（细胞周期蛋白 D 相关的） ，也被称为RUNX1T1，编码的是一种转录调控蛋白，也用 AML1T1、ETO，以及MTG8表示。RUNX1T1在急性髓性白血病中的作用已有充分研究。RUNX1T1也可能在慢性粒细胞白血病和其它白血病，以及胰腺癌和卵巢癌中起一定的作用。RUNX1-RUNX1T1主要出现于急性髓性白血病，可见于5-12%的患者</w:t>
      </w:r>
      <w:r>
        <w:rPr>
          <w:rFonts w:ascii="微软雅黑" w:hAnsi="微软雅黑" w:eastAsia="微软雅黑" w:cs="MicrosoftYaHei"/>
          <w:kern w:val="0"/>
          <w:sz w:val="22"/>
          <w:szCs w:val="24"/>
          <w:vertAlign w:val="superscript"/>
        </w:rPr>
        <w:t>1-3</w:t>
      </w:r>
      <w:r>
        <w:rPr>
          <w:rFonts w:ascii="微软雅黑" w:hAnsi="微软雅黑" w:eastAsia="微软雅黑" w:cs="MicrosoftYaHei"/>
          <w:kern w:val="0"/>
          <w:sz w:val="22"/>
          <w:szCs w:val="24"/>
        </w:rPr>
        <w:t>。研究同时发现，RUNX1-RUNX1T1融合蛋白可导致造血功能的改变，但应不足以引起病理改变。因此，RUNX1RUNX1T1融合蛋白需要综合其它的突变的二次打击，才能导致急性髓性白血病</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w:t>
      </w:r>
      <w:r>
        <w:rPr>
          <w:color w:val="222222"/>
        </w:rPr>
        <w:t xml:space="preserve"> </w:t>
      </w:r>
    </w:p>
    <w:p>
      <w:pPr>
        <w:spacing w:after="118" w:line="259" w:lineRule="auto"/>
        <w:ind w:right="129"/>
        <w:jc w:val="center"/>
      </w:pPr>
      <w:r>
        <w:drawing>
          <wp:inline distT="0" distB="0" distL="0" distR="0">
            <wp:extent cx="3257550" cy="2343150"/>
            <wp:effectExtent l="0" t="0" r="0" b="0"/>
            <wp:docPr id="19063" name="Picture 19063"/>
            <wp:cNvGraphicFramePr/>
            <a:graphic xmlns:a="http://schemas.openxmlformats.org/drawingml/2006/main">
              <a:graphicData uri="http://schemas.openxmlformats.org/drawingml/2006/picture">
                <pic:pic xmlns:pic="http://schemas.openxmlformats.org/drawingml/2006/picture">
                  <pic:nvPicPr>
                    <pic:cNvPr id="19063" name="Picture 19063"/>
                    <pic:cNvPicPr/>
                  </pic:nvPicPr>
                  <pic:blipFill>
                    <a:blip r:embed="rId41"/>
                    <a:stretch>
                      <a:fillRect/>
                    </a:stretch>
                  </pic:blipFill>
                  <pic:spPr>
                    <a:xfrm>
                      <a:off x="0" y="0"/>
                      <a:ext cx="3257550" cy="2343150"/>
                    </a:xfrm>
                    <a:prstGeom prst="rect">
                      <a:avLst/>
                    </a:prstGeom>
                  </pic:spPr>
                </pic:pic>
              </a:graphicData>
            </a:graphic>
          </wp:inline>
        </w:drawing>
      </w:r>
      <w:r>
        <w:rPr>
          <w:rFonts w:ascii="Arial" w:hAnsi="Arial" w:eastAsia="Arial" w:cs="Arial"/>
          <w:sz w:val="20"/>
        </w:rPr>
        <w:t xml:space="preserve"> </w:t>
      </w:r>
    </w:p>
    <w:p>
      <w:pPr>
        <w:spacing w:after="233" w:line="265" w:lineRule="auto"/>
        <w:ind w:left="216" w:right="419" w:hanging="10"/>
        <w:jc w:val="center"/>
        <w:rPr>
          <w:rFonts w:ascii="微软雅黑" w:hAnsi="微软雅黑" w:eastAsia="微软雅黑"/>
        </w:rPr>
      </w:pPr>
      <w:r>
        <w:rPr>
          <w:rFonts w:ascii="微软雅黑" w:hAnsi="微软雅黑" w:eastAsia="微软雅黑" w:cs="微软雅黑"/>
          <w:sz w:val="18"/>
        </w:rPr>
        <w:t>图示：</w:t>
      </w:r>
      <w:r>
        <w:rPr>
          <w:rFonts w:ascii="微软雅黑" w:hAnsi="微软雅黑" w:eastAsia="微软雅黑"/>
          <w:sz w:val="18"/>
        </w:rPr>
        <w:t>RUNX1</w:t>
      </w:r>
      <w:r>
        <w:rPr>
          <w:rFonts w:ascii="微软雅黑" w:hAnsi="微软雅黑" w:eastAsia="微软雅黑" w:cs="微软雅黑"/>
          <w:sz w:val="18"/>
        </w:rPr>
        <w:t xml:space="preserve">融合基因的几种形式 </w:t>
      </w:r>
      <w:r>
        <w:rPr>
          <w:rFonts w:ascii="微软雅黑" w:hAnsi="微软雅黑" w:eastAsia="微软雅黑" w:cs="微软雅黑"/>
          <w:sz w:val="18"/>
          <w:vertAlign w:val="superscript"/>
        </w:rPr>
        <w:t xml:space="preserve">4 </w:t>
      </w:r>
      <w:r>
        <w:rPr>
          <w:rFonts w:ascii="微软雅黑" w:hAnsi="微软雅黑" w:eastAsia="微软雅黑" w:cs="微软雅黑"/>
          <w:sz w:val="18"/>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27"/>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"http://www.ncbi.nlm.nih.gov/pubmed?term=Grimwade%20D%5BAuthor%5D&amp;cauthor=true&amp;cauthor_uid=20385793" \h </w:instrText>
      </w:r>
      <w:r>
        <w:fldChar w:fldCharType="separate"/>
      </w:r>
      <w:r>
        <w:rPr>
          <w:rFonts w:ascii="Times New Roman" w:hAnsi="Times New Roman" w:cs="Times New Roman"/>
          <w:sz w:val="18"/>
          <w:szCs w:val="18"/>
        </w:rPr>
        <w:t>Grimwade Y</w:t>
      </w:r>
      <w:r>
        <w:rPr>
          <w:rFonts w:ascii="Times New Roman" w:hAnsi="Times New Roman" w:cs="Times New Roman"/>
          <w:sz w:val="18"/>
          <w:szCs w:val="18"/>
        </w:rPr>
        <w:fldChar w:fldCharType="end"/>
      </w:r>
      <w:r>
        <w:rPr>
          <w:rFonts w:ascii="Times New Roman" w:hAnsi="Times New Roman" w:cs="Times New Roman"/>
          <w:sz w:val="18"/>
          <w:szCs w:val="18"/>
        </w:rPr>
        <w:t xml:space="preserve">, et al. Refinement of cytogenetic classification in acute myeloid leukemia: determination of prognostic significance of rare recurring chromosomal abnormalities among 5876 younger adult patients treated in the United Kingdom Medical Research Council trials. Blood. 2010, 116(3):354-65. </w:t>
      </w:r>
      <w:r>
        <w:rPr>
          <w:rFonts w:ascii="Times New Roman" w:hAnsi="Times New Roman" w:cs="Times New Roman"/>
          <w:sz w:val="18"/>
          <w:szCs w:val="18"/>
        </w:rPr>
        <w:tab/>
      </w:r>
      <w:r>
        <w:rPr>
          <w:rFonts w:ascii="Times New Roman" w:hAnsi="Times New Roman" w:cs="Times New Roman"/>
          <w:sz w:val="18"/>
          <w:szCs w:val="18"/>
        </w:rPr>
        <w:t xml:space="preserve"> </w:t>
      </w:r>
    </w:p>
    <w:p>
      <w:pPr>
        <w:widowControl/>
        <w:numPr>
          <w:ilvl w:val="0"/>
          <w:numId w:val="27"/>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"http://www.ncbi.nlm.nih.gov/pubmed?term=Lam%20K%5BAuthor%5D&amp;cauthor=true&amp;cauthor_uid=22201794" \h </w:instrText>
      </w:r>
      <w:r>
        <w:fldChar w:fldCharType="separate"/>
      </w:r>
      <w:r>
        <w:rPr>
          <w:rFonts w:ascii="Times New Roman" w:hAnsi="Times New Roman" w:cs="Times New Roman"/>
          <w:sz w:val="18"/>
          <w:szCs w:val="18"/>
        </w:rPr>
        <w:t>Lam K</w:t>
      </w:r>
      <w:r>
        <w:rPr>
          <w:rFonts w:ascii="Times New Roman" w:hAnsi="Times New Roman" w:cs="Times New Roman"/>
          <w:sz w:val="18"/>
          <w:szCs w:val="18"/>
        </w:rPr>
        <w:fldChar w:fldCharType="end"/>
      </w:r>
      <w:r>
        <w:fldChar w:fldCharType="begin"/>
      </w:r>
      <w:r>
        <w:instrText xml:space="preserve"> HYPERLINK "http://www.ncbi.nlm.nih.gov/pubmed?term=Lam%20K%5BAuthor%5D&amp;cauthor=true&amp;cauthor_uid=22201794" \h </w:instrText>
      </w:r>
      <w:r>
        <w:fldChar w:fldCharType="separate"/>
      </w:r>
      <w:r>
        <w:rPr>
          <w:rFonts w:ascii="Times New Roman" w:hAnsi="Times New Roman" w:cs="Times New Roman"/>
          <w:sz w:val="18"/>
          <w:szCs w:val="18"/>
        </w:rPr>
        <w:t>,</w:t>
      </w:r>
      <w:r>
        <w:rPr>
          <w:rFonts w:ascii="Times New Roman" w:hAnsi="Times New Roman" w:cs="Times New Roman"/>
          <w:sz w:val="18"/>
          <w:szCs w:val="18"/>
        </w:rPr>
        <w:fldChar w:fldCharType="end"/>
      </w:r>
      <w:r>
        <w:fldChar w:fldCharType="begin"/>
      </w:r>
      <w:r>
        <w:instrText xml:space="preserve"> HYPERLINK "http://www.ncbi.nlm.nih.gov/pubmed?term=Zhang%20DE%5BAuthor%5D&amp;cauthor=true&amp;cauthor_uid=22201794"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fldChar w:fldCharType="begin"/>
      </w:r>
      <w:r>
        <w:instrText xml:space="preserve"> HYPERLINK "http://www.ncbi.nlm.nih.gov/pubmed?term=Zhang%20DE%5BAuthor%5D&amp;cauthor=true&amp;cauthor_uid=22201794" \h </w:instrText>
      </w:r>
      <w:r>
        <w:fldChar w:fldCharType="separate"/>
      </w:r>
      <w:r>
        <w:rPr>
          <w:rFonts w:ascii="Times New Roman" w:hAnsi="Times New Roman" w:cs="Times New Roman"/>
          <w:sz w:val="18"/>
          <w:szCs w:val="18"/>
        </w:rPr>
        <w:t>Zhang DE.</w:t>
      </w:r>
      <w:r>
        <w:rPr>
          <w:rFonts w:ascii="Times New Roman" w:hAnsi="Times New Roman" w:cs="Times New Roman"/>
          <w:sz w:val="18"/>
          <w:szCs w:val="18"/>
        </w:rPr>
        <w:fldChar w:fldCharType="end"/>
      </w:r>
      <w:r>
        <w:rPr>
          <w:rFonts w:ascii="Times New Roman" w:hAnsi="Times New Roman" w:cs="Times New Roman"/>
          <w:sz w:val="18"/>
          <w:szCs w:val="18"/>
        </w:rPr>
        <w:t xml:space="preserve"> RUNX1 and RUNX1-ETO: roles in hematopoiesis and leukemogenesis. Front Biosci (Landmark Ed). 2012, 17:1120-39.  </w:t>
      </w:r>
    </w:p>
    <w:p>
      <w:pPr>
        <w:widowControl/>
        <w:numPr>
          <w:ilvl w:val="0"/>
          <w:numId w:val="27"/>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Zhang YM</w:t>
      </w:r>
      <w:r>
        <w:fldChar w:fldCharType="begin"/>
      </w:r>
      <w:r>
        <w:instrText xml:space="preserve"> HYPERLINK "http://www.uptodate.com/contents/cytogenetics-in-acute-myeloid-leukemia?source=search_result&amp;search=aml+cytogenetics&amp;selectedTitle=1~150" \h </w:instrText>
      </w:r>
      <w:r>
        <w:fldChar w:fldCharType="separate"/>
      </w:r>
      <w:r>
        <w:rPr>
          <w:rFonts w:ascii="Times New Roman" w:hAnsi="Times New Roman" w:cs="Times New Roman"/>
          <w:sz w:val="18"/>
          <w:szCs w:val="18"/>
        </w:rPr>
        <w:t>, Le Beau</w:t>
      </w:r>
      <w:r>
        <w:rPr>
          <w:rFonts w:ascii="Times New Roman" w:hAnsi="Times New Roman" w:cs="Times New Roman"/>
          <w:sz w:val="18"/>
          <w:szCs w:val="18"/>
        </w:rPr>
        <w:fldChar w:fldCharType="end"/>
      </w:r>
      <w:r>
        <w:fldChar w:fldCharType="begin"/>
      </w:r>
      <w:r>
        <w:instrText xml:space="preserve"> HYPERLINK "http://www.uptodate.com/contents/cytogenetics-in-acute-myeloid-leukemia?source=search_result&amp;search=aml+cytogenetics&amp;selectedTitle=1~150"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rPr>
          <w:rFonts w:ascii="Times New Roman" w:hAnsi="Times New Roman" w:cs="Times New Roman"/>
          <w:sz w:val="18"/>
          <w:szCs w:val="18"/>
        </w:rPr>
        <w:t xml:space="preserve">MM. Cytogenetics in acute myeloid leukemia. 2013. UptoDate website.   </w:t>
      </w:r>
    </w:p>
    <w:p>
      <w:pPr>
        <w:widowControl/>
        <w:numPr>
          <w:ilvl w:val="0"/>
          <w:numId w:val="27"/>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Speck NA, Gilliland DG. Core-binding factors in haematopoiesis and leukaemia. Nat Rev Cancer. 2002, 2(7):502-13.</w:t>
      </w:r>
    </w:p>
    <w:p>
      <w:pPr>
        <w:widowControl/>
        <w:jc w:val="left"/>
        <w:rPr>
          <w:rFonts w:ascii="Times New Roman" w:hAnsi="Times New Roman" w:cs="Times New Roman"/>
          <w:sz w:val="18"/>
          <w:szCs w:val="18"/>
        </w:rPr>
      </w:pPr>
      <w:r>
        <w:rPr>
          <w:rFonts w:ascii="Times New Roman" w:hAnsi="Times New Roman" w:cs="Times New Roman"/>
          <w:sz w:val="18"/>
          <w:szCs w:val="18"/>
        </w:rPr>
        <w:br w:type="page"/>
      </w:r>
    </w:p>
    <w:p>
      <w:pPr>
        <w:spacing w:after="38" w:line="259" w:lineRule="auto"/>
        <w:ind w:left="-5" w:hanging="10"/>
        <w:jc w:val="center"/>
        <w:rPr>
          <w:rFonts w:ascii="微软雅黑" w:hAnsi="微软雅黑" w:eastAsia="微软雅黑" w:cs="Arial"/>
          <w:b/>
          <w:sz w:val="24"/>
          <w:szCs w:val="24"/>
        </w:rPr>
      </w:pPr>
      <w:r>
        <w:rPr>
          <w:rFonts w:ascii="微软雅黑" w:hAnsi="微软雅黑" w:eastAsia="微软雅黑" w:cs="Arial"/>
          <w:b/>
          <w:sz w:val="24"/>
          <w:szCs w:val="24"/>
        </w:rPr>
        <w:t>SMO</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SMO是Hedgehog信号通路的一个组成部分（图1）。SMO和PTCH1是跨膜受体蛋白，可传递 Hedgehog 配体信号到细胞内。PTCH1或SMO突变均会导致SMO的构成型活化，已知在基底细胞癌、胶质母细胞瘤、髓母细胞瘤、横纹肌肉瘤的癌变中起一定的作用</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。Hedgehog 信号通路对胚胎发育至关重要；以皮肤为例，Hedgehog 参与维持干细胞生长、毛囊和腺体的发育及调节皮肤生长</w:t>
      </w:r>
      <w:r>
        <w:rPr>
          <w:rFonts w:ascii="微软雅黑" w:hAnsi="微软雅黑" w:eastAsia="微软雅黑" w:cs="MicrosoftYaHei"/>
          <w:kern w:val="0"/>
          <w:sz w:val="22"/>
          <w:szCs w:val="24"/>
          <w:vertAlign w:val="superscript"/>
        </w:rPr>
        <w:t>2</w:t>
      </w:r>
      <w:r>
        <w:rPr>
          <w:rFonts w:ascii="微软雅黑" w:hAnsi="微软雅黑" w:eastAsia="微软雅黑" w:cs="MicrosoftYaHei"/>
          <w:kern w:val="0"/>
          <w:sz w:val="22"/>
          <w:szCs w:val="24"/>
        </w:rPr>
        <w:t xml:space="preserve">。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胚胎发育完成后，大多数人类组织Hedgehog信号通路处于非活动状态</w:t>
      </w:r>
      <w:r>
        <w:rPr>
          <w:rFonts w:ascii="微软雅黑" w:hAnsi="微软雅黑" w:eastAsia="微软雅黑" w:cs="MicrosoftYaHei"/>
          <w:kern w:val="0"/>
          <w:sz w:val="22"/>
          <w:szCs w:val="24"/>
          <w:vertAlign w:val="superscript"/>
        </w:rPr>
        <w:t>3</w:t>
      </w:r>
      <w:r>
        <w:rPr>
          <w:rFonts w:ascii="微软雅黑" w:hAnsi="微软雅黑" w:eastAsia="微软雅黑" w:cs="MicrosoftYaHei"/>
          <w:kern w:val="0"/>
          <w:sz w:val="22"/>
          <w:szCs w:val="24"/>
        </w:rPr>
        <w:t>。该信号途径的激活可导致或有助于癌变</w:t>
      </w:r>
      <w:r>
        <w:rPr>
          <w:rFonts w:ascii="微软雅黑" w:hAnsi="微软雅黑" w:eastAsia="微软雅黑" w:cs="MicrosoftYaHei"/>
          <w:kern w:val="0"/>
          <w:sz w:val="22"/>
          <w:szCs w:val="24"/>
          <w:vertAlign w:val="superscript"/>
        </w:rPr>
        <w:t>1</w:t>
      </w:r>
      <w:r>
        <w:rPr>
          <w:rFonts w:ascii="微软雅黑" w:hAnsi="微软雅黑" w:eastAsia="微软雅黑" w:cs="MicrosoftYaHei"/>
          <w:kern w:val="0"/>
          <w:sz w:val="22"/>
          <w:szCs w:val="24"/>
        </w:rPr>
        <w:t>。有研究发现SMO可作为癌症治疗的靶标</w:t>
      </w:r>
      <w:r>
        <w:rPr>
          <w:rFonts w:ascii="微软雅黑" w:hAnsi="微软雅黑" w:eastAsia="微软雅黑" w:cs="MicrosoftYaHei"/>
          <w:kern w:val="0"/>
          <w:sz w:val="22"/>
          <w:szCs w:val="24"/>
          <w:vertAlign w:val="superscript"/>
        </w:rPr>
        <w:t>3-5</w:t>
      </w:r>
      <w:r>
        <w:rPr>
          <w:rFonts w:ascii="微软雅黑" w:hAnsi="微软雅黑" w:eastAsia="微软雅黑" w:cs="MicrosoftYaHei"/>
          <w:kern w:val="0"/>
          <w:sz w:val="22"/>
          <w:szCs w:val="24"/>
        </w:rPr>
        <w:t>。SMO抑制剂，以环杷明为例，可紧密结合SMO受体，从而抑制Hedgehog信号通路</w:t>
      </w:r>
      <w:r>
        <w:rPr>
          <w:rFonts w:ascii="微软雅黑" w:hAnsi="微软雅黑" w:eastAsia="微软雅黑" w:cs="MicrosoftYaHei"/>
          <w:kern w:val="0"/>
          <w:sz w:val="22"/>
          <w:szCs w:val="24"/>
          <w:vertAlign w:val="superscript"/>
        </w:rPr>
        <w:t>3，6</w:t>
      </w:r>
      <w:r>
        <w:rPr>
          <w:rFonts w:ascii="微软雅黑" w:hAnsi="微软雅黑" w:eastAsia="微软雅黑" w:cs="MicrosoftYaHei"/>
          <w:kern w:val="0"/>
          <w:sz w:val="22"/>
          <w:szCs w:val="24"/>
        </w:rPr>
        <w:t xml:space="preserve">。 </w:t>
      </w:r>
    </w:p>
    <w:p>
      <w:pPr>
        <w:spacing w:after="27" w:line="259" w:lineRule="auto"/>
        <w:ind w:right="141"/>
        <w:jc w:val="center"/>
      </w:pPr>
      <w:r>
        <w:drawing>
          <wp:inline distT="0" distB="0" distL="0" distR="0">
            <wp:extent cx="1600200" cy="2114550"/>
            <wp:effectExtent l="0" t="0" r="0" b="0"/>
            <wp:docPr id="19260" name="Picture 19260"/>
            <wp:cNvGraphicFramePr/>
            <a:graphic xmlns:a="http://schemas.openxmlformats.org/drawingml/2006/main">
              <a:graphicData uri="http://schemas.openxmlformats.org/drawingml/2006/picture">
                <pic:pic xmlns:pic="http://schemas.openxmlformats.org/drawingml/2006/picture">
                  <pic:nvPicPr>
                    <pic:cNvPr id="19260" name="Picture 19260"/>
                    <pic:cNvPicPr/>
                  </pic:nvPicPr>
                  <pic:blipFill>
                    <a:blip r:embed="rId42"/>
                    <a:stretch>
                      <a:fillRect/>
                    </a:stretch>
                  </pic:blipFill>
                  <pic:spPr>
                    <a:xfrm>
                      <a:off x="0" y="0"/>
                      <a:ext cx="1600200" cy="2114550"/>
                    </a:xfrm>
                    <a:prstGeom prst="rect">
                      <a:avLst/>
                    </a:prstGeom>
                  </pic:spPr>
                </pic:pic>
              </a:graphicData>
            </a:graphic>
          </wp:inline>
        </w:drawing>
      </w:r>
      <w:r>
        <w:rPr>
          <w:b/>
          <w:sz w:val="18"/>
        </w:rPr>
        <w:t xml:space="preserve"> </w:t>
      </w:r>
    </w:p>
    <w:p>
      <w:pPr>
        <w:spacing w:after="38" w:line="259" w:lineRule="auto"/>
        <w:ind w:right="158"/>
        <w:jc w:val="center"/>
        <w:rPr>
          <w:rFonts w:ascii="微软雅黑" w:hAnsi="微软雅黑" w:eastAsia="微软雅黑"/>
        </w:rPr>
      </w:pPr>
      <w:r>
        <w:rPr>
          <w:rFonts w:ascii="微软雅黑" w:hAnsi="微软雅黑" w:eastAsia="微软雅黑" w:cs="Arial"/>
          <w:sz w:val="20"/>
        </w:rPr>
        <w:t xml:space="preserve"> </w:t>
      </w:r>
    </w:p>
    <w:p>
      <w:pPr>
        <w:spacing w:after="345" w:line="264" w:lineRule="auto"/>
        <w:ind w:left="10" w:right="216" w:hanging="10"/>
        <w:jc w:val="center"/>
        <w:rPr>
          <w:rFonts w:ascii="微软雅黑" w:hAnsi="微软雅黑" w:eastAsia="微软雅黑"/>
        </w:rPr>
      </w:pPr>
      <w:r>
        <w:rPr>
          <w:rFonts w:ascii="微软雅黑" w:hAnsi="微软雅黑" w:eastAsia="微软雅黑" w:cs="微软雅黑"/>
          <w:sz w:val="18"/>
        </w:rPr>
        <w:t>图示：</w:t>
      </w:r>
      <w:r>
        <w:rPr>
          <w:rFonts w:ascii="微软雅黑" w:hAnsi="微软雅黑" w:eastAsia="微软雅黑"/>
          <w:color w:val="222222"/>
          <w:sz w:val="18"/>
        </w:rPr>
        <w:t>Hedgehog</w:t>
      </w:r>
      <w:r>
        <w:rPr>
          <w:rFonts w:ascii="微软雅黑" w:hAnsi="微软雅黑" w:eastAsia="微软雅黑" w:cs="微软雅黑"/>
          <w:color w:val="222222"/>
          <w:sz w:val="18"/>
        </w:rPr>
        <w:t>信号通路</w:t>
      </w:r>
      <w:r>
        <w:rPr>
          <w:rFonts w:ascii="微软雅黑" w:hAnsi="微软雅黑" w:eastAsia="微软雅黑" w:cs="Arial"/>
          <w:b/>
          <w:sz w:val="20"/>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28"/>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"http://www.ncbi.nlm.nih.gov/pubmed?term=Onishi%20H%5BAuthor%5D&amp;cauthor=true&amp;cauthor_uid=21679342" \h </w:instrText>
      </w:r>
      <w:r>
        <w:fldChar w:fldCharType="separate"/>
      </w:r>
      <w:r>
        <w:rPr>
          <w:rFonts w:ascii="Times New Roman" w:hAnsi="Times New Roman" w:cs="Times New Roman"/>
          <w:sz w:val="18"/>
          <w:szCs w:val="18"/>
        </w:rPr>
        <w:t>Onishi H</w:t>
      </w:r>
      <w:r>
        <w:rPr>
          <w:rFonts w:ascii="Times New Roman" w:hAnsi="Times New Roman" w:cs="Times New Roman"/>
          <w:sz w:val="18"/>
          <w:szCs w:val="18"/>
        </w:rPr>
        <w:fldChar w:fldCharType="end"/>
      </w:r>
      <w:r>
        <w:fldChar w:fldCharType="begin"/>
      </w:r>
      <w:r>
        <w:instrText xml:space="preserve"> HYPERLINK "http://www.ncbi.nlm.nih.gov/pubmed?term=Onishi%20H%5BAuthor%5D&amp;cauthor=true&amp;cauthor_uid=21679342" \h </w:instrText>
      </w:r>
      <w:r>
        <w:fldChar w:fldCharType="separate"/>
      </w:r>
      <w:r>
        <w:rPr>
          <w:rFonts w:ascii="Times New Roman" w:hAnsi="Times New Roman" w:cs="Times New Roman"/>
          <w:sz w:val="18"/>
          <w:szCs w:val="18"/>
        </w:rPr>
        <w:t>,</w:t>
      </w:r>
      <w:r>
        <w:rPr>
          <w:rFonts w:ascii="Times New Roman" w:hAnsi="Times New Roman" w:cs="Times New Roman"/>
          <w:sz w:val="18"/>
          <w:szCs w:val="18"/>
        </w:rPr>
        <w:fldChar w:fldCharType="end"/>
      </w:r>
      <w:r>
        <w:fldChar w:fldCharType="begin"/>
      </w:r>
      <w:r>
        <w:instrText xml:space="preserve"> HYPERLINK "http://www.ncbi.nlm.nih.gov/pubmed?term=Katano%20M%5BAuthor%5D&amp;cauthor=true&amp;cauthor_uid=21679342"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fldChar w:fldCharType="begin"/>
      </w:r>
      <w:r>
        <w:instrText xml:space="preserve"> HYPERLINK "http://www.ncbi.nlm.nih.gov/pubmed?term=Katano%20M%5BAuthor%5D&amp;cauthor=true&amp;cauthor_uid=21679342" \h </w:instrText>
      </w:r>
      <w:r>
        <w:fldChar w:fldCharType="separate"/>
      </w:r>
      <w:r>
        <w:rPr>
          <w:rFonts w:ascii="Times New Roman" w:hAnsi="Times New Roman" w:cs="Times New Roman"/>
          <w:sz w:val="18"/>
          <w:szCs w:val="18"/>
        </w:rPr>
        <w:t>Katano M.</w:t>
      </w:r>
      <w:r>
        <w:rPr>
          <w:rFonts w:ascii="Times New Roman" w:hAnsi="Times New Roman" w:cs="Times New Roman"/>
          <w:sz w:val="18"/>
          <w:szCs w:val="18"/>
        </w:rPr>
        <w:fldChar w:fldCharType="end"/>
      </w:r>
      <w:r>
        <w:rPr>
          <w:rFonts w:ascii="Times New Roman" w:hAnsi="Times New Roman" w:cs="Times New Roman"/>
          <w:sz w:val="18"/>
          <w:szCs w:val="18"/>
        </w:rPr>
        <w:t xml:space="preserve"> Hedgehog signaling pathway as a therapeutic target in various types of cancer. Cancer Sci. 2011, 102(10):1756-60. </w:t>
      </w:r>
    </w:p>
    <w:p>
      <w:pPr>
        <w:widowControl/>
        <w:numPr>
          <w:ilvl w:val="0"/>
          <w:numId w:val="28"/>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"http://www.ncbi.nlm.nih.gov/pubmed?term=Athar%20M%5BAuthor%5D&amp;cauthor=true&amp;cauthor_uid=16881963" \h </w:instrText>
      </w:r>
      <w:r>
        <w:fldChar w:fldCharType="separate"/>
      </w:r>
      <w:r>
        <w:rPr>
          <w:rFonts w:ascii="Times New Roman" w:hAnsi="Times New Roman" w:cs="Times New Roman"/>
          <w:sz w:val="18"/>
          <w:szCs w:val="18"/>
        </w:rPr>
        <w:t>Athar M, e</w:t>
      </w:r>
      <w:r>
        <w:rPr>
          <w:rFonts w:ascii="Times New Roman" w:hAnsi="Times New Roman" w:cs="Times New Roman"/>
          <w:sz w:val="18"/>
          <w:szCs w:val="18"/>
        </w:rPr>
        <w:fldChar w:fldCharType="end"/>
      </w:r>
      <w:r>
        <w:rPr>
          <w:rFonts w:ascii="Times New Roman" w:hAnsi="Times New Roman" w:cs="Times New Roman"/>
          <w:sz w:val="18"/>
          <w:szCs w:val="18"/>
        </w:rPr>
        <w:t xml:space="preserve">t al. Hedgehog signalling in skin development and cancer. Exp Dermatol. 2006, 15(9):667-77. </w:t>
      </w:r>
    </w:p>
    <w:p>
      <w:pPr>
        <w:widowControl/>
        <w:numPr>
          <w:ilvl w:val="0"/>
          <w:numId w:val="28"/>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"http://www.ncbi.nlm.nih.gov/pubmed?term=Rudin%20CM%5BAuthor%5D&amp;cauthor=true&amp;cauthor_uid=22679179" \h </w:instrText>
      </w:r>
      <w:r>
        <w:fldChar w:fldCharType="separate"/>
      </w:r>
      <w:r>
        <w:rPr>
          <w:rFonts w:ascii="Times New Roman" w:hAnsi="Times New Roman" w:cs="Times New Roman"/>
          <w:sz w:val="18"/>
          <w:szCs w:val="18"/>
        </w:rPr>
        <w:t>Rudin CM.</w:t>
      </w:r>
      <w:r>
        <w:rPr>
          <w:rFonts w:ascii="Times New Roman" w:hAnsi="Times New Roman" w:cs="Times New Roman"/>
          <w:sz w:val="18"/>
          <w:szCs w:val="18"/>
        </w:rPr>
        <w:fldChar w:fldCharType="end"/>
      </w:r>
      <w:r>
        <w:rPr>
          <w:rFonts w:ascii="Times New Roman" w:hAnsi="Times New Roman" w:cs="Times New Roman"/>
          <w:sz w:val="18"/>
          <w:szCs w:val="18"/>
        </w:rPr>
        <w:t xml:space="preserve"> Vismodegib. Clin Cancer Res. 2012, 18(12):3218-22. </w:t>
      </w:r>
    </w:p>
    <w:p>
      <w:pPr>
        <w:widowControl/>
        <w:numPr>
          <w:ilvl w:val="0"/>
          <w:numId w:val="28"/>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"http://www.ncbi.nlm.nih.gov/pubmed?term=Hahn%20H%5BAuthor%5D&amp;cauthor=true&amp;cauthor_uid=8681379" \h </w:instrText>
      </w:r>
      <w:r>
        <w:fldChar w:fldCharType="separate"/>
      </w:r>
      <w:r>
        <w:rPr>
          <w:rFonts w:ascii="Times New Roman" w:hAnsi="Times New Roman" w:cs="Times New Roman"/>
          <w:sz w:val="18"/>
          <w:szCs w:val="18"/>
        </w:rPr>
        <w:t>Hahn</w:t>
      </w:r>
      <w:r>
        <w:rPr>
          <w:rFonts w:ascii="Times New Roman" w:hAnsi="Times New Roman" w:cs="Times New Roman"/>
          <w:sz w:val="18"/>
          <w:szCs w:val="18"/>
        </w:rPr>
        <w:fldChar w:fldCharType="end"/>
      </w:r>
      <w:r>
        <w:fldChar w:fldCharType="begin"/>
      </w:r>
      <w:r>
        <w:instrText xml:space="preserve"> HYPERLINK "http://www.ncbi.nlm.nih.gov/pubmed?term=Hahn%20H%5BAuthor%5D&amp;cauthor=true&amp;cauthor_uid=8681379"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rPr>
          <w:rFonts w:ascii="Times New Roman" w:hAnsi="Times New Roman" w:cs="Times New Roman"/>
          <w:sz w:val="18"/>
          <w:szCs w:val="18"/>
        </w:rPr>
        <w:t xml:space="preserve">et al. Mutations of the human homolog of Drosophila patched in the nevoid basal cell carcinoma syndrome. Cell. 1996, 85(6):841-51. </w:t>
      </w:r>
    </w:p>
    <w:p>
      <w:pPr>
        <w:widowControl/>
        <w:numPr>
          <w:ilvl w:val="0"/>
          <w:numId w:val="28"/>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 xml:space="preserve">Johnson RL, et al. Human homolog of patched, a candidate gene for the basal cell nevus syndrome. Science. 1996, 272(5268):1668-71. </w:t>
      </w:r>
    </w:p>
    <w:p>
      <w:pPr>
        <w:widowControl/>
        <w:numPr>
          <w:ilvl w:val="0"/>
          <w:numId w:val="28"/>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Robarge KD, et al. GDC-0449-a potent inhibitor of the hedgehog pathway. Bioorg Med Chem Lett. 2009, 19(19):5576-81.</w:t>
      </w:r>
    </w:p>
    <w:p>
      <w:pPr>
        <w:widowControl/>
        <w:jc w:val="left"/>
      </w:pPr>
      <w:r>
        <w:br w:type="page"/>
      </w:r>
    </w:p>
    <w:p>
      <w:pPr>
        <w:spacing w:after="38" w:line="259" w:lineRule="auto"/>
        <w:ind w:left="-5" w:hanging="10"/>
        <w:jc w:val="center"/>
        <w:rPr>
          <w:rFonts w:ascii="微软雅黑" w:hAnsi="微软雅黑" w:eastAsia="微软雅黑" w:cs="Arial"/>
          <w:b/>
          <w:sz w:val="24"/>
          <w:szCs w:val="24"/>
        </w:rPr>
      </w:pPr>
      <w:r>
        <w:rPr>
          <w:rFonts w:ascii="微软雅黑" w:hAnsi="微软雅黑" w:eastAsia="微软雅黑" w:cs="Arial"/>
          <w:b/>
          <w:sz w:val="24"/>
          <w:szCs w:val="24"/>
        </w:rPr>
        <w:t xml:space="preserve">TSC1 </w:t>
      </w:r>
    </w:p>
    <w:p>
      <w:pPr>
        <w:spacing w:line="400" w:lineRule="exact"/>
        <w:rPr>
          <w:rFonts w:ascii="微软雅黑" w:hAnsi="微软雅黑" w:eastAsia="微软雅黑" w:cs="MicrosoftYaHei"/>
          <w:kern w:val="0"/>
          <w:sz w:val="22"/>
          <w:szCs w:val="24"/>
        </w:rPr>
      </w:pPr>
      <w:r>
        <w:rPr>
          <w:rFonts w:ascii="微软雅黑" w:hAnsi="微软雅黑" w:eastAsia="微软雅黑" w:cs="MicrosoftYaHei"/>
          <w:kern w:val="0"/>
          <w:sz w:val="22"/>
          <w:szCs w:val="24"/>
        </w:rPr>
        <w:t>结节性硬化症1（TSC1）基因编码的蛋白质，hamartin，可与由TSC2基因编码的蛋白质---马铃薯球蛋白1交互作用（图示）。TSC1通过调控与细胞增殖有关的mTOR 通路起到肿瘤抑制的作用</w:t>
      </w:r>
      <w:r>
        <w:rPr>
          <w:rFonts w:ascii="微软雅黑" w:hAnsi="微软雅黑" w:eastAsia="微软雅黑" w:cs="MicrosoftYaHei"/>
          <w:kern w:val="0"/>
          <w:sz w:val="22"/>
          <w:szCs w:val="24"/>
          <w:vertAlign w:val="superscript"/>
        </w:rPr>
        <w:t>1，2</w:t>
      </w:r>
      <w:r>
        <w:rPr>
          <w:rFonts w:ascii="微软雅黑" w:hAnsi="微软雅黑" w:eastAsia="微软雅黑" w:cs="MicrosoftYaHei"/>
          <w:kern w:val="0"/>
          <w:sz w:val="22"/>
          <w:szCs w:val="24"/>
        </w:rPr>
        <w:t>。 TSC1与mTOR信号途径的蛋白质相互作用；有报道一位携带TSC1突变的膀胱癌患者，使用mTOR抑制剂依维莫司取得疗效</w:t>
      </w:r>
      <w:r>
        <w:rPr>
          <w:rFonts w:ascii="微软雅黑" w:hAnsi="微软雅黑" w:eastAsia="微软雅黑" w:cs="MicrosoftYaHei"/>
          <w:kern w:val="0"/>
          <w:sz w:val="22"/>
          <w:szCs w:val="24"/>
          <w:vertAlign w:val="superscript"/>
        </w:rPr>
        <w:t>3</w:t>
      </w:r>
      <w:r>
        <w:rPr>
          <w:rFonts w:ascii="微软雅黑" w:hAnsi="微软雅黑" w:eastAsia="微软雅黑" w:cs="MicrosoftYaHei"/>
          <w:kern w:val="0"/>
          <w:sz w:val="22"/>
          <w:szCs w:val="24"/>
        </w:rPr>
        <w:t>。约7-12％的膀胱癌患者存在TSC1突变，突变的频率在低级别、非侵入性和高级别、侵入性癌症中相似</w:t>
      </w:r>
      <w:r>
        <w:rPr>
          <w:rFonts w:ascii="微软雅黑" w:hAnsi="微软雅黑" w:eastAsia="微软雅黑" w:cs="MicrosoftYaHei"/>
          <w:kern w:val="0"/>
          <w:sz w:val="22"/>
          <w:szCs w:val="24"/>
          <w:vertAlign w:val="superscript"/>
        </w:rPr>
        <w:t>2，3</w:t>
      </w:r>
      <w:r>
        <w:rPr>
          <w:rFonts w:ascii="微软雅黑" w:hAnsi="微软雅黑" w:eastAsia="微软雅黑" w:cs="MicrosoftYaHei"/>
          <w:kern w:val="0"/>
          <w:sz w:val="22"/>
          <w:szCs w:val="24"/>
        </w:rPr>
        <w:t>。mTOR 抑制剂已被提出作为一种治疗携带TSC1突变膀胱癌病人的潜在方法</w:t>
      </w:r>
      <w:r>
        <w:rPr>
          <w:rFonts w:ascii="微软雅黑" w:hAnsi="微软雅黑" w:eastAsia="微软雅黑" w:cs="MicrosoftYaHei"/>
          <w:kern w:val="0"/>
          <w:sz w:val="22"/>
          <w:szCs w:val="24"/>
          <w:vertAlign w:val="superscript"/>
        </w:rPr>
        <w:t>3</w:t>
      </w:r>
      <w:r>
        <w:rPr>
          <w:rFonts w:ascii="微软雅黑" w:hAnsi="微软雅黑" w:eastAsia="微软雅黑" w:cs="MicrosoftYaHei"/>
          <w:kern w:val="0"/>
          <w:sz w:val="22"/>
          <w:szCs w:val="24"/>
        </w:rPr>
        <w:t xml:space="preserve">，还需要进一步的研究来证实该治疗方案或探索其他的治疗策略，实现膀胱癌的靶向治疗。 </w:t>
      </w:r>
    </w:p>
    <w:p>
      <w:pPr>
        <w:spacing w:line="259" w:lineRule="auto"/>
        <w:ind w:left="401"/>
        <w:jc w:val="left"/>
      </w:pPr>
      <w:r>
        <w:rPr>
          <w:rFonts w:ascii="Arial" w:hAnsi="Arial" w:eastAsia="Arial" w:cs="Arial"/>
          <w:sz w:val="20"/>
        </w:rPr>
        <w:t xml:space="preserve"> </w:t>
      </w:r>
    </w:p>
    <w:p>
      <w:pPr>
        <w:spacing w:after="61" w:line="216" w:lineRule="auto"/>
        <w:ind w:left="4681" w:right="2830" w:hanging="1981"/>
        <w:jc w:val="left"/>
      </w:pPr>
      <w:r>
        <w:drawing>
          <wp:anchor distT="0" distB="0" distL="114300" distR="114300" simplePos="0" relativeHeight="251682816" behindDoc="0" locked="0" layoutInCell="1" allowOverlap="1">
            <wp:simplePos x="0" y="0"/>
            <wp:positionH relativeFrom="margin">
              <wp:align>center</wp:align>
            </wp:positionH>
            <wp:positionV relativeFrom="paragraph">
              <wp:posOffset>19685</wp:posOffset>
            </wp:positionV>
            <wp:extent cx="2533650" cy="2505075"/>
            <wp:effectExtent l="0" t="0" r="0" b="9525"/>
            <wp:wrapNone/>
            <wp:docPr id="19414" name="Picture 19414"/>
            <wp:cNvGraphicFramePr/>
            <a:graphic xmlns:a="http://schemas.openxmlformats.org/drawingml/2006/main">
              <a:graphicData uri="http://schemas.openxmlformats.org/drawingml/2006/picture">
                <pic:pic xmlns:pic="http://schemas.openxmlformats.org/drawingml/2006/picture">
                  <pic:nvPicPr>
                    <pic:cNvPr id="19414" name="Picture 19414"/>
                    <pic:cNvPicPr/>
                  </pic:nvPicPr>
                  <pic:blipFill>
                    <a:blip r:embed="rId43">
                      <a:extLst>
                        <a:ext uri="{28A0092B-C50C-407E-A947-70E740481C1C}">
                          <a14:useLocalDpi xmlns:a14="http://schemas.microsoft.com/office/drawing/2010/main" val="0"/>
                        </a:ext>
                      </a:extLst>
                    </a:blip>
                    <a:stretch>
                      <a:fillRect/>
                    </a:stretch>
                  </pic:blipFill>
                  <pic:spPr>
                    <a:xfrm>
                      <a:off x="0" y="0"/>
                      <a:ext cx="2533650" cy="2505075"/>
                    </a:xfrm>
                    <a:prstGeom prst="rect">
                      <a:avLst/>
                    </a:prstGeom>
                  </pic:spPr>
                </pic:pic>
              </a:graphicData>
            </a:graphic>
          </wp:anchor>
        </w:drawing>
      </w:r>
      <w:r>
        <w:rPr>
          <w:rFonts w:ascii="Arial" w:hAnsi="Arial" w:eastAsia="Arial" w:cs="Arial"/>
          <w:sz w:val="20"/>
        </w:rPr>
        <w:t xml:space="preserve">  </w:t>
      </w:r>
    </w:p>
    <w:p>
      <w:pPr>
        <w:spacing w:after="113" w:line="265" w:lineRule="auto"/>
        <w:ind w:left="10" w:right="214" w:hanging="10"/>
        <w:jc w:val="center"/>
        <w:rPr>
          <w:rFonts w:ascii="微软雅黑" w:hAnsi="微软雅黑" w:eastAsia="微软雅黑" w:cs="微软雅黑"/>
          <w:sz w:val="18"/>
        </w:rPr>
      </w:pPr>
    </w:p>
    <w:p>
      <w:pPr>
        <w:spacing w:after="113" w:line="265" w:lineRule="auto"/>
        <w:ind w:left="10" w:right="214" w:hanging="10"/>
        <w:jc w:val="center"/>
        <w:rPr>
          <w:rFonts w:ascii="微软雅黑" w:hAnsi="微软雅黑" w:eastAsia="微软雅黑" w:cs="微软雅黑"/>
          <w:sz w:val="18"/>
        </w:rPr>
      </w:pPr>
    </w:p>
    <w:p>
      <w:pPr>
        <w:spacing w:after="113" w:line="265" w:lineRule="auto"/>
        <w:ind w:left="10" w:right="214" w:hanging="10"/>
        <w:jc w:val="center"/>
        <w:rPr>
          <w:rFonts w:ascii="微软雅黑" w:hAnsi="微软雅黑" w:eastAsia="微软雅黑" w:cs="微软雅黑"/>
          <w:sz w:val="18"/>
        </w:rPr>
      </w:pPr>
    </w:p>
    <w:p>
      <w:pPr>
        <w:spacing w:after="113" w:line="265" w:lineRule="auto"/>
        <w:ind w:left="10" w:right="214" w:hanging="10"/>
        <w:jc w:val="center"/>
        <w:rPr>
          <w:rFonts w:ascii="微软雅黑" w:hAnsi="微软雅黑" w:eastAsia="微软雅黑" w:cs="微软雅黑"/>
          <w:sz w:val="18"/>
        </w:rPr>
      </w:pPr>
    </w:p>
    <w:p>
      <w:pPr>
        <w:spacing w:after="113" w:line="265" w:lineRule="auto"/>
        <w:ind w:left="10" w:right="214" w:hanging="10"/>
        <w:jc w:val="center"/>
        <w:rPr>
          <w:rFonts w:ascii="微软雅黑" w:hAnsi="微软雅黑" w:eastAsia="微软雅黑" w:cs="微软雅黑"/>
          <w:sz w:val="18"/>
        </w:rPr>
      </w:pPr>
    </w:p>
    <w:p>
      <w:pPr>
        <w:spacing w:after="113" w:line="265" w:lineRule="auto"/>
        <w:ind w:left="10" w:right="214" w:hanging="10"/>
        <w:jc w:val="center"/>
        <w:rPr>
          <w:rFonts w:ascii="微软雅黑" w:hAnsi="微软雅黑" w:eastAsia="微软雅黑" w:cs="微软雅黑"/>
          <w:sz w:val="18"/>
        </w:rPr>
      </w:pPr>
    </w:p>
    <w:p>
      <w:pPr>
        <w:spacing w:after="113" w:line="265" w:lineRule="auto"/>
        <w:ind w:left="10" w:right="214" w:hanging="10"/>
        <w:jc w:val="center"/>
        <w:rPr>
          <w:rFonts w:ascii="微软雅黑" w:hAnsi="微软雅黑" w:eastAsia="微软雅黑" w:cs="微软雅黑"/>
          <w:sz w:val="18"/>
        </w:rPr>
      </w:pPr>
    </w:p>
    <w:p>
      <w:pPr>
        <w:spacing w:after="113" w:line="265" w:lineRule="auto"/>
        <w:ind w:left="10" w:right="214" w:hanging="10"/>
        <w:jc w:val="center"/>
        <w:rPr>
          <w:rFonts w:ascii="微软雅黑" w:hAnsi="微软雅黑" w:eastAsia="微软雅黑" w:cs="微软雅黑"/>
          <w:sz w:val="18"/>
        </w:rPr>
      </w:pPr>
    </w:p>
    <w:p>
      <w:pPr>
        <w:spacing w:after="113" w:line="265" w:lineRule="auto"/>
        <w:ind w:left="10" w:right="214" w:hanging="10"/>
        <w:jc w:val="center"/>
      </w:pPr>
      <w:r>
        <w:rPr>
          <w:rFonts w:ascii="微软雅黑" w:hAnsi="微软雅黑" w:eastAsia="微软雅黑" w:cs="微软雅黑"/>
          <w:sz w:val="18"/>
        </w:rPr>
        <w:t>图示：</w:t>
      </w:r>
      <w:r>
        <w:rPr>
          <w:color w:val="222222"/>
          <w:sz w:val="18"/>
        </w:rPr>
        <w:t>TSC1</w:t>
      </w:r>
      <w:r>
        <w:rPr>
          <w:rFonts w:ascii="微软雅黑" w:hAnsi="微软雅黑" w:eastAsia="微软雅黑" w:cs="微软雅黑"/>
          <w:color w:val="222222"/>
          <w:sz w:val="18"/>
        </w:rPr>
        <w:t>与</w:t>
      </w:r>
      <w:r>
        <w:rPr>
          <w:color w:val="222222"/>
          <w:sz w:val="18"/>
        </w:rPr>
        <w:t>TSC2</w:t>
      </w:r>
      <w:r>
        <w:rPr>
          <w:rFonts w:ascii="微软雅黑" w:hAnsi="微软雅黑" w:eastAsia="微软雅黑" w:cs="微软雅黑"/>
          <w:color w:val="222222"/>
          <w:sz w:val="18"/>
        </w:rPr>
        <w:t>复合体的调控网络</w:t>
      </w:r>
      <w:r>
        <w:rPr>
          <w:sz w:val="18"/>
        </w:rPr>
        <w:t xml:space="preserve"> </w:t>
      </w:r>
    </w:p>
    <w:p>
      <w:pPr>
        <w:spacing w:line="259" w:lineRule="auto"/>
        <w:ind w:left="-5" w:right="197" w:hanging="10"/>
      </w:pPr>
      <w:r>
        <w:rPr>
          <w:rFonts w:ascii="微软雅黑" w:hAnsi="微软雅黑" w:eastAsia="微软雅黑" w:cs="微软雅黑"/>
        </w:rPr>
        <w:t xml:space="preserve">参考文献 </w:t>
      </w:r>
    </w:p>
    <w:p>
      <w:pPr>
        <w:widowControl/>
        <w:numPr>
          <w:ilvl w:val="0"/>
          <w:numId w:val="29"/>
        </w:numPr>
        <w:spacing w:line="259" w:lineRule="auto"/>
        <w:ind w:right="202" w:hanging="420"/>
        <w:rPr>
          <w:rFonts w:ascii="Times New Roman" w:hAnsi="Times New Roman" w:cs="Times New Roman"/>
          <w:sz w:val="18"/>
          <w:szCs w:val="18"/>
        </w:rPr>
      </w:pPr>
      <w:r>
        <w:fldChar w:fldCharType="begin"/>
      </w:r>
      <w:r>
        <w:instrText xml:space="preserve"> HYPERLINK "http://ghr.nlm.nih.gov/gene/TSC1" \h </w:instrText>
      </w:r>
      <w:r>
        <w:fldChar w:fldCharType="separate"/>
      </w:r>
      <w:r>
        <w:rPr>
          <w:rFonts w:ascii="Times New Roman" w:hAnsi="Times New Roman" w:cs="Times New Roman"/>
          <w:sz w:val="18"/>
          <w:szCs w:val="18"/>
        </w:rPr>
        <w:t>http://ghr.nlm.nih.gov/gene/TSC1</w:t>
      </w:r>
      <w:r>
        <w:rPr>
          <w:rFonts w:ascii="Times New Roman" w:hAnsi="Times New Roman" w:cs="Times New Roman"/>
          <w:sz w:val="18"/>
          <w:szCs w:val="18"/>
        </w:rPr>
        <w:fldChar w:fldCharType="end"/>
      </w:r>
      <w:r>
        <w:fldChar w:fldCharType="begin"/>
      </w:r>
      <w:r>
        <w:instrText xml:space="preserve"> HYPERLINK "http://ghr.nlm.nih.gov/gene/TSC1"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p>
    <w:p>
      <w:pPr>
        <w:widowControl/>
        <w:numPr>
          <w:ilvl w:val="0"/>
          <w:numId w:val="29"/>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"http://www.ncbi.nlm.nih.gov/pubmed?term=Sj%C3%B6dahl%20G%5BAuthor%5D&amp;cauthor=true&amp;cauthor_uid=21533174" \h </w:instrText>
      </w:r>
      <w:r>
        <w:fldChar w:fldCharType="separate"/>
      </w:r>
      <w:r>
        <w:rPr>
          <w:rFonts w:ascii="Times New Roman" w:hAnsi="Times New Roman" w:cs="Times New Roman"/>
          <w:sz w:val="18"/>
          <w:szCs w:val="18"/>
        </w:rPr>
        <w:t>Sjodahl G, e</w:t>
      </w:r>
      <w:r>
        <w:rPr>
          <w:rFonts w:ascii="Times New Roman" w:hAnsi="Times New Roman" w:cs="Times New Roman"/>
          <w:sz w:val="18"/>
          <w:szCs w:val="18"/>
        </w:rPr>
        <w:fldChar w:fldCharType="end"/>
      </w:r>
      <w:r>
        <w:rPr>
          <w:rFonts w:ascii="Times New Roman" w:hAnsi="Times New Roman" w:cs="Times New Roman"/>
          <w:sz w:val="18"/>
          <w:szCs w:val="18"/>
        </w:rPr>
        <w:t xml:space="preserve">t al. A systematic study of gene mutations in urothelial carcinoma; inactivating mutations in TSC2 and PIK3R1. PLoS One.  2011, 6(4):e18583. </w:t>
      </w:r>
    </w:p>
    <w:p>
      <w:pPr>
        <w:widowControl/>
        <w:numPr>
          <w:ilvl w:val="0"/>
          <w:numId w:val="29"/>
        </w:numPr>
        <w:spacing w:after="3" w:line="247" w:lineRule="auto"/>
        <w:ind w:right="202" w:hanging="420"/>
        <w:rPr>
          <w:rFonts w:ascii="Times New Roman" w:hAnsi="Times New Roman" w:cs="Times New Roman"/>
          <w:sz w:val="18"/>
          <w:szCs w:val="18"/>
        </w:rPr>
      </w:pPr>
      <w:r>
        <w:fldChar w:fldCharType="begin"/>
      </w:r>
      <w:r>
        <w:instrText xml:space="preserve"> HYPERLINK "http://www.ncbi.nlm.nih.gov/pubmed?term=Iyer%20G%5BAuthor%5D&amp;cauthor=true&amp;cauthor_uid=22923433" \h </w:instrText>
      </w:r>
      <w:r>
        <w:fldChar w:fldCharType="separate"/>
      </w:r>
      <w:r>
        <w:rPr>
          <w:rFonts w:ascii="Times New Roman" w:hAnsi="Times New Roman" w:cs="Times New Roman"/>
          <w:sz w:val="18"/>
          <w:szCs w:val="18"/>
        </w:rPr>
        <w:t>Iyer</w:t>
      </w:r>
      <w:r>
        <w:rPr>
          <w:rFonts w:ascii="Times New Roman" w:hAnsi="Times New Roman" w:cs="Times New Roman"/>
          <w:sz w:val="18"/>
          <w:szCs w:val="18"/>
        </w:rPr>
        <w:fldChar w:fldCharType="end"/>
      </w:r>
      <w:r>
        <w:fldChar w:fldCharType="begin"/>
      </w:r>
      <w:r>
        <w:instrText xml:space="preserve"> HYPERLINK "http://www.ncbi.nlm.nih.gov/pubmed?term=Iyer%20G%5BAuthor%5D&amp;cauthor=true&amp;cauthor_uid=22923433" \h </w:instrText>
      </w:r>
      <w:r>
        <w:fldChar w:fldCharType="separate"/>
      </w:r>
      <w:r>
        <w:rPr>
          <w:rFonts w:ascii="Times New Roman" w:hAnsi="Times New Roman" w:cs="Times New Roman"/>
          <w:sz w:val="18"/>
          <w:szCs w:val="18"/>
        </w:rPr>
        <w:t xml:space="preserve"> </w:t>
      </w:r>
      <w:r>
        <w:rPr>
          <w:rFonts w:ascii="Times New Roman" w:hAnsi="Times New Roman" w:cs="Times New Roman"/>
          <w:sz w:val="18"/>
          <w:szCs w:val="18"/>
        </w:rPr>
        <w:fldChar w:fldCharType="end"/>
      </w:r>
      <w:r>
        <w:rPr>
          <w:rFonts w:ascii="Times New Roman" w:hAnsi="Times New Roman" w:cs="Times New Roman"/>
          <w:sz w:val="18"/>
          <w:szCs w:val="18"/>
        </w:rPr>
        <w:t xml:space="preserve">G, et al. Genome sequencing identifies a basis for everolimus sensitivity. Science. 2012, 338(6104):221. </w:t>
      </w:r>
    </w:p>
    <w:p>
      <w:pPr>
        <w:widowControl/>
        <w:numPr>
          <w:ilvl w:val="0"/>
          <w:numId w:val="29"/>
        </w:numPr>
        <w:spacing w:after="3" w:line="247" w:lineRule="auto"/>
        <w:ind w:right="202" w:hanging="420"/>
        <w:rPr>
          <w:rFonts w:ascii="Times New Roman" w:hAnsi="Times New Roman" w:cs="Times New Roman"/>
          <w:sz w:val="18"/>
          <w:szCs w:val="18"/>
        </w:rPr>
      </w:pPr>
      <w:r>
        <w:rPr>
          <w:rFonts w:ascii="Times New Roman" w:hAnsi="Times New Roman" w:cs="Times New Roman"/>
          <w:sz w:val="18"/>
          <w:szCs w:val="18"/>
        </w:rPr>
        <w:t>van Veelen W, et al. The long and winding road to rational treatment of cancer associated with LKB1/AMPK/TSC/mTORC1 signaling. Oncogene. 2011, 30(20):2289-303.</w:t>
      </w:r>
    </w:p>
    <w:p>
      <w:pPr>
        <w:widowControl/>
        <w:jc w:val="left"/>
      </w:pPr>
      <w:r>
        <w:br w:type="page"/>
      </w:r>
    </w:p>
    <w:p>
      <w:pPr>
        <w:widowControl/>
        <w:jc w:val="left"/>
        <w:outlineLvl w:val="1"/>
        <w:rPr>
          <w:rFonts w:ascii="微软雅黑" w:hAnsi="微软雅黑" w:eastAsia="微软雅黑" w:cs="MicrosoftYaHei"/>
          <w:b/>
          <w:color w:val="000000" w:themeColor="text1"/>
          <w:kern w:val="0"/>
          <w:sz w:val="28"/>
          <w:szCs w:val="24"/>
          <w14:textFill>
            <w14:solidFill>
              <w14:schemeClr w14:val="tx1"/>
            </w14:solidFill>
          </w14:textFill>
        </w:rPr>
      </w:pPr>
      <w:bookmarkStart w:id="14" w:name="_Toc512352442"/>
      <w:r>
        <w:rPr>
          <w:rFonts w:hint="eastAsia" w:ascii="微软雅黑" w:hAnsi="微软雅黑" w:eastAsia="微软雅黑" w:cs="MicrosoftYaHei"/>
          <w:b/>
          <w:color w:val="000000" w:themeColor="text1"/>
          <w:kern w:val="0"/>
          <w:sz w:val="28"/>
          <w:szCs w:val="24"/>
          <w14:textFill>
            <w14:solidFill>
              <w14:schemeClr w14:val="tx1"/>
            </w14:solidFill>
          </w14:textFill>
        </w:rPr>
        <w:t>报告说明</w:t>
      </w:r>
      <w:bookmarkEnd w:id="14"/>
    </w:p>
    <w:p>
      <w:pPr>
        <w:pStyle w:val="20"/>
        <w:numPr>
          <w:ilvl w:val="0"/>
          <w:numId w:val="30"/>
        </w:numPr>
        <w:spacing w:line="400" w:lineRule="exact"/>
        <w:ind w:firstLineChars="0"/>
        <w:jc w:val="left"/>
        <w:rPr>
          <w:rFonts w:ascii="微软雅黑" w:hAnsi="微软雅黑" w:eastAsia="微软雅黑" w:cs="MicrosoftYaHei"/>
          <w:color w:val="1F4E79" w:themeColor="accent5" w:themeShade="80"/>
          <w:kern w:val="0"/>
          <w:sz w:val="22"/>
          <w:szCs w:val="24"/>
        </w:rPr>
      </w:pPr>
      <w:r>
        <w:rPr>
          <w:rFonts w:hint="eastAsia" w:ascii="微软雅黑" w:hAnsi="微软雅黑" w:eastAsia="微软雅黑" w:cs="MicrosoftYaHei"/>
          <w:color w:val="1F4E79" w:themeColor="accent5" w:themeShade="80"/>
          <w:kern w:val="0"/>
          <w:sz w:val="22"/>
          <w:szCs w:val="24"/>
        </w:rPr>
        <w:t>迈杰1号</w:t>
      </w:r>
      <w:r>
        <w:rPr>
          <w:rFonts w:ascii="微软雅黑" w:hAnsi="微软雅黑" w:eastAsia="微软雅黑" w:cs="MicrosoftYaHei"/>
          <w:color w:val="1F4E79" w:themeColor="accent5" w:themeShade="80"/>
          <w:kern w:val="0"/>
          <w:sz w:val="22"/>
          <w:szCs w:val="24"/>
          <w:vertAlign w:val="superscript"/>
        </w:rPr>
        <w:t>TM</w:t>
      </w:r>
      <w:r>
        <w:rPr>
          <w:rFonts w:hint="eastAsia" w:ascii="微软雅黑" w:hAnsi="微软雅黑" w:eastAsia="微软雅黑" w:cs="MicrosoftYaHei"/>
          <w:color w:val="1F4E79" w:themeColor="accent5" w:themeShade="80"/>
          <w:kern w:val="0"/>
          <w:sz w:val="22"/>
          <w:szCs w:val="24"/>
        </w:rPr>
        <w:t>（Med</w:t>
      </w:r>
      <w:r>
        <w:rPr>
          <w:rFonts w:ascii="微软雅黑" w:hAnsi="微软雅黑" w:eastAsia="微软雅黑" w:cs="MicrosoftYaHei"/>
          <w:color w:val="1F4E79" w:themeColor="accent5" w:themeShade="80"/>
          <w:kern w:val="0"/>
          <w:sz w:val="22"/>
          <w:szCs w:val="24"/>
        </w:rPr>
        <w:t>1CDx</w:t>
      </w:r>
      <w:r>
        <w:rPr>
          <w:rFonts w:ascii="微软雅黑" w:hAnsi="微软雅黑" w:eastAsia="微软雅黑" w:cs="MicrosoftYaHei"/>
          <w:color w:val="1F4E79" w:themeColor="accent5" w:themeShade="80"/>
          <w:kern w:val="0"/>
          <w:sz w:val="22"/>
          <w:szCs w:val="24"/>
          <w:vertAlign w:val="superscript"/>
        </w:rPr>
        <w:t>TM</w:t>
      </w:r>
      <w:r>
        <w:rPr>
          <w:rFonts w:hint="eastAsia" w:ascii="微软雅黑" w:hAnsi="微软雅黑" w:eastAsia="微软雅黑" w:cs="MicrosoftYaHei"/>
          <w:color w:val="1F4E79" w:themeColor="accent5" w:themeShade="80"/>
          <w:kern w:val="0"/>
          <w:sz w:val="22"/>
          <w:szCs w:val="24"/>
        </w:rPr>
        <w:t>）能为您提供什么？</w:t>
      </w:r>
    </w:p>
    <w:p>
      <w:pPr>
        <w:spacing w:line="400" w:lineRule="exact"/>
        <w:jc w:val="left"/>
        <w:rPr>
          <w:rFonts w:ascii="微软雅黑" w:hAnsi="微软雅黑" w:eastAsia="微软雅黑" w:cs="MicrosoftYaHei"/>
          <w:kern w:val="0"/>
          <w:szCs w:val="24"/>
        </w:rPr>
      </w:pPr>
      <w:r>
        <w:rPr>
          <w:rFonts w:hint="eastAsia" w:ascii="微软雅黑" w:hAnsi="微软雅黑" w:eastAsia="微软雅黑" w:cs="MicrosoftYaHei"/>
          <w:kern w:val="0"/>
          <w:szCs w:val="24"/>
        </w:rPr>
        <w:t>迈杰1号</w:t>
      </w:r>
      <w:r>
        <w:rPr>
          <w:rFonts w:ascii="微软雅黑" w:hAnsi="微软雅黑" w:eastAsia="微软雅黑" w:cs="MicrosoftYaHei"/>
          <w:kern w:val="0"/>
          <w:szCs w:val="24"/>
          <w:vertAlign w:val="superscript"/>
        </w:rPr>
        <w:t>TM</w:t>
      </w:r>
      <w:r>
        <w:rPr>
          <w:rFonts w:hint="eastAsia" w:ascii="微软雅黑" w:hAnsi="微软雅黑" w:eastAsia="微软雅黑" w:cs="MicrosoftYaHei"/>
          <w:kern w:val="0"/>
          <w:szCs w:val="24"/>
        </w:rPr>
        <w:t>（Med</w:t>
      </w:r>
      <w:r>
        <w:rPr>
          <w:rFonts w:ascii="微软雅黑" w:hAnsi="微软雅黑" w:eastAsia="微软雅黑" w:cs="MicrosoftYaHei"/>
          <w:kern w:val="0"/>
          <w:szCs w:val="24"/>
        </w:rPr>
        <w:t>1CDx</w:t>
      </w:r>
      <w:r>
        <w:rPr>
          <w:rFonts w:ascii="微软雅黑" w:hAnsi="微软雅黑" w:eastAsia="微软雅黑" w:cs="MicrosoftYaHei"/>
          <w:kern w:val="0"/>
          <w:szCs w:val="24"/>
          <w:vertAlign w:val="superscript"/>
        </w:rPr>
        <w:t>TM</w:t>
      </w:r>
      <w:r>
        <w:rPr>
          <w:rFonts w:hint="eastAsia" w:ascii="微软雅黑" w:hAnsi="微软雅黑" w:eastAsia="微软雅黑" w:cs="MicrosoftYaHei"/>
          <w:kern w:val="0"/>
          <w:szCs w:val="24"/>
        </w:rPr>
        <w:t>）是凯杰（苏州）针对肿瘤精准治疗独立研发的，通过对肿瘤组织（血液）的靶向区域和转录组高深度测序数据综合分析，全面、精准地评估肿瘤治疗方式的多组学检测产品。</w:t>
      </w:r>
    </w:p>
    <w:p>
      <w:pPr>
        <w:spacing w:line="400" w:lineRule="exact"/>
        <w:jc w:val="left"/>
        <w:rPr>
          <w:rFonts w:ascii="微软雅黑" w:hAnsi="微软雅黑" w:eastAsia="微软雅黑" w:cs="MicrosoftYaHei"/>
          <w:kern w:val="0"/>
          <w:szCs w:val="24"/>
        </w:rPr>
      </w:pPr>
    </w:p>
    <w:p>
      <w:pPr>
        <w:pStyle w:val="20"/>
        <w:numPr>
          <w:ilvl w:val="0"/>
          <w:numId w:val="30"/>
        </w:numPr>
        <w:spacing w:line="400" w:lineRule="exact"/>
        <w:ind w:firstLineChars="0"/>
        <w:jc w:val="left"/>
        <w:rPr>
          <w:rFonts w:ascii="微软雅黑" w:hAnsi="微软雅黑" w:eastAsia="微软雅黑" w:cs="MicrosoftYaHei"/>
          <w:color w:val="1F4E79" w:themeColor="accent5" w:themeShade="80"/>
          <w:kern w:val="0"/>
          <w:sz w:val="22"/>
          <w:szCs w:val="24"/>
        </w:rPr>
      </w:pPr>
      <w:r>
        <w:rPr>
          <w:rFonts w:hint="eastAsia" w:ascii="微软雅黑" w:hAnsi="微软雅黑" w:eastAsia="微软雅黑" w:cs="MicrosoftYaHei"/>
          <w:color w:val="1F4E79" w:themeColor="accent5" w:themeShade="80"/>
          <w:kern w:val="0"/>
          <w:sz w:val="22"/>
          <w:szCs w:val="24"/>
        </w:rPr>
        <w:t>迈杰1号</w:t>
      </w:r>
      <w:r>
        <w:rPr>
          <w:rFonts w:ascii="微软雅黑" w:hAnsi="微软雅黑" w:eastAsia="微软雅黑" w:cs="MicrosoftYaHei"/>
          <w:color w:val="1F4E79" w:themeColor="accent5" w:themeShade="80"/>
          <w:kern w:val="0"/>
          <w:sz w:val="22"/>
          <w:szCs w:val="24"/>
          <w:vertAlign w:val="superscript"/>
        </w:rPr>
        <w:t>TM</w:t>
      </w:r>
      <w:r>
        <w:rPr>
          <w:rFonts w:hint="eastAsia" w:ascii="微软雅黑" w:hAnsi="微软雅黑" w:eastAsia="微软雅黑" w:cs="MicrosoftYaHei"/>
          <w:color w:val="1F4E79" w:themeColor="accent5" w:themeShade="80"/>
          <w:kern w:val="0"/>
          <w:sz w:val="22"/>
          <w:szCs w:val="24"/>
        </w:rPr>
        <w:t>（Med</w:t>
      </w:r>
      <w:r>
        <w:rPr>
          <w:rFonts w:ascii="微软雅黑" w:hAnsi="微软雅黑" w:eastAsia="微软雅黑" w:cs="MicrosoftYaHei"/>
          <w:color w:val="1F4E79" w:themeColor="accent5" w:themeShade="80"/>
          <w:kern w:val="0"/>
          <w:sz w:val="22"/>
          <w:szCs w:val="24"/>
        </w:rPr>
        <w:t>1CDx</w:t>
      </w:r>
      <w:r>
        <w:rPr>
          <w:rFonts w:ascii="微软雅黑" w:hAnsi="微软雅黑" w:eastAsia="微软雅黑" w:cs="MicrosoftYaHei"/>
          <w:color w:val="1F4E79" w:themeColor="accent5" w:themeShade="80"/>
          <w:kern w:val="0"/>
          <w:sz w:val="22"/>
          <w:szCs w:val="24"/>
          <w:vertAlign w:val="superscript"/>
        </w:rPr>
        <w:t>TM</w:t>
      </w:r>
      <w:r>
        <w:rPr>
          <w:rFonts w:hint="eastAsia" w:ascii="微软雅黑" w:hAnsi="微软雅黑" w:eastAsia="微软雅黑" w:cs="MicrosoftYaHei"/>
          <w:color w:val="1F4E79" w:themeColor="accent5" w:themeShade="80"/>
          <w:kern w:val="0"/>
          <w:sz w:val="22"/>
          <w:szCs w:val="24"/>
        </w:rPr>
        <w:t>）的适用人群包括哪些？</w:t>
      </w:r>
    </w:p>
    <w:p>
      <w:pPr>
        <w:spacing w:line="400" w:lineRule="exact"/>
        <w:jc w:val="left"/>
        <w:rPr>
          <w:rFonts w:ascii="微软雅黑" w:hAnsi="微软雅黑" w:eastAsia="微软雅黑" w:cs="MicrosoftYaHei"/>
          <w:kern w:val="0"/>
          <w:szCs w:val="24"/>
        </w:rPr>
      </w:pPr>
      <w:r>
        <w:rPr>
          <w:rFonts w:hint="eastAsia" w:ascii="微软雅黑" w:hAnsi="微软雅黑" w:eastAsia="微软雅黑" w:cs="MicrosoftYaHei"/>
          <w:kern w:val="0"/>
          <w:szCs w:val="24"/>
        </w:rPr>
        <w:t>有靶向治疗、免疫治疗和化疗需求的癌症患者。</w:t>
      </w:r>
    </w:p>
    <w:p>
      <w:pPr>
        <w:spacing w:line="400" w:lineRule="exact"/>
        <w:jc w:val="left"/>
        <w:rPr>
          <w:rFonts w:ascii="微软雅黑" w:hAnsi="微软雅黑" w:eastAsia="微软雅黑" w:cs="MicrosoftYaHei"/>
          <w:kern w:val="0"/>
          <w:szCs w:val="24"/>
        </w:rPr>
      </w:pPr>
    </w:p>
    <w:p>
      <w:pPr>
        <w:pStyle w:val="20"/>
        <w:numPr>
          <w:ilvl w:val="0"/>
          <w:numId w:val="30"/>
        </w:numPr>
        <w:spacing w:line="400" w:lineRule="exact"/>
        <w:ind w:firstLineChars="0"/>
        <w:jc w:val="left"/>
        <w:rPr>
          <w:rFonts w:ascii="微软雅黑" w:hAnsi="微软雅黑" w:eastAsia="微软雅黑" w:cs="MicrosoftYaHei"/>
          <w:color w:val="1F4E79" w:themeColor="accent5" w:themeShade="80"/>
          <w:kern w:val="0"/>
          <w:sz w:val="22"/>
          <w:szCs w:val="24"/>
        </w:rPr>
      </w:pPr>
      <w:r>
        <w:rPr>
          <w:rFonts w:hint="eastAsia" w:ascii="微软雅黑" w:hAnsi="微软雅黑" w:eastAsia="微软雅黑" w:cs="MicrosoftYaHei"/>
          <w:color w:val="1F4E79" w:themeColor="accent5" w:themeShade="80"/>
          <w:kern w:val="0"/>
          <w:sz w:val="22"/>
          <w:szCs w:val="24"/>
        </w:rPr>
        <w:t>什么是肿瘤突变负荷？</w:t>
      </w:r>
    </w:p>
    <w:p>
      <w:pPr>
        <w:spacing w:line="400" w:lineRule="exact"/>
        <w:jc w:val="left"/>
        <w:rPr>
          <w:rFonts w:ascii="微软雅黑" w:hAnsi="微软雅黑" w:eastAsia="微软雅黑" w:cs="MicrosoftYaHei"/>
          <w:kern w:val="0"/>
          <w:szCs w:val="24"/>
        </w:rPr>
      </w:pPr>
      <w:r>
        <w:rPr>
          <w:rFonts w:hint="eastAsia" w:ascii="微软雅黑" w:hAnsi="微软雅黑" w:eastAsia="微软雅黑" w:cs="MicrosoftYaHei"/>
          <w:kern w:val="0"/>
          <w:szCs w:val="24"/>
        </w:rPr>
        <w:t>肿瘤突变负荷（Tumor</w:t>
      </w:r>
      <w:r>
        <w:rPr>
          <w:rFonts w:ascii="微软雅黑" w:hAnsi="微软雅黑" w:eastAsia="微软雅黑" w:cs="MicrosoftYaHei"/>
          <w:kern w:val="0"/>
          <w:szCs w:val="24"/>
        </w:rPr>
        <w:t xml:space="preserve"> Mutation Burden, TMB</w:t>
      </w:r>
      <w:r>
        <w:rPr>
          <w:rFonts w:hint="eastAsia" w:ascii="微软雅黑" w:hAnsi="微软雅黑" w:eastAsia="微软雅黑" w:cs="MicrosoftYaHei"/>
          <w:kern w:val="0"/>
          <w:szCs w:val="24"/>
        </w:rPr>
        <w:t>）是指患者肿瘤组织体细胞突变的总和。临床试验结果表明，免疫检验点抑制剂（如P</w:t>
      </w:r>
      <w:r>
        <w:rPr>
          <w:rFonts w:ascii="微软雅黑" w:hAnsi="微软雅黑" w:eastAsia="微软雅黑" w:cs="MicrosoftYaHei"/>
          <w:kern w:val="0"/>
          <w:szCs w:val="24"/>
        </w:rPr>
        <w:t>D-1</w:t>
      </w:r>
      <w:r>
        <w:rPr>
          <w:rFonts w:hint="eastAsia" w:ascii="微软雅黑" w:hAnsi="微软雅黑" w:eastAsia="微软雅黑" w:cs="MicrosoftYaHei"/>
          <w:kern w:val="0"/>
          <w:szCs w:val="24"/>
        </w:rPr>
        <w:t>和P</w:t>
      </w:r>
      <w:r>
        <w:rPr>
          <w:rFonts w:ascii="微软雅黑" w:hAnsi="微软雅黑" w:eastAsia="微软雅黑" w:cs="MicrosoftYaHei"/>
          <w:kern w:val="0"/>
          <w:szCs w:val="24"/>
        </w:rPr>
        <w:t>D-L1</w:t>
      </w:r>
      <w:r>
        <w:rPr>
          <w:rFonts w:hint="eastAsia" w:ascii="微软雅黑" w:hAnsi="微软雅黑" w:eastAsia="微软雅黑" w:cs="MicrosoftYaHei"/>
          <w:kern w:val="0"/>
          <w:szCs w:val="24"/>
        </w:rPr>
        <w:t>抗体）在治疗过程中只对部分患者有效。进一步的研究显示，肿瘤突变负荷可以用来评估免疫检验点抑制剂的治疗适用性，肿瘤突变负荷超过一定阈值的患者对免疫检验点抑制剂治疗会比较敏感。</w:t>
      </w:r>
    </w:p>
    <w:p>
      <w:pPr>
        <w:spacing w:line="400" w:lineRule="exact"/>
        <w:jc w:val="left"/>
        <w:rPr>
          <w:rFonts w:ascii="微软雅黑" w:hAnsi="微软雅黑" w:eastAsia="微软雅黑" w:cs="MicrosoftYaHei"/>
          <w:kern w:val="0"/>
          <w:szCs w:val="24"/>
        </w:rPr>
      </w:pPr>
    </w:p>
    <w:p>
      <w:pPr>
        <w:pStyle w:val="20"/>
        <w:numPr>
          <w:ilvl w:val="0"/>
          <w:numId w:val="30"/>
        </w:numPr>
        <w:spacing w:line="400" w:lineRule="exact"/>
        <w:ind w:firstLineChars="0"/>
        <w:jc w:val="left"/>
        <w:rPr>
          <w:rFonts w:ascii="微软雅黑" w:hAnsi="微软雅黑" w:eastAsia="微软雅黑" w:cs="MicrosoftYaHei"/>
          <w:color w:val="1F4E79" w:themeColor="accent5" w:themeShade="80"/>
          <w:kern w:val="0"/>
          <w:sz w:val="22"/>
          <w:szCs w:val="24"/>
        </w:rPr>
      </w:pPr>
      <w:r>
        <w:rPr>
          <w:rFonts w:hint="eastAsia" w:ascii="微软雅黑" w:hAnsi="微软雅黑" w:eastAsia="微软雅黑" w:cs="MicrosoftYaHei"/>
          <w:color w:val="1F4E79" w:themeColor="accent5" w:themeShade="80"/>
          <w:kern w:val="0"/>
          <w:sz w:val="22"/>
          <w:szCs w:val="24"/>
        </w:rPr>
        <w:t>什么是肿瘤新生抗原？</w:t>
      </w:r>
    </w:p>
    <w:p>
      <w:pPr>
        <w:widowControl/>
        <w:spacing w:line="400" w:lineRule="exact"/>
        <w:rPr>
          <w:rFonts w:ascii="微软雅黑" w:hAnsi="微软雅黑" w:eastAsia="微软雅黑" w:cs="MicrosoftYaHei"/>
          <w:color w:val="000000" w:themeColor="text1"/>
          <w:kern w:val="0"/>
          <w:sz w:val="20"/>
          <w:szCs w:val="20"/>
          <w14:textFill>
            <w14:solidFill>
              <w14:schemeClr w14:val="tx1"/>
            </w14:solidFill>
          </w14:textFill>
        </w:rPr>
      </w:pPr>
      <w:r>
        <w:rPr>
          <w:rFonts w:hint="eastAsia" w:ascii="微软雅黑" w:hAnsi="微软雅黑" w:eastAsia="微软雅黑" w:cs="MicrosoftYaHei"/>
          <w:kern w:val="0"/>
          <w:szCs w:val="24"/>
        </w:rPr>
        <w:t>肿瘤新生抗原是一种位于肿瘤表面的特异性抗原，源自于肿瘤细胞特有的突变，具有肿瘤特异性，能够被</w:t>
      </w:r>
      <w:r>
        <w:rPr>
          <w:rFonts w:ascii="微软雅黑" w:hAnsi="微软雅黑" w:eastAsia="微软雅黑" w:cs="MicrosoftYaHei"/>
          <w:kern w:val="0"/>
          <w:szCs w:val="24"/>
        </w:rPr>
        <w:t>T细胞识别病引起免疫应答。越来越多的研究数据表明，肿瘤新生抗原是临床免疫治疗的关键因素，是免疫治疗中重要的生物标志物和靶点。</w:t>
      </w:r>
      <w:r>
        <w:rPr>
          <w:rFonts w:ascii="微软雅黑" w:hAnsi="微软雅黑" w:eastAsia="微软雅黑" w:cs="MicrosoftYaHei"/>
          <w:color w:val="000000" w:themeColor="text1"/>
          <w:kern w:val="0"/>
          <w:sz w:val="20"/>
          <w:szCs w:val="20"/>
          <w14:textFill>
            <w14:solidFill>
              <w14:schemeClr w14:val="tx1"/>
            </w14:solidFill>
          </w14:textFill>
        </w:rPr>
        <w:br w:type="page"/>
      </w:r>
    </w:p>
    <w:p>
      <w:pPr>
        <w:widowControl/>
        <w:jc w:val="left"/>
        <w:outlineLvl w:val="1"/>
        <w:rPr>
          <w:rFonts w:ascii="微软雅黑" w:hAnsi="微软雅黑" w:eastAsia="微软雅黑" w:cs="MicrosoftYaHei"/>
          <w:b/>
          <w:color w:val="000000" w:themeColor="text1"/>
          <w:kern w:val="0"/>
          <w:sz w:val="28"/>
          <w:szCs w:val="24"/>
          <w14:textFill>
            <w14:solidFill>
              <w14:schemeClr w14:val="tx1"/>
            </w14:solidFill>
          </w14:textFill>
        </w:rPr>
      </w:pPr>
      <w:bookmarkStart w:id="15" w:name="_Toc512352443"/>
      <w:r>
        <w:rPr>
          <w:rFonts w:hint="eastAsia" w:ascii="微软雅黑" w:hAnsi="微软雅黑" w:eastAsia="微软雅黑" w:cs="MicrosoftYaHei"/>
          <w:b/>
          <w:color w:val="000000" w:themeColor="text1"/>
          <w:kern w:val="0"/>
          <w:sz w:val="28"/>
          <w:szCs w:val="24"/>
          <w14:textFill>
            <w14:solidFill>
              <w14:schemeClr w14:val="tx1"/>
            </w14:solidFill>
          </w14:textFill>
        </w:rPr>
        <w:t>参考文献</w:t>
      </w:r>
      <w:bookmarkEnd w:id="15"/>
    </w:p>
    <w:p>
      <w:pPr>
        <w:spacing w:after="346" w:line="265" w:lineRule="auto"/>
        <w:ind w:left="-5"/>
      </w:pPr>
      <w:r>
        <w:t>▎药品说明书及临床指南</w:t>
      </w:r>
    </w:p>
    <w:p>
      <w:pPr>
        <w:widowControl/>
        <w:numPr>
          <w:ilvl w:val="0"/>
          <w:numId w:val="31"/>
        </w:numPr>
        <w:spacing w:after="44" w:line="261" w:lineRule="auto"/>
        <w:ind w:hanging="420"/>
        <w:jc w:val="left"/>
      </w:pPr>
      <w:r>
        <w:rPr>
          <w:rFonts w:ascii="Cambria" w:hAnsi="Cambria" w:eastAsia="Cambria" w:cs="Cambria"/>
        </w:rPr>
        <w:t>ado-trastuzumab emtansine_Revised:04/2016</w:t>
      </w:r>
    </w:p>
    <w:p>
      <w:pPr>
        <w:widowControl/>
        <w:numPr>
          <w:ilvl w:val="0"/>
          <w:numId w:val="31"/>
        </w:numPr>
        <w:spacing w:after="44" w:line="261" w:lineRule="auto"/>
        <w:ind w:hanging="420"/>
        <w:jc w:val="left"/>
      </w:pPr>
      <w:r>
        <w:rPr>
          <w:rFonts w:ascii="Cambria" w:hAnsi="Cambria" w:eastAsia="Cambria" w:cs="Cambria"/>
        </w:rPr>
        <w:t>afatinib_Revised:04/2016</w:t>
      </w:r>
    </w:p>
    <w:p>
      <w:pPr>
        <w:widowControl/>
        <w:numPr>
          <w:ilvl w:val="0"/>
          <w:numId w:val="31"/>
        </w:numPr>
        <w:spacing w:after="44" w:line="261" w:lineRule="auto"/>
        <w:ind w:hanging="420"/>
        <w:jc w:val="left"/>
      </w:pPr>
      <w:r>
        <w:rPr>
          <w:rFonts w:ascii="Cambria" w:hAnsi="Cambria" w:eastAsia="Cambria" w:cs="Cambria"/>
        </w:rPr>
        <w:t>alectinib_Revised:12/2015</w:t>
      </w:r>
    </w:p>
    <w:p>
      <w:pPr>
        <w:widowControl/>
        <w:numPr>
          <w:ilvl w:val="0"/>
          <w:numId w:val="31"/>
        </w:numPr>
        <w:spacing w:after="44" w:line="261" w:lineRule="auto"/>
        <w:ind w:hanging="420"/>
        <w:jc w:val="left"/>
      </w:pPr>
      <w:r>
        <w:rPr>
          <w:rFonts w:ascii="Cambria" w:hAnsi="Cambria" w:eastAsia="Cambria" w:cs="Cambria"/>
        </w:rPr>
        <w:t>cobimetinib_Revised: 11/2015</w:t>
      </w:r>
    </w:p>
    <w:p>
      <w:pPr>
        <w:widowControl/>
        <w:numPr>
          <w:ilvl w:val="0"/>
          <w:numId w:val="31"/>
        </w:numPr>
        <w:spacing w:after="44" w:line="261" w:lineRule="auto"/>
        <w:ind w:hanging="420"/>
        <w:jc w:val="left"/>
      </w:pPr>
      <w:r>
        <w:rPr>
          <w:rFonts w:ascii="Cambria" w:hAnsi="Cambria" w:eastAsia="Cambria" w:cs="Cambria"/>
        </w:rPr>
        <w:t>crizotinib_Revised:04/2016</w:t>
      </w:r>
    </w:p>
    <w:p>
      <w:pPr>
        <w:widowControl/>
        <w:numPr>
          <w:ilvl w:val="0"/>
          <w:numId w:val="31"/>
        </w:numPr>
        <w:spacing w:after="44" w:line="261" w:lineRule="auto"/>
        <w:ind w:hanging="420"/>
        <w:jc w:val="left"/>
      </w:pPr>
      <w:r>
        <w:rPr>
          <w:rFonts w:ascii="Cambria" w:hAnsi="Cambria" w:eastAsia="Cambria" w:cs="Cambria"/>
        </w:rPr>
        <w:t>dabrafenib_Revised:06/2016</w:t>
      </w:r>
    </w:p>
    <w:p>
      <w:pPr>
        <w:widowControl/>
        <w:numPr>
          <w:ilvl w:val="0"/>
          <w:numId w:val="31"/>
        </w:numPr>
        <w:spacing w:after="44" w:line="261" w:lineRule="auto"/>
        <w:ind w:hanging="420"/>
        <w:jc w:val="left"/>
      </w:pPr>
      <w:r>
        <w:rPr>
          <w:rFonts w:ascii="Cambria" w:hAnsi="Cambria" w:eastAsia="Cambria" w:cs="Cambria"/>
        </w:rPr>
        <w:t>dinutuximab_Revised:03/2015</w:t>
      </w:r>
    </w:p>
    <w:p>
      <w:pPr>
        <w:widowControl/>
        <w:numPr>
          <w:ilvl w:val="0"/>
          <w:numId w:val="31"/>
        </w:numPr>
        <w:spacing w:after="44" w:line="261" w:lineRule="auto"/>
        <w:ind w:hanging="420"/>
        <w:jc w:val="left"/>
      </w:pPr>
      <w:r>
        <w:rPr>
          <w:rFonts w:ascii="Cambria" w:hAnsi="Cambria" w:eastAsia="Cambria" w:cs="Cambria"/>
        </w:rPr>
        <w:t>erlotinib_Revised:06/2016</w:t>
      </w:r>
    </w:p>
    <w:p>
      <w:pPr>
        <w:widowControl/>
        <w:numPr>
          <w:ilvl w:val="0"/>
          <w:numId w:val="31"/>
        </w:numPr>
        <w:spacing w:after="44" w:line="261" w:lineRule="auto"/>
        <w:ind w:hanging="420"/>
        <w:jc w:val="left"/>
      </w:pPr>
      <w:r>
        <w:rPr>
          <w:rFonts w:ascii="Cambria" w:hAnsi="Cambria" w:eastAsia="Cambria" w:cs="Cambria"/>
        </w:rPr>
        <w:t>gefitinib_Revised:07/2015</w:t>
      </w:r>
    </w:p>
    <w:p>
      <w:pPr>
        <w:widowControl/>
        <w:numPr>
          <w:ilvl w:val="0"/>
          <w:numId w:val="31"/>
        </w:numPr>
        <w:spacing w:after="44" w:line="261" w:lineRule="auto"/>
        <w:ind w:hanging="420"/>
        <w:jc w:val="left"/>
      </w:pPr>
      <w:r>
        <w:rPr>
          <w:rFonts w:ascii="Cambria" w:hAnsi="Cambria" w:eastAsia="Cambria" w:cs="Cambria"/>
        </w:rPr>
        <w:t>ibrutinib_Revised:06/2016</w:t>
      </w:r>
    </w:p>
    <w:p>
      <w:pPr>
        <w:widowControl/>
        <w:numPr>
          <w:ilvl w:val="0"/>
          <w:numId w:val="31"/>
        </w:numPr>
        <w:spacing w:after="44" w:line="261" w:lineRule="auto"/>
        <w:ind w:hanging="420"/>
        <w:jc w:val="left"/>
      </w:pPr>
      <w:r>
        <w:rPr>
          <w:rFonts w:ascii="Cambria" w:hAnsi="Cambria" w:eastAsia="Cambria" w:cs="Cambria"/>
        </w:rPr>
        <w:t>imatinib_Revised:01/2015</w:t>
      </w:r>
    </w:p>
    <w:p>
      <w:pPr>
        <w:widowControl/>
        <w:numPr>
          <w:ilvl w:val="0"/>
          <w:numId w:val="31"/>
        </w:numPr>
        <w:spacing w:after="44" w:line="261" w:lineRule="auto"/>
        <w:ind w:hanging="420"/>
        <w:jc w:val="left"/>
      </w:pPr>
      <w:r>
        <w:rPr>
          <w:rFonts w:ascii="Cambria" w:hAnsi="Cambria" w:eastAsia="Cambria" w:cs="Cambria"/>
        </w:rPr>
        <w:t>lapatinib_Revised:02/2015</w:t>
      </w:r>
    </w:p>
    <w:p>
      <w:pPr>
        <w:widowControl/>
        <w:numPr>
          <w:ilvl w:val="0"/>
          <w:numId w:val="31"/>
        </w:numPr>
        <w:spacing w:after="44" w:line="261" w:lineRule="auto"/>
        <w:ind w:hanging="420"/>
        <w:jc w:val="left"/>
      </w:pPr>
      <w:r>
        <w:rPr>
          <w:rFonts w:ascii="Cambria" w:hAnsi="Cambria" w:eastAsia="Cambria" w:cs="Cambria"/>
        </w:rPr>
        <w:t>lumacaftor_Revised:05/2016</w:t>
      </w:r>
    </w:p>
    <w:p>
      <w:pPr>
        <w:widowControl/>
        <w:numPr>
          <w:ilvl w:val="0"/>
          <w:numId w:val="31"/>
        </w:numPr>
        <w:spacing w:after="44" w:line="261" w:lineRule="auto"/>
        <w:ind w:hanging="420"/>
        <w:jc w:val="left"/>
      </w:pPr>
      <w:r>
        <w:rPr>
          <w:rFonts w:ascii="Cambria" w:hAnsi="Cambria" w:eastAsia="Cambria" w:cs="Cambria"/>
        </w:rPr>
        <w:t>olaparib_Revised:12/2014</w:t>
      </w:r>
    </w:p>
    <w:p>
      <w:pPr>
        <w:widowControl/>
        <w:numPr>
          <w:ilvl w:val="0"/>
          <w:numId w:val="31"/>
        </w:numPr>
        <w:spacing w:after="44" w:line="261" w:lineRule="auto"/>
        <w:ind w:hanging="420"/>
        <w:jc w:val="left"/>
      </w:pPr>
      <w:r>
        <w:rPr>
          <w:rFonts w:ascii="Cambria" w:hAnsi="Cambria" w:eastAsia="Cambria" w:cs="Cambria"/>
        </w:rPr>
        <w:t>osimertinib_Revised:11/2015</w:t>
      </w:r>
    </w:p>
    <w:p>
      <w:pPr>
        <w:widowControl/>
        <w:numPr>
          <w:ilvl w:val="0"/>
          <w:numId w:val="31"/>
        </w:numPr>
        <w:spacing w:after="44" w:line="261" w:lineRule="auto"/>
        <w:ind w:hanging="420"/>
        <w:jc w:val="left"/>
      </w:pPr>
      <w:r>
        <w:rPr>
          <w:rFonts w:ascii="Cambria" w:hAnsi="Cambria" w:eastAsia="Cambria" w:cs="Cambria"/>
        </w:rPr>
        <w:t>pertuzumab_Revised:03/2016</w:t>
      </w:r>
    </w:p>
    <w:p>
      <w:pPr>
        <w:widowControl/>
        <w:numPr>
          <w:ilvl w:val="0"/>
          <w:numId w:val="31"/>
        </w:numPr>
        <w:spacing w:after="44" w:line="261" w:lineRule="auto"/>
        <w:ind w:hanging="420"/>
        <w:jc w:val="left"/>
      </w:pPr>
      <w:r>
        <w:rPr>
          <w:rFonts w:ascii="Cambria" w:hAnsi="Cambria" w:eastAsia="Cambria" w:cs="Cambria"/>
        </w:rPr>
        <w:t>rucaparib_Revised:12/2016</w:t>
      </w:r>
    </w:p>
    <w:p>
      <w:pPr>
        <w:widowControl/>
        <w:numPr>
          <w:ilvl w:val="0"/>
          <w:numId w:val="31"/>
        </w:numPr>
        <w:spacing w:after="44" w:line="261" w:lineRule="auto"/>
        <w:ind w:hanging="420"/>
        <w:jc w:val="left"/>
      </w:pPr>
      <w:r>
        <w:rPr>
          <w:rFonts w:ascii="Cambria" w:hAnsi="Cambria" w:eastAsia="Cambria" w:cs="Cambria"/>
        </w:rPr>
        <w:t xml:space="preserve">ruxolitinib_Revised:03/2016 </w:t>
      </w:r>
    </w:p>
    <w:p>
      <w:pPr>
        <w:widowControl/>
        <w:numPr>
          <w:ilvl w:val="0"/>
          <w:numId w:val="31"/>
        </w:numPr>
        <w:spacing w:after="44" w:line="261" w:lineRule="auto"/>
        <w:ind w:hanging="420"/>
        <w:jc w:val="left"/>
      </w:pPr>
      <w:r>
        <w:rPr>
          <w:rFonts w:ascii="Cambria" w:hAnsi="Cambria" w:eastAsia="Cambria" w:cs="Cambria"/>
        </w:rPr>
        <w:t>trametinib_Revised:11/2015</w:t>
      </w:r>
    </w:p>
    <w:p>
      <w:pPr>
        <w:widowControl/>
        <w:numPr>
          <w:ilvl w:val="0"/>
          <w:numId w:val="31"/>
        </w:numPr>
        <w:spacing w:after="44" w:line="261" w:lineRule="auto"/>
        <w:ind w:hanging="420"/>
        <w:jc w:val="left"/>
      </w:pPr>
      <w:r>
        <w:rPr>
          <w:rFonts w:ascii="Cambria" w:hAnsi="Cambria" w:eastAsia="Cambria" w:cs="Cambria"/>
        </w:rPr>
        <w:t>trastuzumab_Revised:03/2016</w:t>
      </w:r>
    </w:p>
    <w:p>
      <w:pPr>
        <w:widowControl/>
        <w:numPr>
          <w:ilvl w:val="0"/>
          <w:numId w:val="31"/>
        </w:numPr>
        <w:spacing w:after="44" w:line="261" w:lineRule="auto"/>
        <w:ind w:hanging="420"/>
        <w:jc w:val="left"/>
      </w:pPr>
      <w:r>
        <w:rPr>
          <w:rFonts w:ascii="Cambria" w:hAnsi="Cambria" w:eastAsia="Cambria" w:cs="Cambria"/>
        </w:rPr>
        <w:t>vemurafenib_Revised:06/2016</w:t>
      </w:r>
    </w:p>
    <w:p>
      <w:pPr>
        <w:widowControl/>
        <w:numPr>
          <w:ilvl w:val="0"/>
          <w:numId w:val="32"/>
        </w:numPr>
        <w:spacing w:after="44" w:line="261" w:lineRule="auto"/>
        <w:ind w:hanging="420"/>
        <w:jc w:val="left"/>
      </w:pPr>
      <w:r>
        <w:rPr>
          <w:rFonts w:ascii="Cambria" w:hAnsi="Cambria" w:eastAsia="Cambria" w:cs="Cambria"/>
        </w:rPr>
        <w:t>NCCN Guideline: Colon Cancer v.2.2016</w:t>
      </w:r>
    </w:p>
    <w:p>
      <w:pPr>
        <w:widowControl/>
        <w:numPr>
          <w:ilvl w:val="0"/>
          <w:numId w:val="32"/>
        </w:numPr>
        <w:spacing w:after="44" w:line="261" w:lineRule="auto"/>
        <w:ind w:hanging="420"/>
        <w:jc w:val="left"/>
      </w:pPr>
      <w:r>
        <w:rPr>
          <w:rFonts w:ascii="Cambria" w:hAnsi="Cambria" w:eastAsia="Cambria" w:cs="Cambria"/>
        </w:rPr>
        <w:t>NCCN Guideline: Esophageal and Esophagogastric Junction Cancers v.1.2015</w:t>
      </w:r>
    </w:p>
    <w:p>
      <w:pPr>
        <w:widowControl/>
        <w:numPr>
          <w:ilvl w:val="0"/>
          <w:numId w:val="32"/>
        </w:numPr>
        <w:spacing w:after="44" w:line="261" w:lineRule="auto"/>
        <w:ind w:hanging="420"/>
        <w:jc w:val="left"/>
      </w:pPr>
      <w:r>
        <w:rPr>
          <w:rFonts w:ascii="Cambria" w:hAnsi="Cambria" w:eastAsia="Cambria" w:cs="Cambria"/>
        </w:rPr>
        <w:t>NCCN Guideline: Melanoma v.3.2015</w:t>
      </w:r>
    </w:p>
    <w:p>
      <w:pPr>
        <w:widowControl/>
        <w:numPr>
          <w:ilvl w:val="0"/>
          <w:numId w:val="32"/>
        </w:numPr>
        <w:spacing w:after="44" w:line="261" w:lineRule="auto"/>
        <w:ind w:hanging="420"/>
        <w:jc w:val="left"/>
      </w:pPr>
      <w:r>
        <w:rPr>
          <w:rFonts w:ascii="Cambria" w:hAnsi="Cambria" w:eastAsia="Cambria" w:cs="Cambria"/>
        </w:rPr>
        <w:t>NCCN Guideline: Non-Small Cell Lung Cancer (NSCLC) v.1.2016</w:t>
      </w:r>
    </w:p>
    <w:p>
      <w:pPr>
        <w:widowControl/>
        <w:numPr>
          <w:ilvl w:val="0"/>
          <w:numId w:val="32"/>
        </w:numPr>
        <w:spacing w:after="44" w:line="261" w:lineRule="auto"/>
        <w:ind w:hanging="420"/>
        <w:jc w:val="left"/>
      </w:pPr>
      <w:r>
        <w:rPr>
          <w:rFonts w:ascii="Cambria" w:hAnsi="Cambria" w:eastAsia="Cambria" w:cs="Cambria"/>
        </w:rPr>
        <w:t>NCCN Guideline: Non-Small Cell Lung Cancer (NSCLC) v.5.2017</w:t>
      </w:r>
    </w:p>
    <w:p>
      <w:pPr>
        <w:widowControl/>
        <w:numPr>
          <w:ilvl w:val="0"/>
          <w:numId w:val="32"/>
        </w:numPr>
        <w:spacing w:after="44" w:line="261" w:lineRule="auto"/>
        <w:ind w:hanging="420"/>
        <w:jc w:val="left"/>
      </w:pPr>
      <w:r>
        <w:rPr>
          <w:rFonts w:ascii="Cambria" w:hAnsi="Cambria" w:eastAsia="Cambria" w:cs="Cambria"/>
        </w:rPr>
        <w:t>NCCN Guideline: Soft Tissue Sarcoma v.1.2015</w:t>
      </w:r>
    </w:p>
    <w:p>
      <w:pPr>
        <w:widowControl/>
        <w:numPr>
          <w:ilvl w:val="0"/>
          <w:numId w:val="32"/>
        </w:numPr>
        <w:spacing w:after="44" w:line="261" w:lineRule="auto"/>
        <w:ind w:hanging="420"/>
        <w:jc w:val="left"/>
      </w:pPr>
      <w:r>
        <w:rPr>
          <w:rFonts w:ascii="Cambria" w:hAnsi="Cambria" w:eastAsia="Cambria" w:cs="Cambria"/>
        </w:rPr>
        <w:t>NCCN Guideline:Non-Small Cell Lung Cancer (NSCLC) v.4.2016</w:t>
      </w:r>
    </w:p>
    <w:p>
      <w:pPr>
        <w:widowControl/>
        <w:numPr>
          <w:ilvl w:val="0"/>
          <w:numId w:val="32"/>
        </w:numPr>
        <w:spacing w:after="44" w:line="261" w:lineRule="auto"/>
        <w:ind w:hanging="420"/>
        <w:jc w:val="left"/>
      </w:pPr>
      <w:r>
        <w:rPr>
          <w:rFonts w:ascii="Cambria" w:hAnsi="Cambria" w:eastAsia="Cambria" w:cs="Cambria"/>
        </w:rPr>
        <w:t>NCCN Guideline:Pancreatic Adenocarcinoma v.1.2016</w:t>
      </w:r>
    </w:p>
    <w:p>
      <w:pPr>
        <w:widowControl/>
        <w:numPr>
          <w:ilvl w:val="0"/>
          <w:numId w:val="32"/>
        </w:numPr>
        <w:spacing w:after="360" w:line="261" w:lineRule="auto"/>
        <w:ind w:hanging="420"/>
        <w:jc w:val="left"/>
      </w:pPr>
      <w:r>
        <w:rPr>
          <w:rFonts w:ascii="Cambria" w:hAnsi="Cambria" w:eastAsia="Cambria" w:cs="Cambria"/>
        </w:rPr>
        <w:t>NCCN Guidelines:Non-Small Cell Lung Cancer v.4.2016</w:t>
      </w:r>
    </w:p>
    <w:p>
      <w:pPr>
        <w:widowControl/>
        <w:spacing w:after="360" w:line="261" w:lineRule="auto"/>
        <w:jc w:val="left"/>
      </w:pPr>
    </w:p>
    <w:p>
      <w:pPr>
        <w:spacing w:after="346" w:line="265" w:lineRule="auto"/>
        <w:ind w:left="-5"/>
      </w:pPr>
      <w:r>
        <w:t>▎ 会议及临床共识意见</w:t>
      </w:r>
    </w:p>
    <w:p>
      <w:pPr>
        <w:widowControl/>
        <w:numPr>
          <w:ilvl w:val="0"/>
          <w:numId w:val="33"/>
        </w:numPr>
        <w:spacing w:after="44" w:line="261" w:lineRule="auto"/>
        <w:ind w:hanging="420"/>
        <w:jc w:val="left"/>
      </w:pPr>
      <w:r>
        <w:rPr>
          <w:rFonts w:ascii="Cambria" w:hAnsi="Cambria" w:eastAsia="Cambria" w:cs="Cambria"/>
        </w:rPr>
        <w:t>AACR 2014 (abstr CT103)</w:t>
      </w:r>
    </w:p>
    <w:p>
      <w:pPr>
        <w:widowControl/>
        <w:numPr>
          <w:ilvl w:val="0"/>
          <w:numId w:val="33"/>
        </w:numPr>
        <w:spacing w:after="44" w:line="261" w:lineRule="auto"/>
        <w:ind w:hanging="420"/>
        <w:jc w:val="left"/>
      </w:pPr>
      <w:r>
        <w:rPr>
          <w:rFonts w:ascii="Cambria" w:hAnsi="Cambria" w:eastAsia="Cambria" w:cs="Cambria"/>
        </w:rPr>
        <w:t>Annals of Oncology (2016) 27 (6): 416-454. 10.1093/annonc/mdw383</w:t>
      </w:r>
    </w:p>
    <w:p>
      <w:pPr>
        <w:widowControl/>
        <w:numPr>
          <w:ilvl w:val="0"/>
          <w:numId w:val="33"/>
        </w:numPr>
        <w:spacing w:after="44" w:line="261" w:lineRule="auto"/>
        <w:ind w:hanging="420"/>
        <w:jc w:val="left"/>
      </w:pPr>
      <w:r>
        <w:rPr>
          <w:rFonts w:ascii="Cambria" w:hAnsi="Cambria" w:eastAsia="Cambria" w:cs="Cambria"/>
        </w:rPr>
        <w:t>ASCO 2015 (abstr e15516)</w:t>
      </w:r>
    </w:p>
    <w:p>
      <w:pPr>
        <w:widowControl/>
        <w:numPr>
          <w:ilvl w:val="0"/>
          <w:numId w:val="33"/>
        </w:numPr>
        <w:spacing w:after="44" w:line="261" w:lineRule="auto"/>
        <w:ind w:hanging="420"/>
        <w:jc w:val="left"/>
      </w:pPr>
      <w:r>
        <w:rPr>
          <w:rFonts w:ascii="Cambria" w:hAnsi="Cambria" w:eastAsia="Cambria" w:cs="Cambria"/>
        </w:rPr>
        <w:t>ASH meeting, Dec 2014, abstract #389</w:t>
      </w:r>
    </w:p>
    <w:p>
      <w:pPr>
        <w:widowControl/>
        <w:numPr>
          <w:ilvl w:val="0"/>
          <w:numId w:val="33"/>
        </w:numPr>
        <w:spacing w:after="44" w:line="261" w:lineRule="auto"/>
        <w:ind w:hanging="420"/>
        <w:jc w:val="left"/>
      </w:pPr>
      <w:r>
        <w:rPr>
          <w:rFonts w:ascii="Cambria" w:hAnsi="Cambria" w:eastAsia="Cambria" w:cs="Cambria"/>
        </w:rPr>
        <w:t>Cancer Res 2016;76(14 Suppl):Abstract nr 1249</w:t>
      </w:r>
    </w:p>
    <w:p>
      <w:pPr>
        <w:widowControl/>
        <w:numPr>
          <w:ilvl w:val="0"/>
          <w:numId w:val="33"/>
        </w:numPr>
        <w:spacing w:after="44" w:line="261" w:lineRule="auto"/>
        <w:ind w:hanging="420"/>
        <w:jc w:val="left"/>
      </w:pPr>
      <w:r>
        <w:rPr>
          <w:rFonts w:ascii="Cambria" w:hAnsi="Cambria" w:eastAsia="Cambria" w:cs="Cambria"/>
        </w:rPr>
        <w:t>Cancer Res October 1, 2014 74:CT326</w:t>
      </w:r>
    </w:p>
    <w:p>
      <w:pPr>
        <w:widowControl/>
        <w:numPr>
          <w:ilvl w:val="0"/>
          <w:numId w:val="33"/>
        </w:numPr>
        <w:spacing w:after="44" w:line="261" w:lineRule="auto"/>
        <w:ind w:hanging="420"/>
        <w:jc w:val="left"/>
      </w:pPr>
      <w:r>
        <w:rPr>
          <w:rFonts w:ascii="Cambria" w:hAnsi="Cambria" w:eastAsia="Cambria" w:cs="Cambria"/>
        </w:rPr>
        <w:t>DOI: 10.1200/JCO.2017.35.18_suppl.LBA2501</w:t>
      </w:r>
    </w:p>
    <w:p>
      <w:pPr>
        <w:widowControl/>
        <w:numPr>
          <w:ilvl w:val="0"/>
          <w:numId w:val="33"/>
        </w:numPr>
        <w:spacing w:after="44" w:line="261" w:lineRule="auto"/>
        <w:ind w:hanging="420"/>
        <w:jc w:val="left"/>
      </w:pPr>
      <w:r>
        <w:rPr>
          <w:rFonts w:ascii="Cambria" w:hAnsi="Cambria" w:eastAsia="Cambria" w:cs="Cambria"/>
        </w:rPr>
        <w:t>DOI: http://dx.doi.org/10.1016/S1556-0864(16)30324-0</w:t>
      </w:r>
    </w:p>
    <w:p>
      <w:pPr>
        <w:widowControl/>
        <w:numPr>
          <w:ilvl w:val="0"/>
          <w:numId w:val="33"/>
        </w:numPr>
        <w:spacing w:after="44" w:line="261" w:lineRule="auto"/>
        <w:ind w:hanging="420"/>
        <w:jc w:val="left"/>
      </w:pPr>
      <w:r>
        <w:rPr>
          <w:rFonts w:ascii="Cambria" w:hAnsi="Cambria" w:eastAsia="Cambria" w:cs="Cambria"/>
        </w:rPr>
        <w:t>DOI:10.1158/1538-7445.AM2013-LB-64</w:t>
      </w:r>
    </w:p>
    <w:p>
      <w:pPr>
        <w:widowControl/>
        <w:numPr>
          <w:ilvl w:val="0"/>
          <w:numId w:val="33"/>
        </w:numPr>
        <w:spacing w:after="44" w:line="261" w:lineRule="auto"/>
        <w:ind w:hanging="420"/>
        <w:jc w:val="left"/>
      </w:pPr>
      <w:r>
        <w:rPr>
          <w:rFonts w:ascii="Cambria" w:hAnsi="Cambria" w:eastAsia="Cambria" w:cs="Cambria"/>
        </w:rPr>
        <w:t>DOI:10.1158/1538-7445.AM2016-CT007</w:t>
      </w:r>
    </w:p>
    <w:p>
      <w:pPr>
        <w:widowControl/>
        <w:numPr>
          <w:ilvl w:val="0"/>
          <w:numId w:val="33"/>
        </w:numPr>
        <w:spacing w:after="44" w:line="261" w:lineRule="auto"/>
        <w:ind w:hanging="420"/>
        <w:jc w:val="left"/>
      </w:pPr>
      <w:r>
        <w:rPr>
          <w:rFonts w:ascii="Cambria" w:hAnsi="Cambria" w:eastAsia="Cambria" w:cs="Cambria"/>
        </w:rPr>
        <w:t>ENA 2014 (abstr 373)</w:t>
      </w:r>
    </w:p>
    <w:p>
      <w:pPr>
        <w:widowControl/>
        <w:numPr>
          <w:ilvl w:val="0"/>
          <w:numId w:val="33"/>
        </w:numPr>
        <w:spacing w:after="44" w:line="261" w:lineRule="auto"/>
        <w:ind w:hanging="420"/>
        <w:jc w:val="left"/>
      </w:pPr>
      <w:r>
        <w:rPr>
          <w:rFonts w:ascii="Cambria" w:hAnsi="Cambria" w:eastAsia="Cambria" w:cs="Cambria"/>
        </w:rPr>
        <w:t>ESMO 2015 (abstract 302)</w:t>
      </w:r>
    </w:p>
    <w:p>
      <w:pPr>
        <w:widowControl/>
        <w:numPr>
          <w:ilvl w:val="0"/>
          <w:numId w:val="33"/>
        </w:numPr>
        <w:spacing w:after="44" w:line="261" w:lineRule="auto"/>
        <w:ind w:hanging="420"/>
        <w:jc w:val="left"/>
      </w:pPr>
      <w:r>
        <w:rPr>
          <w:rFonts w:ascii="Cambria" w:hAnsi="Cambria" w:eastAsia="Cambria" w:cs="Cambria"/>
        </w:rPr>
        <w:t>J Clin Oncol 29: 2011 (suppl; abstr 8061)</w:t>
      </w:r>
    </w:p>
    <w:p>
      <w:pPr>
        <w:widowControl/>
        <w:numPr>
          <w:ilvl w:val="0"/>
          <w:numId w:val="33"/>
        </w:numPr>
        <w:spacing w:after="44" w:line="261" w:lineRule="auto"/>
        <w:ind w:hanging="420"/>
        <w:jc w:val="left"/>
      </w:pPr>
      <w:r>
        <w:rPr>
          <w:rFonts w:ascii="Cambria" w:hAnsi="Cambria" w:eastAsia="Cambria" w:cs="Cambria"/>
        </w:rPr>
        <w:t>J Clin Oncol 32:5s, 2014 (suppl; abstr 8031)</w:t>
      </w:r>
    </w:p>
    <w:p>
      <w:pPr>
        <w:widowControl/>
        <w:numPr>
          <w:ilvl w:val="0"/>
          <w:numId w:val="33"/>
        </w:numPr>
        <w:spacing w:after="44" w:line="261" w:lineRule="auto"/>
        <w:ind w:hanging="420"/>
        <w:jc w:val="left"/>
      </w:pPr>
      <w:r>
        <w:rPr>
          <w:rFonts w:ascii="Cambria" w:hAnsi="Cambria" w:eastAsia="Cambria" w:cs="Cambria"/>
        </w:rPr>
        <w:t>J Clin Oncol 32:5s, 2014 (suppl; abstr 8077)</w:t>
      </w:r>
    </w:p>
    <w:p>
      <w:pPr>
        <w:widowControl/>
        <w:numPr>
          <w:ilvl w:val="0"/>
          <w:numId w:val="33"/>
        </w:numPr>
        <w:spacing w:after="44" w:line="261" w:lineRule="auto"/>
        <w:ind w:hanging="420"/>
        <w:jc w:val="left"/>
      </w:pPr>
      <w:r>
        <w:rPr>
          <w:rFonts w:ascii="Cambria" w:hAnsi="Cambria" w:eastAsia="Cambria" w:cs="Cambria"/>
        </w:rPr>
        <w:t>J Clin Oncol 33, 2015 (suppl; abstr 2540)</w:t>
      </w:r>
    </w:p>
    <w:p>
      <w:pPr>
        <w:widowControl/>
        <w:numPr>
          <w:ilvl w:val="0"/>
          <w:numId w:val="33"/>
        </w:numPr>
        <w:spacing w:after="44" w:line="261" w:lineRule="auto"/>
        <w:ind w:hanging="420"/>
        <w:jc w:val="left"/>
      </w:pPr>
      <w:r>
        <w:rPr>
          <w:rFonts w:ascii="Cambria" w:hAnsi="Cambria" w:eastAsia="Cambria" w:cs="Cambria"/>
        </w:rPr>
        <w:t>J Clin Oncol 33, 2015 (suppl; abstr 2545)</w:t>
      </w:r>
    </w:p>
    <w:p>
      <w:pPr>
        <w:widowControl/>
        <w:numPr>
          <w:ilvl w:val="0"/>
          <w:numId w:val="33"/>
        </w:numPr>
        <w:spacing w:after="44" w:line="261" w:lineRule="auto"/>
        <w:ind w:hanging="420"/>
        <w:jc w:val="left"/>
      </w:pPr>
      <w:r>
        <w:rPr>
          <w:rFonts w:ascii="Cambria" w:hAnsi="Cambria" w:eastAsia="Cambria" w:cs="Cambria"/>
        </w:rPr>
        <w:t>J Clin Oncol 33, 2015 (suppl; abstr 7003)</w:t>
      </w:r>
    </w:p>
    <w:p>
      <w:pPr>
        <w:widowControl/>
        <w:numPr>
          <w:ilvl w:val="0"/>
          <w:numId w:val="33"/>
        </w:numPr>
        <w:spacing w:after="44" w:line="261" w:lineRule="auto"/>
        <w:ind w:hanging="420"/>
        <w:jc w:val="left"/>
      </w:pPr>
      <w:r>
        <w:rPr>
          <w:rFonts w:ascii="Cambria" w:hAnsi="Cambria" w:eastAsia="Cambria" w:cs="Cambria"/>
        </w:rPr>
        <w:t>J Clin Oncol 33, 2015 (suppl; abstr 8015)</w:t>
      </w:r>
    </w:p>
    <w:p>
      <w:pPr>
        <w:widowControl/>
        <w:numPr>
          <w:ilvl w:val="0"/>
          <w:numId w:val="33"/>
        </w:numPr>
        <w:spacing w:after="44" w:line="261" w:lineRule="auto"/>
        <w:ind w:hanging="420"/>
        <w:jc w:val="left"/>
      </w:pPr>
      <w:r>
        <w:rPr>
          <w:rFonts w:ascii="Cambria" w:hAnsi="Cambria" w:eastAsia="Cambria" w:cs="Cambria"/>
        </w:rPr>
        <w:t>J Clin Oncol 33, 2015 (suppl; abstr TPS5608)</w:t>
      </w:r>
    </w:p>
    <w:p>
      <w:pPr>
        <w:widowControl/>
        <w:numPr>
          <w:ilvl w:val="0"/>
          <w:numId w:val="33"/>
        </w:numPr>
        <w:spacing w:after="44" w:line="261" w:lineRule="auto"/>
        <w:ind w:hanging="420"/>
        <w:jc w:val="left"/>
      </w:pPr>
      <w:r>
        <w:rPr>
          <w:rFonts w:ascii="Cambria" w:hAnsi="Cambria" w:eastAsia="Cambria" w:cs="Cambria"/>
        </w:rPr>
        <w:t>J Clin Oncol 34, 2016 (suppl; abstr 4517)</w:t>
      </w:r>
    </w:p>
    <w:p>
      <w:pPr>
        <w:widowControl/>
        <w:numPr>
          <w:ilvl w:val="0"/>
          <w:numId w:val="33"/>
        </w:numPr>
        <w:spacing w:after="44" w:line="261" w:lineRule="auto"/>
        <w:ind w:hanging="420"/>
        <w:jc w:val="left"/>
      </w:pPr>
      <w:r>
        <w:rPr>
          <w:rFonts w:ascii="Cambria" w:hAnsi="Cambria" w:eastAsia="Cambria" w:cs="Cambria"/>
        </w:rPr>
        <w:t>J Clin Oncol 34, 2016 (suppl; abstr 9009)</w:t>
      </w:r>
    </w:p>
    <w:p>
      <w:pPr>
        <w:widowControl/>
        <w:numPr>
          <w:ilvl w:val="0"/>
          <w:numId w:val="33"/>
        </w:numPr>
        <w:spacing w:after="44" w:line="261" w:lineRule="auto"/>
        <w:ind w:hanging="420"/>
        <w:jc w:val="left"/>
      </w:pPr>
      <w:r>
        <w:rPr>
          <w:rFonts w:ascii="Cambria" w:hAnsi="Cambria" w:eastAsia="Cambria" w:cs="Cambria"/>
        </w:rPr>
        <w:t>JCO, Vol 33, No 15_suppl (May 20 Supplement), 2015: 2540</w:t>
      </w:r>
    </w:p>
    <w:p>
      <w:pPr>
        <w:widowControl/>
        <w:numPr>
          <w:ilvl w:val="0"/>
          <w:numId w:val="33"/>
        </w:numPr>
        <w:spacing w:after="44" w:line="261" w:lineRule="auto"/>
        <w:ind w:hanging="420"/>
        <w:jc w:val="left"/>
      </w:pPr>
      <w:r>
        <w:rPr>
          <w:rFonts w:ascii="Cambria" w:hAnsi="Cambria" w:eastAsia="Cambria" w:cs="Cambria"/>
        </w:rPr>
        <w:t xml:space="preserve">guideline:CSCO </w:t>
      </w:r>
      <w:r>
        <w:t>胃肠间质瘤专家委员会</w:t>
      </w:r>
      <w:r>
        <w:rPr>
          <w:rFonts w:ascii="Cambria" w:hAnsi="Cambria" w:eastAsia="Cambria" w:cs="Cambria"/>
        </w:rPr>
        <w:t>.</w:t>
      </w:r>
      <w:r>
        <w:t>临床肿瘤学杂志</w:t>
      </w:r>
      <w:r>
        <w:rPr>
          <w:rFonts w:ascii="Cambria" w:hAnsi="Cambria" w:eastAsia="Cambria" w:cs="Cambria"/>
        </w:rPr>
        <w:t>.2013,18(11)</w:t>
      </w:r>
    </w:p>
    <w:p>
      <w:pPr>
        <w:widowControl/>
        <w:numPr>
          <w:ilvl w:val="0"/>
          <w:numId w:val="33"/>
        </w:numPr>
        <w:spacing w:after="46" w:line="265" w:lineRule="auto"/>
        <w:ind w:hanging="420"/>
        <w:jc w:val="left"/>
      </w:pPr>
      <w:r>
        <w:t>中国埃克替尼治疗非小细胞肺癌专家共识（</w:t>
      </w:r>
      <w:r>
        <w:rPr>
          <w:rFonts w:ascii="Cambria" w:hAnsi="Cambria" w:eastAsia="Cambria" w:cs="Cambria"/>
        </w:rPr>
        <w:t xml:space="preserve">2016 </w:t>
      </w:r>
      <w:r>
        <w:t>年版）</w:t>
      </w:r>
    </w:p>
    <w:p>
      <w:pPr>
        <w:widowControl/>
        <w:numPr>
          <w:ilvl w:val="0"/>
          <w:numId w:val="33"/>
        </w:numPr>
        <w:spacing w:after="46" w:line="265" w:lineRule="auto"/>
        <w:ind w:hanging="420"/>
        <w:jc w:val="left"/>
      </w:pPr>
      <w:r>
        <w:rPr>
          <w:rFonts w:ascii="Cambria" w:hAnsi="Cambria" w:eastAsia="Cambria" w:cs="Cambria"/>
        </w:rPr>
        <w:t xml:space="preserve">CSCO </w:t>
      </w:r>
      <w:r>
        <w:t xml:space="preserve">黑色素瘤专家委员会，人民卫生出版社 </w:t>
      </w:r>
      <w:r>
        <w:rPr>
          <w:rFonts w:ascii="Cambria" w:hAnsi="Cambria" w:eastAsia="Cambria" w:cs="Cambria"/>
        </w:rPr>
        <w:t xml:space="preserve">2017 </w:t>
      </w:r>
      <w:r>
        <w:t>版</w:t>
      </w: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jc w:val="left"/>
        <w:rPr>
          <w:rFonts w:ascii="微软雅黑" w:hAnsi="微软雅黑" w:eastAsia="微软雅黑" w:cs="MicrosoftYaHei"/>
          <w:color w:val="000000" w:themeColor="text1"/>
          <w:kern w:val="0"/>
          <w:sz w:val="20"/>
          <w:szCs w:val="20"/>
          <w14:textFill>
            <w14:solidFill>
              <w14:schemeClr w14:val="tx1"/>
            </w14:solidFill>
          </w14:textFill>
        </w:rPr>
      </w:pPr>
      <w:r>
        <w:rPr>
          <w:rFonts w:ascii="微软雅黑" w:hAnsi="微软雅黑" w:eastAsia="微软雅黑" w:cs="MicrosoftYaHei"/>
          <w:color w:val="000000" w:themeColor="text1"/>
          <w:kern w:val="0"/>
          <w:sz w:val="20"/>
          <w:szCs w:val="20"/>
          <w14:textFill>
            <w14:solidFill>
              <w14:schemeClr w14:val="tx1"/>
            </w14:solidFill>
          </w14:textFill>
        </w:rPr>
        <w:br w:type="page"/>
      </w:r>
    </w:p>
    <w:p>
      <w:pPr>
        <w:widowControl/>
        <w:jc w:val="left"/>
        <w:outlineLvl w:val="1"/>
        <w:rPr>
          <w:rFonts w:ascii="微软雅黑" w:hAnsi="微软雅黑" w:eastAsia="微软雅黑" w:cs="MicrosoftYaHei"/>
          <w:b/>
          <w:color w:val="000000" w:themeColor="text1"/>
          <w:kern w:val="0"/>
          <w:sz w:val="28"/>
          <w:szCs w:val="24"/>
          <w14:textFill>
            <w14:solidFill>
              <w14:schemeClr w14:val="tx1"/>
            </w14:solidFill>
          </w14:textFill>
        </w:rPr>
      </w:pPr>
      <w:bookmarkStart w:id="16" w:name="_Toc512352444"/>
      <w:r>
        <w:rPr>
          <w:rFonts w:hint="eastAsia" w:ascii="微软雅黑" w:hAnsi="微软雅黑" w:eastAsia="微软雅黑" w:cs="MicrosoftYaHei"/>
          <w:b/>
          <w:color w:val="000000" w:themeColor="text1"/>
          <w:kern w:val="0"/>
          <w:sz w:val="28"/>
          <w:szCs w:val="24"/>
          <w14:textFill>
            <w14:solidFill>
              <w14:schemeClr w14:val="tx1"/>
            </w14:solidFill>
          </w14:textFill>
        </w:rPr>
        <w:t>产品声明</w:t>
      </w:r>
      <w:bookmarkEnd w:id="16"/>
    </w:p>
    <w:p>
      <w:pPr>
        <w:widowControl/>
        <w:spacing w:line="400" w:lineRule="exact"/>
        <w:jc w:val="left"/>
        <w:rPr>
          <w:rFonts w:ascii="微软雅黑" w:hAnsi="微软雅黑" w:eastAsia="微软雅黑" w:cs="MicrosoftYaHei"/>
          <w:color w:val="000000" w:themeColor="text1"/>
          <w:kern w:val="0"/>
          <w:sz w:val="20"/>
          <w:szCs w:val="20"/>
          <w14:textFill>
            <w14:solidFill>
              <w14:schemeClr w14:val="tx1"/>
            </w14:solidFill>
          </w14:textFill>
        </w:rPr>
      </w:pPr>
    </w:p>
    <w:p>
      <w:pPr>
        <w:pStyle w:val="20"/>
        <w:widowControl/>
        <w:numPr>
          <w:ilvl w:val="0"/>
          <w:numId w:val="2"/>
        </w:numPr>
        <w:spacing w:line="400" w:lineRule="exact"/>
        <w:ind w:firstLineChars="0"/>
        <w:jc w:val="left"/>
        <w:rPr>
          <w:rFonts w:ascii="微软雅黑" w:hAnsi="微软雅黑" w:eastAsia="微软雅黑" w:cs="MicrosoftYaHei"/>
          <w:color w:val="000000" w:themeColor="text1"/>
          <w:kern w:val="0"/>
          <w:sz w:val="20"/>
          <w:szCs w:val="20"/>
          <w14:textFill>
            <w14:solidFill>
              <w14:schemeClr w14:val="tx1"/>
            </w14:solidFill>
          </w14:textFill>
        </w:rPr>
      </w:pPr>
      <w:r>
        <w:rPr>
          <w:rFonts w:hint="eastAsia" w:ascii="微软雅黑" w:hAnsi="微软雅黑" w:eastAsia="微软雅黑" w:cs="MicrosoftYaHei"/>
          <w:b/>
          <w:kern w:val="0"/>
          <w:sz w:val="22"/>
          <w:szCs w:val="24"/>
        </w:rPr>
        <w:t>报告阅读</w:t>
      </w:r>
    </w:p>
    <w:p>
      <w:pPr>
        <w:widowControl/>
        <w:spacing w:line="400" w:lineRule="exact"/>
        <w:ind w:left="440"/>
        <w:jc w:val="left"/>
        <w:rPr>
          <w:rFonts w:ascii="微软雅黑" w:hAnsi="微软雅黑" w:eastAsia="微软雅黑" w:cs="MicrosoftYaHei"/>
          <w:color w:val="000000" w:themeColor="text1"/>
          <w:kern w:val="0"/>
          <w:sz w:val="20"/>
          <w:szCs w:val="20"/>
          <w14:textFill>
            <w14:solidFill>
              <w14:schemeClr w14:val="tx1"/>
            </w14:solidFill>
          </w14:textFill>
        </w:rPr>
      </w:pPr>
      <w:r>
        <w:rPr>
          <w:rFonts w:hint="eastAsia" w:ascii="微软雅黑" w:hAnsi="微软雅黑" w:eastAsia="微软雅黑" w:cs="MicrosoftYaHei"/>
          <w:color w:val="000000" w:themeColor="text1"/>
          <w:kern w:val="0"/>
          <w:sz w:val="20"/>
          <w:szCs w:val="20"/>
          <w14:textFill>
            <w14:solidFill>
              <w14:schemeClr w14:val="tx1"/>
            </w14:solidFill>
          </w14:textFill>
        </w:rPr>
        <w:t>本报告主要检测肿瘤治疗相关基因的变异情况。报告给出的变异信息（和无变异信息）可为临床医生对受检者的治疗提供参考，受检者请在临床医生的指导下阅读本报告。</w:t>
      </w:r>
    </w:p>
    <w:p>
      <w:pPr>
        <w:widowControl/>
        <w:spacing w:line="400" w:lineRule="exact"/>
        <w:ind w:left="440"/>
        <w:jc w:val="left"/>
        <w:rPr>
          <w:rFonts w:ascii="微软雅黑" w:hAnsi="微软雅黑" w:eastAsia="微软雅黑" w:cs="MicrosoftYaHei"/>
          <w:color w:val="000000" w:themeColor="text1"/>
          <w:kern w:val="0"/>
          <w:sz w:val="20"/>
          <w:szCs w:val="20"/>
          <w14:textFill>
            <w14:solidFill>
              <w14:schemeClr w14:val="tx1"/>
            </w14:solidFill>
          </w14:textFill>
        </w:rPr>
      </w:pPr>
    </w:p>
    <w:p>
      <w:pPr>
        <w:pStyle w:val="20"/>
        <w:widowControl/>
        <w:numPr>
          <w:ilvl w:val="0"/>
          <w:numId w:val="2"/>
        </w:numPr>
        <w:spacing w:line="400" w:lineRule="exact"/>
        <w:ind w:firstLineChars="0"/>
        <w:jc w:val="left"/>
        <w:rPr>
          <w:rFonts w:ascii="微软雅黑" w:hAnsi="微软雅黑" w:eastAsia="微软雅黑" w:cs="MicrosoftYaHei"/>
          <w:b/>
          <w:kern w:val="0"/>
          <w:sz w:val="22"/>
          <w:szCs w:val="24"/>
        </w:rPr>
      </w:pPr>
      <w:r>
        <w:rPr>
          <w:rFonts w:hint="eastAsia" w:ascii="微软雅黑" w:hAnsi="微软雅黑" w:eastAsia="微软雅黑" w:cs="MicrosoftYaHei"/>
          <w:b/>
          <w:kern w:val="0"/>
          <w:sz w:val="22"/>
          <w:szCs w:val="24"/>
        </w:rPr>
        <w:t>基因变异和药物说明</w:t>
      </w:r>
    </w:p>
    <w:p>
      <w:pPr>
        <w:widowControl/>
        <w:spacing w:line="400" w:lineRule="exact"/>
        <w:ind w:left="440"/>
        <w:jc w:val="left"/>
        <w:rPr>
          <w:rFonts w:ascii="微软雅黑" w:hAnsi="微软雅黑" w:eastAsia="微软雅黑" w:cs="MicrosoftYaHei"/>
          <w:color w:val="000000" w:themeColor="text1"/>
          <w:kern w:val="0"/>
          <w:sz w:val="20"/>
          <w:szCs w:val="20"/>
          <w14:textFill>
            <w14:solidFill>
              <w14:schemeClr w14:val="tx1"/>
            </w14:solidFill>
          </w14:textFill>
        </w:rPr>
      </w:pPr>
      <w:r>
        <w:rPr>
          <w:rFonts w:hint="eastAsia" w:ascii="微软雅黑" w:hAnsi="微软雅黑" w:eastAsia="微软雅黑" w:cs="MicrosoftYaHei"/>
          <w:color w:val="000000" w:themeColor="text1"/>
          <w:kern w:val="0"/>
          <w:sz w:val="20"/>
          <w:szCs w:val="20"/>
          <w14:textFill>
            <w14:solidFill>
              <w14:schemeClr w14:val="tx1"/>
            </w14:solidFill>
          </w14:textFill>
        </w:rPr>
        <w:t>一个生物标志物变异的发现并不意味着必定会对某一药物或疗法有效，同样没有检测到生物标志物也不代表一定会对任何药物或疗法都无效。本报告中任何一个标志变异和潜在有效或无效药物均不按照先后顺序排名。潜在临床受益或无效药物的证据来源或等级不做评估。</w:t>
      </w:r>
    </w:p>
    <w:p>
      <w:pPr>
        <w:widowControl/>
        <w:spacing w:line="400" w:lineRule="exact"/>
        <w:ind w:left="440"/>
        <w:jc w:val="left"/>
        <w:rPr>
          <w:rFonts w:ascii="微软雅黑" w:hAnsi="微软雅黑" w:eastAsia="微软雅黑" w:cs="MicrosoftYaHei"/>
          <w:color w:val="000000" w:themeColor="text1"/>
          <w:kern w:val="0"/>
          <w:sz w:val="20"/>
          <w:szCs w:val="20"/>
          <w14:textFill>
            <w14:solidFill>
              <w14:schemeClr w14:val="tx1"/>
            </w14:solidFill>
          </w14:textFill>
        </w:rPr>
      </w:pPr>
    </w:p>
    <w:p>
      <w:pPr>
        <w:pStyle w:val="20"/>
        <w:widowControl/>
        <w:numPr>
          <w:ilvl w:val="0"/>
          <w:numId w:val="2"/>
        </w:numPr>
        <w:spacing w:line="400" w:lineRule="exact"/>
        <w:ind w:firstLineChars="0"/>
        <w:jc w:val="left"/>
        <w:rPr>
          <w:rFonts w:ascii="微软雅黑" w:hAnsi="微软雅黑" w:eastAsia="微软雅黑" w:cs="MicrosoftYaHei"/>
          <w:b/>
          <w:kern w:val="0"/>
          <w:sz w:val="22"/>
          <w:szCs w:val="24"/>
        </w:rPr>
      </w:pPr>
      <w:r>
        <w:rPr>
          <w:rFonts w:hint="eastAsia" w:ascii="微软雅黑" w:hAnsi="微软雅黑" w:eastAsia="微软雅黑" w:cs="MicrosoftYaHei"/>
          <w:b/>
          <w:kern w:val="0"/>
          <w:sz w:val="22"/>
          <w:szCs w:val="24"/>
        </w:rPr>
        <w:t>治疗方案由医生决策</w:t>
      </w:r>
    </w:p>
    <w:p>
      <w:pPr>
        <w:widowControl/>
        <w:spacing w:line="400" w:lineRule="exact"/>
        <w:ind w:left="440"/>
        <w:jc w:val="left"/>
        <w:rPr>
          <w:rFonts w:ascii="微软雅黑" w:hAnsi="微软雅黑" w:eastAsia="微软雅黑" w:cs="MicrosoftYaHei"/>
          <w:color w:val="000000" w:themeColor="text1"/>
          <w:kern w:val="0"/>
          <w:sz w:val="20"/>
          <w:szCs w:val="20"/>
          <w14:textFill>
            <w14:solidFill>
              <w14:schemeClr w14:val="tx1"/>
            </w14:solidFill>
          </w14:textFill>
        </w:rPr>
      </w:pPr>
      <w:r>
        <w:rPr>
          <w:rFonts w:hint="eastAsia" w:ascii="微软雅黑" w:hAnsi="微软雅黑" w:eastAsia="微软雅黑" w:cs="MicrosoftYaHei"/>
          <w:color w:val="000000" w:themeColor="text1"/>
          <w:kern w:val="0"/>
          <w:sz w:val="20"/>
          <w:szCs w:val="20"/>
          <w14:textFill>
            <w14:solidFill>
              <w14:schemeClr w14:val="tx1"/>
            </w14:solidFill>
          </w14:textFill>
        </w:rPr>
        <w:t>本报告提及到的药物可能对某一特定患者并不适应。任何一个或所有潜在有效药物的选取或无效药物的弃选都由医生慎重决定。临床医生在给出推荐治疗方案时，需要综合考虑本检测报告细信息和患者其他相关信息。</w:t>
      </w:r>
    </w:p>
    <w:p>
      <w:pPr>
        <w:widowControl/>
        <w:spacing w:line="400" w:lineRule="exact"/>
        <w:ind w:left="440"/>
        <w:jc w:val="left"/>
        <w:rPr>
          <w:rFonts w:ascii="微软雅黑" w:hAnsi="微软雅黑" w:eastAsia="微软雅黑" w:cs="MicrosoftYaHei"/>
          <w:color w:val="000000" w:themeColor="text1"/>
          <w:kern w:val="0"/>
          <w:sz w:val="20"/>
          <w:szCs w:val="20"/>
          <w14:textFill>
            <w14:solidFill>
              <w14:schemeClr w14:val="tx1"/>
            </w14:solidFill>
          </w14:textFill>
        </w:rPr>
      </w:pPr>
    </w:p>
    <w:p>
      <w:pPr>
        <w:pStyle w:val="20"/>
        <w:widowControl/>
        <w:numPr>
          <w:ilvl w:val="0"/>
          <w:numId w:val="2"/>
        </w:numPr>
        <w:spacing w:line="400" w:lineRule="exact"/>
        <w:ind w:firstLineChars="0"/>
        <w:jc w:val="left"/>
        <w:rPr>
          <w:rFonts w:ascii="微软雅黑" w:hAnsi="微软雅黑" w:eastAsia="微软雅黑" w:cs="MicrosoftYaHei"/>
          <w:b/>
          <w:kern w:val="0"/>
          <w:sz w:val="22"/>
          <w:szCs w:val="24"/>
        </w:rPr>
      </w:pPr>
      <w:r>
        <w:rPr>
          <w:rFonts w:hint="eastAsia" w:ascii="微软雅黑" w:hAnsi="微软雅黑" w:eastAsia="微软雅黑" w:cs="MicrosoftYaHei"/>
          <w:b/>
          <w:kern w:val="0"/>
          <w:sz w:val="22"/>
          <w:szCs w:val="24"/>
        </w:rPr>
        <w:t>次生危害不予赔偿</w:t>
      </w:r>
    </w:p>
    <w:p>
      <w:pPr>
        <w:widowControl/>
        <w:spacing w:line="400" w:lineRule="exact"/>
        <w:ind w:left="440"/>
        <w:jc w:val="left"/>
        <w:rPr>
          <w:rFonts w:ascii="微软雅黑" w:hAnsi="微软雅黑" w:eastAsia="微软雅黑" w:cs="MicrosoftYaHei"/>
          <w:color w:val="000000" w:themeColor="text1"/>
          <w:kern w:val="0"/>
          <w:sz w:val="20"/>
          <w:szCs w:val="20"/>
          <w14:textFill>
            <w14:solidFill>
              <w14:schemeClr w14:val="tx1"/>
            </w14:solidFill>
          </w14:textFill>
        </w:rPr>
      </w:pPr>
      <w:r>
        <w:rPr>
          <w:rFonts w:hint="eastAsia" w:ascii="微软雅黑" w:hAnsi="微软雅黑" w:eastAsia="微软雅黑" w:cs="MicrosoftYaHei"/>
          <w:color w:val="000000" w:themeColor="text1"/>
          <w:kern w:val="0"/>
          <w:sz w:val="20"/>
          <w:szCs w:val="20"/>
          <w14:textFill>
            <w14:solidFill>
              <w14:schemeClr w14:val="tx1"/>
            </w14:solidFill>
          </w14:textFill>
        </w:rPr>
        <w:t>在检测过程中及知晓检测结果后，因自身心理或生理因素可能引起受检者出现不同程度的精神压力和负担，由此产生的次生危害，检测机构不承担任何责任。</w:t>
      </w:r>
    </w:p>
    <w:p>
      <w:pPr>
        <w:widowControl/>
        <w:spacing w:line="400" w:lineRule="exact"/>
        <w:ind w:left="440"/>
        <w:jc w:val="left"/>
        <w:rPr>
          <w:rFonts w:ascii="微软雅黑" w:hAnsi="微软雅黑" w:eastAsia="微软雅黑" w:cs="MicrosoftYaHei"/>
          <w:color w:val="000000" w:themeColor="text1"/>
          <w:kern w:val="0"/>
          <w:sz w:val="20"/>
          <w:szCs w:val="20"/>
          <w14:textFill>
            <w14:solidFill>
              <w14:schemeClr w14:val="tx1"/>
            </w14:solidFill>
          </w14:textFill>
        </w:rPr>
      </w:pPr>
    </w:p>
    <w:p>
      <w:pPr>
        <w:pStyle w:val="20"/>
        <w:widowControl/>
        <w:numPr>
          <w:ilvl w:val="0"/>
          <w:numId w:val="2"/>
        </w:numPr>
        <w:spacing w:line="400" w:lineRule="exact"/>
        <w:ind w:firstLineChars="0"/>
        <w:jc w:val="left"/>
        <w:rPr>
          <w:rFonts w:ascii="微软雅黑" w:hAnsi="微软雅黑" w:eastAsia="微软雅黑" w:cs="MicrosoftYaHei"/>
          <w:b/>
          <w:kern w:val="0"/>
          <w:sz w:val="22"/>
          <w:szCs w:val="24"/>
        </w:rPr>
      </w:pPr>
      <w:r>
        <w:rPr>
          <w:rFonts w:hint="eastAsia" w:ascii="微软雅黑" w:hAnsi="微软雅黑" w:eastAsia="微软雅黑" w:cs="MicrosoftYaHei"/>
          <w:b/>
          <w:kern w:val="0"/>
          <w:sz w:val="22"/>
          <w:szCs w:val="24"/>
        </w:rPr>
        <w:t>信息保密</w:t>
      </w:r>
    </w:p>
    <w:p>
      <w:pPr>
        <w:widowControl/>
        <w:spacing w:line="400" w:lineRule="exact"/>
        <w:ind w:left="440"/>
        <w:jc w:val="left"/>
        <w:rPr>
          <w:rFonts w:ascii="微软雅黑" w:hAnsi="微软雅黑" w:eastAsia="微软雅黑" w:cs="MicrosoftYaHei"/>
          <w:color w:val="000000" w:themeColor="text1"/>
          <w:kern w:val="0"/>
          <w:sz w:val="20"/>
          <w:szCs w:val="20"/>
          <w14:textFill>
            <w14:solidFill>
              <w14:schemeClr w14:val="tx1"/>
            </w14:solidFill>
          </w14:textFill>
        </w:rPr>
      </w:pPr>
      <w:r>
        <w:rPr>
          <w:rFonts w:hint="eastAsia" w:ascii="微软雅黑" w:hAnsi="微软雅黑" w:eastAsia="微软雅黑" w:cs="MicrosoftYaHei"/>
          <w:color w:val="000000" w:themeColor="text1"/>
          <w:kern w:val="0"/>
          <w:sz w:val="20"/>
          <w:szCs w:val="20"/>
          <w14:textFill>
            <w14:solidFill>
              <w14:schemeClr w14:val="tx1"/>
            </w14:solidFill>
          </w14:textFill>
        </w:rPr>
        <w:t>凯杰（苏州）将妥善保存与受检者个人身份有关的资料，并且保证不会泄露给第三方机构。</w:t>
      </w:r>
    </w:p>
    <w:p>
      <w:pPr>
        <w:widowControl/>
        <w:spacing w:line="400" w:lineRule="exact"/>
        <w:ind w:left="440"/>
        <w:jc w:val="left"/>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ind w:left="440"/>
        <w:jc w:val="left"/>
        <w:rPr>
          <w:rFonts w:ascii="微软雅黑" w:hAnsi="微软雅黑" w:eastAsia="微软雅黑" w:cs="MicrosoftYaHei"/>
          <w:color w:val="000000" w:themeColor="text1"/>
          <w:kern w:val="0"/>
          <w:sz w:val="20"/>
          <w:szCs w:val="20"/>
          <w14:textFill>
            <w14:solidFill>
              <w14:schemeClr w14:val="tx1"/>
            </w14:solidFill>
          </w14:textFill>
        </w:rPr>
      </w:pPr>
      <w:r>
        <w:rPr>
          <w:rFonts w:hint="eastAsia" w:ascii="微软雅黑" w:hAnsi="微软雅黑" w:eastAsia="微软雅黑" w:cs="MicrosoftYaHei"/>
          <w:color w:val="000000" w:themeColor="text1"/>
          <w:kern w:val="0"/>
          <w:sz w:val="20"/>
          <w:szCs w:val="20"/>
          <w14:textFill>
            <w14:solidFill>
              <w14:schemeClr w14:val="tx1"/>
            </w14:solidFill>
          </w14:textFill>
        </w:rPr>
        <w:t>患者的治疗决策必须基于医生的医学判断，并遵照医院给出的护理标准。医生的决策不能仅依赖于某一单个监测，如此次检测和本报告中给出的信息。本报告不是临床诊断报告，不具备医嘱性质，供医生参考治疗方案由医生决策。</w:t>
      </w: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jc w:val="left"/>
        <w:rPr>
          <w:rFonts w:ascii="微软雅黑" w:hAnsi="微软雅黑" w:eastAsia="微软雅黑" w:cs="MicrosoftYaHei"/>
          <w:color w:val="000000" w:themeColor="text1"/>
          <w:kern w:val="0"/>
          <w:sz w:val="20"/>
          <w:szCs w:val="20"/>
          <w14:textFill>
            <w14:solidFill>
              <w14:schemeClr w14:val="tx1"/>
            </w14:solidFill>
          </w14:textFill>
        </w:rPr>
      </w:pPr>
      <w:r>
        <w:rPr>
          <w:rFonts w:ascii="微软雅黑" w:hAnsi="微软雅黑" w:eastAsia="微软雅黑" w:cs="MicrosoftYaHei"/>
          <w:color w:val="000000" w:themeColor="text1"/>
          <w:kern w:val="0"/>
          <w:sz w:val="20"/>
          <w:szCs w:val="20"/>
          <w14:textFill>
            <w14:solidFill>
              <w14:schemeClr w14:val="tx1"/>
            </w14:solidFill>
          </w14:textFill>
        </w:rPr>
        <w:br w:type="page"/>
      </w: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r>
        <w:rPr>
          <w:rFonts w:ascii="微软雅黑" w:hAnsi="微软雅黑" w:eastAsia="微软雅黑"/>
          <w:color w:val="5B9BD5" w:themeColor="accent5"/>
          <w:sz w:val="40"/>
          <w14:textFill>
            <w14:solidFill>
              <w14:schemeClr w14:val="accent5"/>
            </w14:solidFill>
          </w14:textFill>
        </w:rPr>
        <w:drawing>
          <wp:anchor distT="0" distB="0" distL="114300" distR="114300" simplePos="0" relativeHeight="251662336" behindDoc="1" locked="0" layoutInCell="1" allowOverlap="1">
            <wp:simplePos x="0" y="0"/>
            <wp:positionH relativeFrom="page">
              <wp:align>left</wp:align>
            </wp:positionH>
            <wp:positionV relativeFrom="paragraph">
              <wp:posOffset>186690</wp:posOffset>
            </wp:positionV>
            <wp:extent cx="7562850" cy="411480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62850" cy="4114800"/>
                    </a:xfrm>
                    <a:prstGeom prst="rect">
                      <a:avLst/>
                    </a:prstGeom>
                  </pic:spPr>
                </pic:pic>
              </a:graphicData>
            </a:graphic>
          </wp:anchor>
        </w:drawing>
      </w: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r>
        <w:rPr>
          <w:rFonts w:ascii="微软雅黑" w:hAnsi="微软雅黑" w:eastAsia="微软雅黑"/>
          <w:color w:val="5B9BD5" w:themeColor="accent5"/>
          <w:sz w:val="40"/>
          <w14:textFill>
            <w14:solidFill>
              <w14:schemeClr w14:val="accent5"/>
            </w14:solidFill>
          </w14:textFill>
        </w:rPr>
        <w:drawing>
          <wp:anchor distT="0" distB="0" distL="114300" distR="114300" simplePos="0" relativeHeight="251670528" behindDoc="0" locked="0" layoutInCell="1" allowOverlap="1">
            <wp:simplePos x="0" y="0"/>
            <wp:positionH relativeFrom="margin">
              <wp:align>center</wp:align>
            </wp:positionH>
            <wp:positionV relativeFrom="paragraph">
              <wp:posOffset>88265</wp:posOffset>
            </wp:positionV>
            <wp:extent cx="1167130" cy="1000125"/>
            <wp:effectExtent l="0" t="0" r="0" b="0"/>
            <wp:wrapNone/>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66813" cy="1000125"/>
                    </a:xfrm>
                    <a:prstGeom prst="rect">
                      <a:avLst/>
                    </a:prstGeom>
                  </pic:spPr>
                </pic:pic>
              </a:graphicData>
            </a:graphic>
          </wp:anchor>
        </w:drawing>
      </w: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p>
    <w:p>
      <w:pPr>
        <w:widowControl/>
        <w:spacing w:line="400" w:lineRule="exact"/>
        <w:jc w:val="center"/>
        <w:rPr>
          <w:rFonts w:ascii="微软雅黑" w:hAnsi="微软雅黑" w:eastAsia="微软雅黑"/>
          <w:color w:val="1F4E79" w:themeColor="accent5" w:themeShade="80"/>
          <w:sz w:val="36"/>
        </w:rPr>
      </w:pPr>
      <w:r>
        <w:rPr>
          <w:rFonts w:hint="eastAsia" w:ascii="微软雅黑" w:hAnsi="微软雅黑" w:eastAsia="微软雅黑"/>
          <w:color w:val="1F4E79" w:themeColor="accent5" w:themeShade="80"/>
          <w:sz w:val="36"/>
        </w:rPr>
        <w:t xml:space="preserve"> </w:t>
      </w:r>
      <w:r>
        <w:rPr>
          <w:rFonts w:ascii="微软雅黑" w:hAnsi="微软雅黑" w:eastAsia="微软雅黑"/>
          <w:color w:val="1F4E79" w:themeColor="accent5" w:themeShade="80"/>
          <w:sz w:val="36"/>
        </w:rPr>
        <w:t xml:space="preserve">           </w:t>
      </w:r>
    </w:p>
    <w:p>
      <w:pPr>
        <w:widowControl/>
        <w:spacing w:line="400" w:lineRule="exact"/>
        <w:jc w:val="center"/>
        <w:rPr>
          <w:rFonts w:ascii="微软雅黑" w:hAnsi="微软雅黑" w:eastAsia="微软雅黑" w:cs="MicrosoftYaHei"/>
          <w:color w:val="000000" w:themeColor="text1"/>
          <w:kern w:val="0"/>
          <w:sz w:val="20"/>
          <w:szCs w:val="20"/>
          <w14:textFill>
            <w14:solidFill>
              <w14:schemeClr w14:val="tx1"/>
            </w14:solidFill>
          </w14:textFill>
        </w:rPr>
      </w:pPr>
      <w:r>
        <w:rPr>
          <w:rFonts w:hint="eastAsia" w:ascii="微软雅黑" w:hAnsi="微软雅黑" w:eastAsia="微软雅黑"/>
          <w:color w:val="1F4E79" w:themeColor="accent5" w:themeShade="80"/>
          <w:sz w:val="36"/>
        </w:rPr>
        <w:t>凯杰（苏州）</w:t>
      </w:r>
    </w:p>
    <w:p>
      <w:pPr>
        <w:widowControl/>
        <w:spacing w:line="400" w:lineRule="exact"/>
        <w:jc w:val="center"/>
        <w:rPr>
          <w:rFonts w:ascii="微软雅黑" w:hAnsi="微软雅黑" w:eastAsia="微软雅黑"/>
          <w:color w:val="1F4E79" w:themeColor="accent5" w:themeShade="80"/>
          <w:sz w:val="24"/>
          <w:szCs w:val="24"/>
        </w:rPr>
      </w:pPr>
      <w:r>
        <w:rPr>
          <w:rFonts w:ascii="微软雅黑" w:hAnsi="微软雅黑" w:eastAsia="微软雅黑"/>
          <w:color w:val="1F4E79" w:themeColor="accent5" w:themeShade="80"/>
          <w:sz w:val="24"/>
          <w:szCs w:val="24"/>
        </w:rPr>
        <w:t>0512</w:t>
      </w:r>
      <w:r>
        <w:rPr>
          <w:rFonts w:hint="eastAsia" w:ascii="微软雅黑" w:hAnsi="微软雅黑" w:eastAsia="微软雅黑"/>
          <w:color w:val="1F4E79" w:themeColor="accent5" w:themeShade="80"/>
          <w:sz w:val="24"/>
          <w:szCs w:val="24"/>
        </w:rPr>
        <w:t>-8</w:t>
      </w:r>
      <w:r>
        <w:rPr>
          <w:rFonts w:ascii="微软雅黑" w:hAnsi="微软雅黑" w:eastAsia="微软雅黑"/>
          <w:color w:val="1F4E79" w:themeColor="accent5" w:themeShade="80"/>
          <w:sz w:val="24"/>
          <w:szCs w:val="24"/>
        </w:rPr>
        <w:t>6868600</w:t>
      </w:r>
    </w:p>
    <w:p>
      <w:pPr>
        <w:widowControl/>
        <w:spacing w:line="400" w:lineRule="exact"/>
        <w:jc w:val="center"/>
        <w:rPr>
          <w:rFonts w:ascii="微软雅黑" w:hAnsi="微软雅黑" w:eastAsia="微软雅黑"/>
          <w:color w:val="1F4E79" w:themeColor="accent5" w:themeShade="80"/>
          <w:sz w:val="24"/>
          <w:szCs w:val="24"/>
        </w:rPr>
      </w:pPr>
      <w:r>
        <w:rPr>
          <w:rFonts w:ascii="微软雅黑" w:hAnsi="微软雅黑" w:eastAsia="微软雅黑"/>
          <w:color w:val="1F4E79" w:themeColor="accent5" w:themeShade="80"/>
          <w:sz w:val="24"/>
          <w:szCs w:val="24"/>
        </w:rPr>
        <w:t>www.transmedchina.com</w:t>
      </w:r>
    </w:p>
    <w:p>
      <w:pPr>
        <w:widowControl/>
        <w:spacing w:line="400" w:lineRule="exact"/>
        <w:jc w:val="center"/>
        <w:rPr>
          <w:rFonts w:ascii="微软雅黑" w:hAnsi="微软雅黑" w:eastAsia="微软雅黑"/>
          <w:color w:val="1F4E79" w:themeColor="accent5" w:themeShade="80"/>
          <w:sz w:val="24"/>
          <w:szCs w:val="24"/>
        </w:rPr>
      </w:pPr>
      <w:r>
        <w:rPr>
          <w:rFonts w:hint="eastAsia" w:ascii="微软雅黑" w:hAnsi="微软雅黑" w:eastAsia="微软雅黑"/>
          <w:color w:val="1F4E79" w:themeColor="accent5" w:themeShade="80"/>
          <w:sz w:val="24"/>
          <w:szCs w:val="24"/>
        </w:rPr>
        <w:t>苏州工业园区星湖街2</w:t>
      </w:r>
      <w:r>
        <w:rPr>
          <w:rFonts w:ascii="微软雅黑" w:hAnsi="微软雅黑" w:eastAsia="微软雅黑"/>
          <w:color w:val="1F4E79" w:themeColor="accent5" w:themeShade="80"/>
          <w:sz w:val="24"/>
          <w:szCs w:val="24"/>
        </w:rPr>
        <w:t>18</w:t>
      </w:r>
      <w:r>
        <w:rPr>
          <w:rFonts w:hint="eastAsia" w:ascii="微软雅黑" w:hAnsi="微软雅黑" w:eastAsia="微软雅黑"/>
          <w:color w:val="1F4E79" w:themeColor="accent5" w:themeShade="80"/>
          <w:sz w:val="24"/>
          <w:szCs w:val="24"/>
        </w:rPr>
        <w:t>号生物纳米园B</w:t>
      </w:r>
      <w:r>
        <w:rPr>
          <w:rFonts w:ascii="微软雅黑" w:hAnsi="微软雅黑" w:eastAsia="微软雅黑"/>
          <w:color w:val="1F4E79" w:themeColor="accent5" w:themeShade="80"/>
          <w:sz w:val="24"/>
          <w:szCs w:val="24"/>
        </w:rPr>
        <w:t>5 901</w:t>
      </w:r>
      <w:r>
        <w:rPr>
          <w:rFonts w:hint="eastAsia" w:ascii="微软雅黑" w:hAnsi="微软雅黑" w:eastAsia="微软雅黑"/>
          <w:color w:val="1F4E79" w:themeColor="accent5" w:themeShade="80"/>
          <w:sz w:val="24"/>
          <w:szCs w:val="24"/>
        </w:rPr>
        <w:t>室</w:t>
      </w:r>
    </w:p>
    <w:sectPr>
      <w:pgSz w:w="11906" w:h="16838"/>
      <w:pgMar w:top="1440" w:right="1800" w:bottom="1440" w:left="1800" w:header="851" w:footer="992" w:gutter="0"/>
      <w:pgNumType w:start="2"/>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MicrosoftYaHei">
    <w:altName w:val="微软雅黑"/>
    <w:panose1 w:val="00000000000000000000"/>
    <w:charset w:val="86"/>
    <w:family w:val="auto"/>
    <w:pitch w:val="default"/>
    <w:sig w:usb0="00000000" w:usb1="0000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TimesNewRomanPS-BoldMT">
    <w:altName w:val="微软雅黑"/>
    <w:panose1 w:val="00000000000000000000"/>
    <w:charset w:val="86"/>
    <w:family w:val="auto"/>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0344392"/>
      <w:docPartObj>
        <w:docPartGallery w:val="AutoText"/>
      </w:docPartObj>
    </w:sdtPr>
    <w:sdtContent>
      <w:sdt>
        <w:sdtPr>
          <w:id w:val="669056059"/>
          <w:docPartObj>
            <w:docPartGallery w:val="AutoText"/>
          </w:docPartObj>
        </w:sdtPr>
        <w:sdtContent>
          <w:p>
            <w:pPr>
              <w:pStyle w:val="20"/>
              <w:jc w:val="right"/>
            </w:pPr>
            <w:r>
              <w:rPr>
                <w:lang w:val="zh-CN"/>
              </w:rPr>
              <w:t xml:space="preserve"> </w:t>
            </w:r>
          </w:p>
        </w:sdtContent>
      </w:sdt>
    </w:sdtContent>
  </w:sdt>
  <w:p>
    <w:pPr>
      <w:pStyle w:val="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2373615"/>
      <w:docPartObj>
        <w:docPartGallery w:val="AutoText"/>
      </w:docPartObj>
    </w:sdtPr>
    <w:sdtContent>
      <w:sdt>
        <w:sdtPr>
          <w:id w:val="501472329"/>
          <w:docPartObj>
            <w:docPartGallery w:val="AutoText"/>
          </w:docPartObj>
        </w:sdtPr>
        <w:sdtContent>
          <w:p>
            <w:pPr>
              <w:pStyle w:val="20"/>
              <w:jc w:val="right"/>
            </w:pPr>
            <w:r>
              <w:rPr>
                <w:lang w:val="zh-CN"/>
              </w:rPr>
              <w:t xml:space="preserve"> </w:t>
            </w:r>
          </w:p>
        </w:sdtContent>
      </w:sdt>
    </w:sdtContent>
  </w:sdt>
  <w:p>
    <w:pPr>
      <w:pStyle w:val="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6241352"/>
      <w:docPartObj>
        <w:docPartGallery w:val="AutoText"/>
      </w:docPartObj>
    </w:sdtPr>
    <w:sdtContent>
      <w:sdt>
        <w:sdtPr>
          <w:id w:val="1007176623"/>
          <w:docPartObj>
            <w:docPartGallery w:val="AutoText"/>
          </w:docPartObj>
        </w:sdtPr>
        <w:sdtContent>
          <w:p>
            <w:pPr>
              <w:pStyle w:val="20"/>
              <w:jc w:val="right"/>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60</w:t>
            </w:r>
            <w:r>
              <w:rPr>
                <w:b/>
                <w:bCs/>
                <w:sz w:val="24"/>
                <w:szCs w:val="24"/>
              </w:rPr>
              <w:fldChar w:fldCharType="end"/>
            </w:r>
          </w:p>
        </w:sdtContent>
      </w:sdt>
    </w:sdtContent>
  </w:sdt>
  <w:p>
    <w:pPr>
      <w:pStyle w:val="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24EC0"/>
    <w:multiLevelType w:val="multilevel"/>
    <w:tmpl w:val="02E24EC0"/>
    <w:lvl w:ilvl="0" w:tentative="0">
      <w:start w:val="1"/>
      <w:numFmt w:val="decimal"/>
      <w:lvlText w:val="%1)"/>
      <w:lvlJc w:val="left"/>
      <w:pPr>
        <w:ind w:left="420"/>
      </w:pPr>
      <w:rPr>
        <w:rFonts w:ascii="Cambria" w:hAnsi="Cambria" w:eastAsia="Cambria" w:cs="Cambria"/>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Cambria" w:hAnsi="Cambria" w:eastAsia="Cambria" w:cs="Cambria"/>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Cambria" w:hAnsi="Cambria" w:eastAsia="Cambria" w:cs="Cambria"/>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Cambria" w:hAnsi="Cambria" w:eastAsia="Cambria" w:cs="Cambria"/>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Cambria" w:hAnsi="Cambria" w:eastAsia="Cambria" w:cs="Cambria"/>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Cambria" w:hAnsi="Cambria" w:eastAsia="Cambria" w:cs="Cambria"/>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Cambria" w:hAnsi="Cambria" w:eastAsia="Cambria" w:cs="Cambria"/>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Cambria" w:hAnsi="Cambria" w:eastAsia="Cambria" w:cs="Cambria"/>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Cambria" w:hAnsi="Cambria" w:eastAsia="Cambria" w:cs="Cambria"/>
        <w:b w:val="0"/>
        <w:i w:val="0"/>
        <w:strike w:val="0"/>
        <w:dstrike w:val="0"/>
        <w:color w:val="000000"/>
        <w:sz w:val="21"/>
        <w:szCs w:val="21"/>
        <w:u w:val="none" w:color="000000"/>
        <w:shd w:val="clear" w:color="auto" w:fill="auto"/>
        <w:vertAlign w:val="baseline"/>
      </w:rPr>
    </w:lvl>
  </w:abstractNum>
  <w:abstractNum w:abstractNumId="1">
    <w:nsid w:val="034D588E"/>
    <w:multiLevelType w:val="multilevel"/>
    <w:tmpl w:val="034D588E"/>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2">
    <w:nsid w:val="03631186"/>
    <w:multiLevelType w:val="multilevel"/>
    <w:tmpl w:val="03631186"/>
    <w:lvl w:ilvl="0" w:tentative="0">
      <w:start w:val="1"/>
      <w:numFmt w:val="bullet"/>
      <w:lvlText w:val=""/>
      <w:lvlJc w:val="left"/>
      <w:pPr>
        <w:ind w:left="860" w:hanging="420"/>
      </w:pPr>
      <w:rPr>
        <w:rFonts w:hint="default" w:ascii="Wingdings" w:hAnsi="Wingdings"/>
      </w:rPr>
    </w:lvl>
    <w:lvl w:ilvl="1" w:tentative="0">
      <w:start w:val="1"/>
      <w:numFmt w:val="bullet"/>
      <w:lvlText w:val=""/>
      <w:lvlJc w:val="left"/>
      <w:pPr>
        <w:ind w:left="1280" w:hanging="420"/>
      </w:pPr>
      <w:rPr>
        <w:rFonts w:hint="default" w:ascii="Wingdings" w:hAnsi="Wingdings"/>
      </w:rPr>
    </w:lvl>
    <w:lvl w:ilvl="2" w:tentative="0">
      <w:start w:val="1"/>
      <w:numFmt w:val="bullet"/>
      <w:lvlText w:val=""/>
      <w:lvlJc w:val="left"/>
      <w:pPr>
        <w:ind w:left="1700" w:hanging="420"/>
      </w:pPr>
      <w:rPr>
        <w:rFonts w:hint="default" w:ascii="Wingdings" w:hAnsi="Wingdings"/>
      </w:rPr>
    </w:lvl>
    <w:lvl w:ilvl="3" w:tentative="0">
      <w:start w:val="1"/>
      <w:numFmt w:val="bullet"/>
      <w:lvlText w:val=""/>
      <w:lvlJc w:val="left"/>
      <w:pPr>
        <w:ind w:left="2120" w:hanging="420"/>
      </w:pPr>
      <w:rPr>
        <w:rFonts w:hint="default" w:ascii="Wingdings" w:hAnsi="Wingdings"/>
      </w:rPr>
    </w:lvl>
    <w:lvl w:ilvl="4" w:tentative="0">
      <w:start w:val="1"/>
      <w:numFmt w:val="bullet"/>
      <w:lvlText w:val=""/>
      <w:lvlJc w:val="left"/>
      <w:pPr>
        <w:ind w:left="2540" w:hanging="420"/>
      </w:pPr>
      <w:rPr>
        <w:rFonts w:hint="default" w:ascii="Wingdings" w:hAnsi="Wingdings"/>
      </w:rPr>
    </w:lvl>
    <w:lvl w:ilvl="5" w:tentative="0">
      <w:start w:val="1"/>
      <w:numFmt w:val="bullet"/>
      <w:lvlText w:val=""/>
      <w:lvlJc w:val="left"/>
      <w:pPr>
        <w:ind w:left="2960" w:hanging="420"/>
      </w:pPr>
      <w:rPr>
        <w:rFonts w:hint="default" w:ascii="Wingdings" w:hAnsi="Wingdings"/>
      </w:rPr>
    </w:lvl>
    <w:lvl w:ilvl="6" w:tentative="0">
      <w:start w:val="1"/>
      <w:numFmt w:val="bullet"/>
      <w:lvlText w:val=""/>
      <w:lvlJc w:val="left"/>
      <w:pPr>
        <w:ind w:left="3380" w:hanging="420"/>
      </w:pPr>
      <w:rPr>
        <w:rFonts w:hint="default" w:ascii="Wingdings" w:hAnsi="Wingdings"/>
      </w:rPr>
    </w:lvl>
    <w:lvl w:ilvl="7" w:tentative="0">
      <w:start w:val="1"/>
      <w:numFmt w:val="bullet"/>
      <w:lvlText w:val=""/>
      <w:lvlJc w:val="left"/>
      <w:pPr>
        <w:ind w:left="3800" w:hanging="420"/>
      </w:pPr>
      <w:rPr>
        <w:rFonts w:hint="default" w:ascii="Wingdings" w:hAnsi="Wingdings"/>
      </w:rPr>
    </w:lvl>
    <w:lvl w:ilvl="8" w:tentative="0">
      <w:start w:val="1"/>
      <w:numFmt w:val="bullet"/>
      <w:lvlText w:val=""/>
      <w:lvlJc w:val="left"/>
      <w:pPr>
        <w:ind w:left="4220" w:hanging="420"/>
      </w:pPr>
      <w:rPr>
        <w:rFonts w:hint="default" w:ascii="Wingdings" w:hAnsi="Wingdings"/>
      </w:rPr>
    </w:lvl>
  </w:abstractNum>
  <w:abstractNum w:abstractNumId="3">
    <w:nsid w:val="0F4869C2"/>
    <w:multiLevelType w:val="multilevel"/>
    <w:tmpl w:val="0F4869C2"/>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4">
    <w:nsid w:val="0F707F05"/>
    <w:multiLevelType w:val="multilevel"/>
    <w:tmpl w:val="0F707F05"/>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5">
    <w:nsid w:val="1C867814"/>
    <w:multiLevelType w:val="multilevel"/>
    <w:tmpl w:val="1C867814"/>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6">
    <w:nsid w:val="1CFF0AD7"/>
    <w:multiLevelType w:val="multilevel"/>
    <w:tmpl w:val="1CFF0AD7"/>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7">
    <w:nsid w:val="1E16758F"/>
    <w:multiLevelType w:val="multilevel"/>
    <w:tmpl w:val="1E16758F"/>
    <w:lvl w:ilvl="0" w:tentative="0">
      <w:start w:val="22"/>
      <w:numFmt w:val="decimal"/>
      <w:lvlText w:val="%1)"/>
      <w:lvlJc w:val="left"/>
      <w:pPr>
        <w:ind w:left="420"/>
      </w:pPr>
      <w:rPr>
        <w:rFonts w:ascii="Cambria" w:hAnsi="Cambria" w:eastAsia="Cambria" w:cs="Cambria"/>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Cambria" w:hAnsi="Cambria" w:eastAsia="Cambria" w:cs="Cambria"/>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Cambria" w:hAnsi="Cambria" w:eastAsia="Cambria" w:cs="Cambria"/>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Cambria" w:hAnsi="Cambria" w:eastAsia="Cambria" w:cs="Cambria"/>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Cambria" w:hAnsi="Cambria" w:eastAsia="Cambria" w:cs="Cambria"/>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Cambria" w:hAnsi="Cambria" w:eastAsia="Cambria" w:cs="Cambria"/>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Cambria" w:hAnsi="Cambria" w:eastAsia="Cambria" w:cs="Cambria"/>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Cambria" w:hAnsi="Cambria" w:eastAsia="Cambria" w:cs="Cambria"/>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Cambria" w:hAnsi="Cambria" w:eastAsia="Cambria" w:cs="Cambria"/>
        <w:b w:val="0"/>
        <w:i w:val="0"/>
        <w:strike w:val="0"/>
        <w:dstrike w:val="0"/>
        <w:color w:val="000000"/>
        <w:sz w:val="21"/>
        <w:szCs w:val="21"/>
        <w:u w:val="none" w:color="000000"/>
        <w:shd w:val="clear" w:color="auto" w:fill="auto"/>
        <w:vertAlign w:val="baseline"/>
      </w:rPr>
    </w:lvl>
  </w:abstractNum>
  <w:abstractNum w:abstractNumId="8">
    <w:nsid w:val="20436683"/>
    <w:multiLevelType w:val="multilevel"/>
    <w:tmpl w:val="20436683"/>
    <w:lvl w:ilvl="0" w:tentative="0">
      <w:start w:val="1"/>
      <w:numFmt w:val="decimal"/>
      <w:lvlText w:val="%1."/>
      <w:lvlJc w:val="left"/>
      <w:pPr>
        <w:ind w:left="420" w:hanging="420"/>
      </w:pPr>
      <w:rPr>
        <w:rFonts w:hint="default" w:asciiTheme="minorHAnsi" w:hAnsiTheme="minorHAnsi" w:cstheme="minorBidi"/>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1AC7675"/>
    <w:multiLevelType w:val="multilevel"/>
    <w:tmpl w:val="21AC767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54C1216"/>
    <w:multiLevelType w:val="multilevel"/>
    <w:tmpl w:val="254C1216"/>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11">
    <w:nsid w:val="269C641D"/>
    <w:multiLevelType w:val="multilevel"/>
    <w:tmpl w:val="269C641D"/>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12">
    <w:nsid w:val="27A054B7"/>
    <w:multiLevelType w:val="multilevel"/>
    <w:tmpl w:val="27A054B7"/>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13">
    <w:nsid w:val="29BD7C16"/>
    <w:multiLevelType w:val="multilevel"/>
    <w:tmpl w:val="29BD7C16"/>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4">
    <w:nsid w:val="314D230B"/>
    <w:multiLevelType w:val="multilevel"/>
    <w:tmpl w:val="314D230B"/>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15">
    <w:nsid w:val="33396013"/>
    <w:multiLevelType w:val="multilevel"/>
    <w:tmpl w:val="33396013"/>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16">
    <w:nsid w:val="33782DEA"/>
    <w:multiLevelType w:val="multilevel"/>
    <w:tmpl w:val="33782DEA"/>
    <w:lvl w:ilvl="0" w:tentative="0">
      <w:start w:val="1"/>
      <w:numFmt w:val="decimal"/>
      <w:lvlText w:val="%1."/>
      <w:lvlJc w:val="left"/>
      <w:pPr>
        <w:ind w:left="358"/>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17">
    <w:nsid w:val="36DC5F64"/>
    <w:multiLevelType w:val="multilevel"/>
    <w:tmpl w:val="36DC5F64"/>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18">
    <w:nsid w:val="3A010A0B"/>
    <w:multiLevelType w:val="multilevel"/>
    <w:tmpl w:val="3A010A0B"/>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19">
    <w:nsid w:val="3A081348"/>
    <w:multiLevelType w:val="multilevel"/>
    <w:tmpl w:val="3A081348"/>
    <w:lvl w:ilvl="0" w:tentative="0">
      <w:start w:val="1"/>
      <w:numFmt w:val="decimal"/>
      <w:lvlText w:val="%1."/>
      <w:lvlJc w:val="left"/>
      <w:pPr>
        <w:ind w:left="358"/>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20">
    <w:nsid w:val="46A01B2F"/>
    <w:multiLevelType w:val="multilevel"/>
    <w:tmpl w:val="46A01B2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3390909"/>
    <w:multiLevelType w:val="multilevel"/>
    <w:tmpl w:val="53390909"/>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22">
    <w:nsid w:val="58DB0E38"/>
    <w:multiLevelType w:val="multilevel"/>
    <w:tmpl w:val="58DB0E38"/>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23">
    <w:nsid w:val="5D927D7F"/>
    <w:multiLevelType w:val="multilevel"/>
    <w:tmpl w:val="5D927D7F"/>
    <w:lvl w:ilvl="0" w:tentative="0">
      <w:start w:val="1"/>
      <w:numFmt w:val="decimal"/>
      <w:lvlText w:val="%1."/>
      <w:lvlJc w:val="left"/>
      <w:pPr>
        <w:ind w:left="358"/>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24">
    <w:nsid w:val="5E942A24"/>
    <w:multiLevelType w:val="multilevel"/>
    <w:tmpl w:val="5E942A24"/>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25">
    <w:nsid w:val="615F39BE"/>
    <w:multiLevelType w:val="multilevel"/>
    <w:tmpl w:val="615F39BE"/>
    <w:lvl w:ilvl="0" w:tentative="0">
      <w:start w:val="1"/>
      <w:numFmt w:val="decimal"/>
      <w:lvlText w:val="%1."/>
      <w:lvlJc w:val="left"/>
      <w:pPr>
        <w:ind w:left="358"/>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26">
    <w:nsid w:val="67822589"/>
    <w:multiLevelType w:val="multilevel"/>
    <w:tmpl w:val="67822589"/>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27">
    <w:nsid w:val="6C566DFC"/>
    <w:multiLevelType w:val="multilevel"/>
    <w:tmpl w:val="6C566DFC"/>
    <w:lvl w:ilvl="0" w:tentative="0">
      <w:start w:val="1"/>
      <w:numFmt w:val="decimal"/>
      <w:lvlText w:val="%1."/>
      <w:lvlJc w:val="left"/>
      <w:pPr>
        <w:ind w:left="358"/>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28">
    <w:nsid w:val="700B25F5"/>
    <w:multiLevelType w:val="multilevel"/>
    <w:tmpl w:val="700B25F5"/>
    <w:lvl w:ilvl="0" w:tentative="0">
      <w:start w:val="1"/>
      <w:numFmt w:val="decimal"/>
      <w:lvlText w:val="%1)"/>
      <w:lvlJc w:val="left"/>
      <w:pPr>
        <w:ind w:left="420"/>
      </w:pPr>
      <w:rPr>
        <w:rFonts w:ascii="Cambria" w:hAnsi="Cambria" w:eastAsia="Cambria" w:cs="Cambria"/>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Cambria" w:hAnsi="Cambria" w:eastAsia="Cambria" w:cs="Cambria"/>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Cambria" w:hAnsi="Cambria" w:eastAsia="Cambria" w:cs="Cambria"/>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Cambria" w:hAnsi="Cambria" w:eastAsia="Cambria" w:cs="Cambria"/>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Cambria" w:hAnsi="Cambria" w:eastAsia="Cambria" w:cs="Cambria"/>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Cambria" w:hAnsi="Cambria" w:eastAsia="Cambria" w:cs="Cambria"/>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Cambria" w:hAnsi="Cambria" w:eastAsia="Cambria" w:cs="Cambria"/>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Cambria" w:hAnsi="Cambria" w:eastAsia="Cambria" w:cs="Cambria"/>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Cambria" w:hAnsi="Cambria" w:eastAsia="Cambria" w:cs="Cambria"/>
        <w:b w:val="0"/>
        <w:i w:val="0"/>
        <w:strike w:val="0"/>
        <w:dstrike w:val="0"/>
        <w:color w:val="000000"/>
        <w:sz w:val="21"/>
        <w:szCs w:val="21"/>
        <w:u w:val="none" w:color="000000"/>
        <w:shd w:val="clear" w:color="auto" w:fill="auto"/>
        <w:vertAlign w:val="baseline"/>
      </w:rPr>
    </w:lvl>
  </w:abstractNum>
  <w:abstractNum w:abstractNumId="29">
    <w:nsid w:val="76E165D3"/>
    <w:multiLevelType w:val="multilevel"/>
    <w:tmpl w:val="76E165D3"/>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30">
    <w:nsid w:val="771367F7"/>
    <w:multiLevelType w:val="multilevel"/>
    <w:tmpl w:val="771367F7"/>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31">
    <w:nsid w:val="79174205"/>
    <w:multiLevelType w:val="multilevel"/>
    <w:tmpl w:val="79174205"/>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32">
    <w:nsid w:val="7ADB7517"/>
    <w:multiLevelType w:val="multilevel"/>
    <w:tmpl w:val="7ADB7517"/>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num w:numId="1">
    <w:abstractNumId w:val="9"/>
  </w:num>
  <w:num w:numId="2">
    <w:abstractNumId w:val="2"/>
  </w:num>
  <w:num w:numId="3">
    <w:abstractNumId w:val="5"/>
  </w:num>
  <w:num w:numId="4">
    <w:abstractNumId w:val="27"/>
  </w:num>
  <w:num w:numId="5">
    <w:abstractNumId w:val="23"/>
  </w:num>
  <w:num w:numId="6">
    <w:abstractNumId w:val="8"/>
  </w:num>
  <w:num w:numId="7">
    <w:abstractNumId w:val="19"/>
  </w:num>
  <w:num w:numId="8">
    <w:abstractNumId w:val="16"/>
  </w:num>
  <w:num w:numId="9">
    <w:abstractNumId w:val="24"/>
  </w:num>
  <w:num w:numId="10">
    <w:abstractNumId w:val="30"/>
  </w:num>
  <w:num w:numId="11">
    <w:abstractNumId w:val="12"/>
  </w:num>
  <w:num w:numId="12">
    <w:abstractNumId w:val="6"/>
  </w:num>
  <w:num w:numId="13">
    <w:abstractNumId w:val="15"/>
  </w:num>
  <w:num w:numId="14">
    <w:abstractNumId w:val="18"/>
  </w:num>
  <w:num w:numId="15">
    <w:abstractNumId w:val="4"/>
  </w:num>
  <w:num w:numId="16">
    <w:abstractNumId w:val="26"/>
  </w:num>
  <w:num w:numId="17">
    <w:abstractNumId w:val="13"/>
  </w:num>
  <w:num w:numId="18">
    <w:abstractNumId w:val="31"/>
  </w:num>
  <w:num w:numId="19">
    <w:abstractNumId w:val="17"/>
  </w:num>
  <w:num w:numId="20">
    <w:abstractNumId w:val="25"/>
  </w:num>
  <w:num w:numId="21">
    <w:abstractNumId w:val="10"/>
  </w:num>
  <w:num w:numId="22">
    <w:abstractNumId w:val="14"/>
  </w:num>
  <w:num w:numId="23">
    <w:abstractNumId w:val="29"/>
  </w:num>
  <w:num w:numId="24">
    <w:abstractNumId w:val="1"/>
  </w:num>
  <w:num w:numId="25">
    <w:abstractNumId w:val="3"/>
  </w:num>
  <w:num w:numId="26">
    <w:abstractNumId w:val="11"/>
  </w:num>
  <w:num w:numId="27">
    <w:abstractNumId w:val="21"/>
  </w:num>
  <w:num w:numId="28">
    <w:abstractNumId w:val="32"/>
  </w:num>
  <w:num w:numId="29">
    <w:abstractNumId w:val="22"/>
  </w:num>
  <w:num w:numId="30">
    <w:abstractNumId w:val="20"/>
  </w:num>
  <w:num w:numId="31">
    <w:abstractNumId w:val="28"/>
  </w:num>
  <w:num w:numId="32">
    <w:abstractNumId w:val="7"/>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6E7"/>
    <w:rsid w:val="00002DF9"/>
    <w:rsid w:val="00020EF4"/>
    <w:rsid w:val="000227E3"/>
    <w:rsid w:val="00027A1B"/>
    <w:rsid w:val="000329FC"/>
    <w:rsid w:val="000355F3"/>
    <w:rsid w:val="00040348"/>
    <w:rsid w:val="0004132E"/>
    <w:rsid w:val="00043F6B"/>
    <w:rsid w:val="00047338"/>
    <w:rsid w:val="00061229"/>
    <w:rsid w:val="00080474"/>
    <w:rsid w:val="000815BD"/>
    <w:rsid w:val="00083FB7"/>
    <w:rsid w:val="000840BE"/>
    <w:rsid w:val="00090975"/>
    <w:rsid w:val="00090C5F"/>
    <w:rsid w:val="0009225F"/>
    <w:rsid w:val="000A0DD4"/>
    <w:rsid w:val="000A5264"/>
    <w:rsid w:val="000C1895"/>
    <w:rsid w:val="000C2682"/>
    <w:rsid w:val="000D6E80"/>
    <w:rsid w:val="000D7DEC"/>
    <w:rsid w:val="000E2384"/>
    <w:rsid w:val="000E4221"/>
    <w:rsid w:val="000E5FA3"/>
    <w:rsid w:val="00102135"/>
    <w:rsid w:val="00103778"/>
    <w:rsid w:val="00116814"/>
    <w:rsid w:val="00116B43"/>
    <w:rsid w:val="001173E4"/>
    <w:rsid w:val="0012315C"/>
    <w:rsid w:val="001255C8"/>
    <w:rsid w:val="00130CD8"/>
    <w:rsid w:val="00132525"/>
    <w:rsid w:val="00132FAC"/>
    <w:rsid w:val="001451D5"/>
    <w:rsid w:val="00145F32"/>
    <w:rsid w:val="00146DD8"/>
    <w:rsid w:val="00147E21"/>
    <w:rsid w:val="0015283B"/>
    <w:rsid w:val="001573A4"/>
    <w:rsid w:val="00157BE8"/>
    <w:rsid w:val="00162A5A"/>
    <w:rsid w:val="00173FB1"/>
    <w:rsid w:val="00174C61"/>
    <w:rsid w:val="00183B16"/>
    <w:rsid w:val="00191CA2"/>
    <w:rsid w:val="00194A80"/>
    <w:rsid w:val="001976CC"/>
    <w:rsid w:val="001977EA"/>
    <w:rsid w:val="001A2119"/>
    <w:rsid w:val="001A3720"/>
    <w:rsid w:val="001A4437"/>
    <w:rsid w:val="001A5058"/>
    <w:rsid w:val="001A6F0F"/>
    <w:rsid w:val="001B1AA7"/>
    <w:rsid w:val="001B2952"/>
    <w:rsid w:val="001B4246"/>
    <w:rsid w:val="001B5D35"/>
    <w:rsid w:val="001C0488"/>
    <w:rsid w:val="001C0CAE"/>
    <w:rsid w:val="001C0D70"/>
    <w:rsid w:val="001C3A66"/>
    <w:rsid w:val="001C4D57"/>
    <w:rsid w:val="001C65BB"/>
    <w:rsid w:val="001D59A3"/>
    <w:rsid w:val="001E2378"/>
    <w:rsid w:val="001E33F2"/>
    <w:rsid w:val="001F145E"/>
    <w:rsid w:val="001F239E"/>
    <w:rsid w:val="002028FD"/>
    <w:rsid w:val="002070CC"/>
    <w:rsid w:val="00214AE7"/>
    <w:rsid w:val="00215A76"/>
    <w:rsid w:val="00223101"/>
    <w:rsid w:val="00223E7D"/>
    <w:rsid w:val="00230AE7"/>
    <w:rsid w:val="00243E02"/>
    <w:rsid w:val="002454D6"/>
    <w:rsid w:val="002465B6"/>
    <w:rsid w:val="00256A79"/>
    <w:rsid w:val="00264B4E"/>
    <w:rsid w:val="0027102B"/>
    <w:rsid w:val="002765E9"/>
    <w:rsid w:val="00277B17"/>
    <w:rsid w:val="002807D9"/>
    <w:rsid w:val="00286D10"/>
    <w:rsid w:val="00293682"/>
    <w:rsid w:val="00294881"/>
    <w:rsid w:val="002B3A6E"/>
    <w:rsid w:val="002B77BB"/>
    <w:rsid w:val="002B7A9B"/>
    <w:rsid w:val="002C0A51"/>
    <w:rsid w:val="002C3368"/>
    <w:rsid w:val="002D3536"/>
    <w:rsid w:val="002E6151"/>
    <w:rsid w:val="002E6883"/>
    <w:rsid w:val="002F14D0"/>
    <w:rsid w:val="002F364A"/>
    <w:rsid w:val="0031119E"/>
    <w:rsid w:val="003125F7"/>
    <w:rsid w:val="00320E92"/>
    <w:rsid w:val="00332813"/>
    <w:rsid w:val="00333FB8"/>
    <w:rsid w:val="00337DAD"/>
    <w:rsid w:val="0034145E"/>
    <w:rsid w:val="003446B5"/>
    <w:rsid w:val="003452CB"/>
    <w:rsid w:val="003537AF"/>
    <w:rsid w:val="003545A7"/>
    <w:rsid w:val="00357745"/>
    <w:rsid w:val="00357E74"/>
    <w:rsid w:val="00367949"/>
    <w:rsid w:val="00367B4D"/>
    <w:rsid w:val="003708B9"/>
    <w:rsid w:val="00371C8B"/>
    <w:rsid w:val="003730B4"/>
    <w:rsid w:val="003845B7"/>
    <w:rsid w:val="00396D0A"/>
    <w:rsid w:val="003973B7"/>
    <w:rsid w:val="00397C2D"/>
    <w:rsid w:val="003A52C7"/>
    <w:rsid w:val="003A63D7"/>
    <w:rsid w:val="003A644E"/>
    <w:rsid w:val="003B18E1"/>
    <w:rsid w:val="003B1B05"/>
    <w:rsid w:val="003C00C6"/>
    <w:rsid w:val="003C298D"/>
    <w:rsid w:val="003C4817"/>
    <w:rsid w:val="003C4C5F"/>
    <w:rsid w:val="003C79D2"/>
    <w:rsid w:val="003D4F47"/>
    <w:rsid w:val="003D7771"/>
    <w:rsid w:val="003E6421"/>
    <w:rsid w:val="003F0B22"/>
    <w:rsid w:val="003F5D13"/>
    <w:rsid w:val="00400C37"/>
    <w:rsid w:val="00407229"/>
    <w:rsid w:val="004077CD"/>
    <w:rsid w:val="00416EF7"/>
    <w:rsid w:val="00434AE5"/>
    <w:rsid w:val="0043535D"/>
    <w:rsid w:val="004362B8"/>
    <w:rsid w:val="0043703A"/>
    <w:rsid w:val="004434A7"/>
    <w:rsid w:val="00450DBB"/>
    <w:rsid w:val="00452459"/>
    <w:rsid w:val="00454399"/>
    <w:rsid w:val="00463AD1"/>
    <w:rsid w:val="00464395"/>
    <w:rsid w:val="00464554"/>
    <w:rsid w:val="00467144"/>
    <w:rsid w:val="00472D18"/>
    <w:rsid w:val="00484661"/>
    <w:rsid w:val="00485E98"/>
    <w:rsid w:val="00487664"/>
    <w:rsid w:val="00490C8B"/>
    <w:rsid w:val="004A5B8E"/>
    <w:rsid w:val="004A6DD1"/>
    <w:rsid w:val="004A7510"/>
    <w:rsid w:val="004A7B8F"/>
    <w:rsid w:val="004B12C6"/>
    <w:rsid w:val="004B1514"/>
    <w:rsid w:val="004B1698"/>
    <w:rsid w:val="004B2D47"/>
    <w:rsid w:val="004C06D7"/>
    <w:rsid w:val="004C192B"/>
    <w:rsid w:val="004C43A8"/>
    <w:rsid w:val="004C56B0"/>
    <w:rsid w:val="004C726D"/>
    <w:rsid w:val="004C7A2F"/>
    <w:rsid w:val="004D6BC8"/>
    <w:rsid w:val="004E015B"/>
    <w:rsid w:val="004F0413"/>
    <w:rsid w:val="004F1118"/>
    <w:rsid w:val="00523500"/>
    <w:rsid w:val="00523C00"/>
    <w:rsid w:val="00524125"/>
    <w:rsid w:val="00525219"/>
    <w:rsid w:val="005269A6"/>
    <w:rsid w:val="00526ABA"/>
    <w:rsid w:val="00540F42"/>
    <w:rsid w:val="005549E5"/>
    <w:rsid w:val="00555D56"/>
    <w:rsid w:val="005571DB"/>
    <w:rsid w:val="005630C3"/>
    <w:rsid w:val="00564DEE"/>
    <w:rsid w:val="0057042E"/>
    <w:rsid w:val="00571FDE"/>
    <w:rsid w:val="0057475C"/>
    <w:rsid w:val="00580132"/>
    <w:rsid w:val="00580FB4"/>
    <w:rsid w:val="00587E8A"/>
    <w:rsid w:val="005A2E60"/>
    <w:rsid w:val="005B414E"/>
    <w:rsid w:val="005B757D"/>
    <w:rsid w:val="005B7E4B"/>
    <w:rsid w:val="005C1781"/>
    <w:rsid w:val="005C371F"/>
    <w:rsid w:val="005C3753"/>
    <w:rsid w:val="005C5C7F"/>
    <w:rsid w:val="005C7BDC"/>
    <w:rsid w:val="005D1AD5"/>
    <w:rsid w:val="005D2F01"/>
    <w:rsid w:val="005D649C"/>
    <w:rsid w:val="005E0B2B"/>
    <w:rsid w:val="005E6DB4"/>
    <w:rsid w:val="005F00BA"/>
    <w:rsid w:val="005F630D"/>
    <w:rsid w:val="00605CA6"/>
    <w:rsid w:val="00611184"/>
    <w:rsid w:val="00615F8F"/>
    <w:rsid w:val="00616B12"/>
    <w:rsid w:val="006171AC"/>
    <w:rsid w:val="006439F7"/>
    <w:rsid w:val="00653866"/>
    <w:rsid w:val="00655B34"/>
    <w:rsid w:val="00657CF9"/>
    <w:rsid w:val="00660127"/>
    <w:rsid w:val="00665BEE"/>
    <w:rsid w:val="006703FC"/>
    <w:rsid w:val="00670EDB"/>
    <w:rsid w:val="00676907"/>
    <w:rsid w:val="00693B47"/>
    <w:rsid w:val="006A3AC4"/>
    <w:rsid w:val="006B4862"/>
    <w:rsid w:val="006B7A2F"/>
    <w:rsid w:val="006C0644"/>
    <w:rsid w:val="006C4967"/>
    <w:rsid w:val="006C7A30"/>
    <w:rsid w:val="006D3EC2"/>
    <w:rsid w:val="006D6B44"/>
    <w:rsid w:val="006E2E51"/>
    <w:rsid w:val="007012EE"/>
    <w:rsid w:val="00706499"/>
    <w:rsid w:val="00712D49"/>
    <w:rsid w:val="00717ADE"/>
    <w:rsid w:val="00721E11"/>
    <w:rsid w:val="00723B91"/>
    <w:rsid w:val="00724E8F"/>
    <w:rsid w:val="00734865"/>
    <w:rsid w:val="00737141"/>
    <w:rsid w:val="00740014"/>
    <w:rsid w:val="007409BB"/>
    <w:rsid w:val="007617B2"/>
    <w:rsid w:val="00766750"/>
    <w:rsid w:val="0076792E"/>
    <w:rsid w:val="0077534B"/>
    <w:rsid w:val="00775EF2"/>
    <w:rsid w:val="00777EAE"/>
    <w:rsid w:val="00780F5F"/>
    <w:rsid w:val="00781A85"/>
    <w:rsid w:val="00791DD1"/>
    <w:rsid w:val="0079226E"/>
    <w:rsid w:val="007A57C5"/>
    <w:rsid w:val="007A6EAE"/>
    <w:rsid w:val="007B1066"/>
    <w:rsid w:val="007B5A4F"/>
    <w:rsid w:val="007B6683"/>
    <w:rsid w:val="007B6A15"/>
    <w:rsid w:val="007C232D"/>
    <w:rsid w:val="007D001B"/>
    <w:rsid w:val="007D21A3"/>
    <w:rsid w:val="007D77D8"/>
    <w:rsid w:val="007E1C8F"/>
    <w:rsid w:val="007E49A9"/>
    <w:rsid w:val="007F1DCD"/>
    <w:rsid w:val="008027A5"/>
    <w:rsid w:val="00827699"/>
    <w:rsid w:val="00827D6C"/>
    <w:rsid w:val="00830267"/>
    <w:rsid w:val="00833041"/>
    <w:rsid w:val="00835DA0"/>
    <w:rsid w:val="008427A5"/>
    <w:rsid w:val="00846422"/>
    <w:rsid w:val="00846F5C"/>
    <w:rsid w:val="00850394"/>
    <w:rsid w:val="00855E0B"/>
    <w:rsid w:val="008650A9"/>
    <w:rsid w:val="00873F69"/>
    <w:rsid w:val="00882567"/>
    <w:rsid w:val="008943DA"/>
    <w:rsid w:val="008944E0"/>
    <w:rsid w:val="008A12F3"/>
    <w:rsid w:val="008A4E2A"/>
    <w:rsid w:val="008A6B62"/>
    <w:rsid w:val="008A6CB7"/>
    <w:rsid w:val="008B473C"/>
    <w:rsid w:val="008C33CC"/>
    <w:rsid w:val="008D3A34"/>
    <w:rsid w:val="008D6E9F"/>
    <w:rsid w:val="008E35DA"/>
    <w:rsid w:val="008E5093"/>
    <w:rsid w:val="008E5F47"/>
    <w:rsid w:val="00900085"/>
    <w:rsid w:val="00901C5D"/>
    <w:rsid w:val="0091053E"/>
    <w:rsid w:val="009107F1"/>
    <w:rsid w:val="009144CC"/>
    <w:rsid w:val="009169CA"/>
    <w:rsid w:val="00916A72"/>
    <w:rsid w:val="00921B26"/>
    <w:rsid w:val="00924324"/>
    <w:rsid w:val="0092485D"/>
    <w:rsid w:val="009323BB"/>
    <w:rsid w:val="009360CD"/>
    <w:rsid w:val="00940A0D"/>
    <w:rsid w:val="00944B3D"/>
    <w:rsid w:val="009502E5"/>
    <w:rsid w:val="0097211A"/>
    <w:rsid w:val="00972A21"/>
    <w:rsid w:val="00974690"/>
    <w:rsid w:val="0097559B"/>
    <w:rsid w:val="00984FFA"/>
    <w:rsid w:val="009A0F68"/>
    <w:rsid w:val="009A645E"/>
    <w:rsid w:val="009A69BA"/>
    <w:rsid w:val="009B46E7"/>
    <w:rsid w:val="009D0FCF"/>
    <w:rsid w:val="009D276C"/>
    <w:rsid w:val="009E40DA"/>
    <w:rsid w:val="009E41BB"/>
    <w:rsid w:val="009E4CB2"/>
    <w:rsid w:val="009E5E04"/>
    <w:rsid w:val="009F1032"/>
    <w:rsid w:val="009F5D16"/>
    <w:rsid w:val="009F5EB3"/>
    <w:rsid w:val="009F72C0"/>
    <w:rsid w:val="00A00109"/>
    <w:rsid w:val="00A04ED9"/>
    <w:rsid w:val="00A05812"/>
    <w:rsid w:val="00A0662C"/>
    <w:rsid w:val="00A16AFB"/>
    <w:rsid w:val="00A22ACB"/>
    <w:rsid w:val="00A2474D"/>
    <w:rsid w:val="00A52A92"/>
    <w:rsid w:val="00A53FB7"/>
    <w:rsid w:val="00A5439C"/>
    <w:rsid w:val="00A54EF6"/>
    <w:rsid w:val="00A56820"/>
    <w:rsid w:val="00A75426"/>
    <w:rsid w:val="00A77A06"/>
    <w:rsid w:val="00A836BA"/>
    <w:rsid w:val="00A8423C"/>
    <w:rsid w:val="00A84BE3"/>
    <w:rsid w:val="00A959F5"/>
    <w:rsid w:val="00A96E77"/>
    <w:rsid w:val="00AB1567"/>
    <w:rsid w:val="00AB5714"/>
    <w:rsid w:val="00AB5975"/>
    <w:rsid w:val="00AB5FCC"/>
    <w:rsid w:val="00AD075F"/>
    <w:rsid w:val="00AD67B8"/>
    <w:rsid w:val="00AD7102"/>
    <w:rsid w:val="00AF2896"/>
    <w:rsid w:val="00B10B0D"/>
    <w:rsid w:val="00B16C45"/>
    <w:rsid w:val="00B20D1C"/>
    <w:rsid w:val="00B23444"/>
    <w:rsid w:val="00B256C4"/>
    <w:rsid w:val="00B34139"/>
    <w:rsid w:val="00B34F52"/>
    <w:rsid w:val="00B400F2"/>
    <w:rsid w:val="00B457F6"/>
    <w:rsid w:val="00B535F7"/>
    <w:rsid w:val="00B556E7"/>
    <w:rsid w:val="00B64032"/>
    <w:rsid w:val="00B70B86"/>
    <w:rsid w:val="00B76D46"/>
    <w:rsid w:val="00B80D58"/>
    <w:rsid w:val="00B9194B"/>
    <w:rsid w:val="00BA10F8"/>
    <w:rsid w:val="00BA3363"/>
    <w:rsid w:val="00BB5F5D"/>
    <w:rsid w:val="00BB66C4"/>
    <w:rsid w:val="00BB7DC5"/>
    <w:rsid w:val="00BC00B1"/>
    <w:rsid w:val="00BC7B51"/>
    <w:rsid w:val="00BD4776"/>
    <w:rsid w:val="00BE10FF"/>
    <w:rsid w:val="00BE1EB1"/>
    <w:rsid w:val="00BE66D6"/>
    <w:rsid w:val="00BE7B32"/>
    <w:rsid w:val="00BF0ABA"/>
    <w:rsid w:val="00BF13FA"/>
    <w:rsid w:val="00C017B4"/>
    <w:rsid w:val="00C0378C"/>
    <w:rsid w:val="00C063EC"/>
    <w:rsid w:val="00C13431"/>
    <w:rsid w:val="00C17E61"/>
    <w:rsid w:val="00C22353"/>
    <w:rsid w:val="00C27D0E"/>
    <w:rsid w:val="00C301C4"/>
    <w:rsid w:val="00C36AD0"/>
    <w:rsid w:val="00C46B45"/>
    <w:rsid w:val="00C5236D"/>
    <w:rsid w:val="00C54043"/>
    <w:rsid w:val="00C5663F"/>
    <w:rsid w:val="00C654C3"/>
    <w:rsid w:val="00C6793F"/>
    <w:rsid w:val="00C771CF"/>
    <w:rsid w:val="00C85F58"/>
    <w:rsid w:val="00C868E4"/>
    <w:rsid w:val="00C91370"/>
    <w:rsid w:val="00C9423B"/>
    <w:rsid w:val="00C97D60"/>
    <w:rsid w:val="00CA10B9"/>
    <w:rsid w:val="00CA7D8F"/>
    <w:rsid w:val="00CB07E0"/>
    <w:rsid w:val="00CB41F6"/>
    <w:rsid w:val="00CC0C94"/>
    <w:rsid w:val="00CC11CE"/>
    <w:rsid w:val="00CC40CE"/>
    <w:rsid w:val="00CC4F61"/>
    <w:rsid w:val="00CC5773"/>
    <w:rsid w:val="00CC6674"/>
    <w:rsid w:val="00CD253D"/>
    <w:rsid w:val="00CD30BE"/>
    <w:rsid w:val="00CF11D3"/>
    <w:rsid w:val="00CF173A"/>
    <w:rsid w:val="00CF2431"/>
    <w:rsid w:val="00D01B9E"/>
    <w:rsid w:val="00D03BE6"/>
    <w:rsid w:val="00D03ECB"/>
    <w:rsid w:val="00D04E1C"/>
    <w:rsid w:val="00D065C7"/>
    <w:rsid w:val="00D07E66"/>
    <w:rsid w:val="00D17780"/>
    <w:rsid w:val="00D21F5F"/>
    <w:rsid w:val="00D2264F"/>
    <w:rsid w:val="00D24049"/>
    <w:rsid w:val="00D3080B"/>
    <w:rsid w:val="00D315C3"/>
    <w:rsid w:val="00D3248A"/>
    <w:rsid w:val="00D35FD1"/>
    <w:rsid w:val="00D400FF"/>
    <w:rsid w:val="00D413CD"/>
    <w:rsid w:val="00D41D25"/>
    <w:rsid w:val="00D421E9"/>
    <w:rsid w:val="00D4670F"/>
    <w:rsid w:val="00D5569A"/>
    <w:rsid w:val="00D668C1"/>
    <w:rsid w:val="00D7568A"/>
    <w:rsid w:val="00D810AC"/>
    <w:rsid w:val="00D85925"/>
    <w:rsid w:val="00D86027"/>
    <w:rsid w:val="00D96B68"/>
    <w:rsid w:val="00D97915"/>
    <w:rsid w:val="00DA0017"/>
    <w:rsid w:val="00DA4A2F"/>
    <w:rsid w:val="00DB0572"/>
    <w:rsid w:val="00DB38F4"/>
    <w:rsid w:val="00DB5C99"/>
    <w:rsid w:val="00DB7EA1"/>
    <w:rsid w:val="00DD2C8C"/>
    <w:rsid w:val="00DD6F3C"/>
    <w:rsid w:val="00DD7AA8"/>
    <w:rsid w:val="00DD7B80"/>
    <w:rsid w:val="00DD7DC0"/>
    <w:rsid w:val="00DF6ED4"/>
    <w:rsid w:val="00E006CC"/>
    <w:rsid w:val="00E03AAE"/>
    <w:rsid w:val="00E11CD7"/>
    <w:rsid w:val="00E13E4F"/>
    <w:rsid w:val="00E17E36"/>
    <w:rsid w:val="00E37FA6"/>
    <w:rsid w:val="00E51463"/>
    <w:rsid w:val="00E54051"/>
    <w:rsid w:val="00E60E31"/>
    <w:rsid w:val="00E7266D"/>
    <w:rsid w:val="00E72EA3"/>
    <w:rsid w:val="00E76AD7"/>
    <w:rsid w:val="00E90655"/>
    <w:rsid w:val="00E9442E"/>
    <w:rsid w:val="00E95CC5"/>
    <w:rsid w:val="00E96117"/>
    <w:rsid w:val="00EA008F"/>
    <w:rsid w:val="00EA0E11"/>
    <w:rsid w:val="00EB0E03"/>
    <w:rsid w:val="00EB2854"/>
    <w:rsid w:val="00EB5A62"/>
    <w:rsid w:val="00EC0105"/>
    <w:rsid w:val="00EC2D6A"/>
    <w:rsid w:val="00EC5332"/>
    <w:rsid w:val="00ED64F9"/>
    <w:rsid w:val="00ED683B"/>
    <w:rsid w:val="00EF53FE"/>
    <w:rsid w:val="00EF6F77"/>
    <w:rsid w:val="00F0092D"/>
    <w:rsid w:val="00F0544B"/>
    <w:rsid w:val="00F05D07"/>
    <w:rsid w:val="00F14115"/>
    <w:rsid w:val="00F227F8"/>
    <w:rsid w:val="00F32B80"/>
    <w:rsid w:val="00F359D9"/>
    <w:rsid w:val="00F45BD1"/>
    <w:rsid w:val="00F8016A"/>
    <w:rsid w:val="00F86CED"/>
    <w:rsid w:val="00F92A31"/>
    <w:rsid w:val="00F92F5C"/>
    <w:rsid w:val="00FA196D"/>
    <w:rsid w:val="00FA5E33"/>
    <w:rsid w:val="00FA61EC"/>
    <w:rsid w:val="00FB63B9"/>
    <w:rsid w:val="00FC5E0A"/>
    <w:rsid w:val="00FD3430"/>
    <w:rsid w:val="00FD6221"/>
    <w:rsid w:val="00FE7D0A"/>
    <w:rsid w:val="00FF6C8A"/>
    <w:rsid w:val="47A259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character" w:default="1" w:styleId="7">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18"/>
    <w:unhideWhenUsed/>
    <w:qFormat/>
    <w:uiPriority w:val="99"/>
    <w:pPr>
      <w:tabs>
        <w:tab w:val="center" w:pos="4153"/>
        <w:tab w:val="right" w:pos="8306"/>
      </w:tabs>
      <w:snapToGrid w:val="0"/>
      <w:jc w:val="left"/>
    </w:pPr>
    <w:rPr>
      <w:sz w:val="18"/>
      <w:szCs w:val="18"/>
    </w:rPr>
  </w:style>
  <w:style w:type="paragraph" w:styleId="4">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unhideWhenUsed/>
    <w:qFormat/>
    <w:uiPriority w:val="39"/>
  </w:style>
  <w:style w:type="paragraph" w:styleId="6">
    <w:name w:val="toc 2"/>
    <w:basedOn w:val="1"/>
    <w:next w:val="1"/>
    <w:unhideWhenUsed/>
    <w:qFormat/>
    <w:uiPriority w:val="39"/>
    <w:pPr>
      <w:ind w:left="420" w:leftChars="200"/>
    </w:pPr>
  </w:style>
  <w:style w:type="character" w:styleId="8">
    <w:name w:val="Hyperlink"/>
    <w:basedOn w:val="7"/>
    <w:unhideWhenUsed/>
    <w:qFormat/>
    <w:uiPriority w:val="99"/>
    <w:rPr>
      <w:color w:val="0563C1" w:themeColor="hyperlink"/>
      <w:u w:val="single"/>
      <w14:textFill>
        <w14:solidFill>
          <w14:schemeClr w14:val="hlink"/>
        </w14:solidFill>
      </w14:textFill>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1">
    <w:name w:val="Plain Table 4"/>
    <w:basedOn w:val="9"/>
    <w:qFormat/>
    <w:uiPriority w:val="44"/>
    <w:pPr>
      <w:jc w:val="both"/>
    </w:pPr>
    <w:rPr>
      <w:rFonts w:eastAsia="微软雅黑"/>
    </w:r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2">
    <w:name w:val="Plain Table 5"/>
    <w:basedOn w:val="9"/>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13">
    <w:name w:val="Plain Table 3"/>
    <w:basedOn w:val="9"/>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14">
    <w:name w:val="Plain Table 1"/>
    <w:basedOn w:val="9"/>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5">
    <w:name w:val="Grid Table Light"/>
    <w:basedOn w:val="9"/>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16">
    <w:name w:val="List Table 3 Accent 1"/>
    <w:basedOn w:val="9"/>
    <w:qFormat/>
    <w:uiPriority w:val="48"/>
    <w:tblPr>
      <w:tblBorders>
        <w:top w:val="single" w:color="4472C4" w:themeColor="accent1" w:sz="4" w:space="0"/>
        <w:left w:val="single" w:color="4472C4" w:themeColor="accent1" w:sz="4" w:space="0"/>
        <w:bottom w:val="single" w:color="4472C4" w:themeColor="accent1" w:sz="4" w:space="0"/>
        <w:right w:val="single" w:color="4472C4" w:themeColor="accent1" w:sz="4" w:space="0"/>
      </w:tblBorders>
      <w:tblLayout w:type="fixed"/>
    </w:tblPr>
    <w:tblStylePr w:type="firstRow">
      <w:rPr>
        <w:b/>
        <w:bCs/>
        <w:color w:val="FFFFFF" w:themeColor="background1"/>
        <w14:textFill>
          <w14:solidFill>
            <w14:schemeClr w14:val="bg1"/>
          </w14:solidFill>
        </w14:textFill>
      </w:rPr>
      <w:tcPr>
        <w:shd w:val="clear" w:color="auto" w:fill="4472C4" w:themeFill="accent1"/>
      </w:tcPr>
    </w:tblStylePr>
    <w:tblStylePr w:type="lastRow">
      <w:rPr>
        <w:b/>
        <w:bCs/>
      </w:rPr>
      <w:tcPr>
        <w:tcBorders>
          <w:top w:val="double" w:color="4472C4"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4472C4" w:themeColor="accent1" w:sz="4" w:space="0"/>
          <w:right w:val="single" w:color="4472C4" w:themeColor="accent1" w:sz="4" w:space="0"/>
        </w:tcBorders>
      </w:tcPr>
    </w:tblStylePr>
    <w:tblStylePr w:type="band1Horz">
      <w:tcPr>
        <w:tcBorders>
          <w:top w:val="single" w:color="4472C4" w:themeColor="accent1" w:sz="4" w:space="0"/>
          <w:bottom w:val="single" w:color="4472C4"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4472C4" w:themeColor="accent1" w:sz="4" w:space="0"/>
          <w:left w:val="nil"/>
        </w:tcBorders>
      </w:tcPr>
    </w:tblStylePr>
    <w:tblStylePr w:type="swCell">
      <w:tcPr>
        <w:tcBorders>
          <w:top w:val="double" w:color="4472C4" w:themeColor="accent1" w:sz="4" w:space="0"/>
          <w:right w:val="nil"/>
        </w:tcBorders>
      </w:tcPr>
    </w:tblStylePr>
  </w:style>
  <w:style w:type="character" w:customStyle="1" w:styleId="17">
    <w:name w:val="页眉 Char"/>
    <w:basedOn w:val="7"/>
    <w:link w:val="4"/>
    <w:qFormat/>
    <w:uiPriority w:val="99"/>
    <w:rPr>
      <w:sz w:val="18"/>
      <w:szCs w:val="18"/>
    </w:rPr>
  </w:style>
  <w:style w:type="character" w:customStyle="1" w:styleId="18">
    <w:name w:val="页脚 Char"/>
    <w:basedOn w:val="7"/>
    <w:link w:val="3"/>
    <w:qFormat/>
    <w:uiPriority w:val="99"/>
    <w:rPr>
      <w:sz w:val="18"/>
      <w:szCs w:val="18"/>
    </w:rPr>
  </w:style>
  <w:style w:type="table" w:customStyle="1" w:styleId="19">
    <w:name w:val="样式1"/>
    <w:basedOn w:val="9"/>
    <w:uiPriority w:val="99"/>
    <w:pPr>
      <w:jc w:val="both"/>
    </w:pPr>
    <w:rPr>
      <w:rFonts w:eastAsia="微软雅黑"/>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0">
    <w:name w:val="List Paragraph"/>
    <w:basedOn w:val="1"/>
    <w:qFormat/>
    <w:uiPriority w:val="34"/>
    <w:pPr>
      <w:ind w:firstLine="420" w:firstLineChars="200"/>
    </w:pPr>
  </w:style>
  <w:style w:type="character" w:customStyle="1" w:styleId="21">
    <w:name w:val="Unresolved Mention"/>
    <w:basedOn w:val="7"/>
    <w:semiHidden/>
    <w:unhideWhenUsed/>
    <w:uiPriority w:val="99"/>
    <w:rPr>
      <w:color w:val="808080"/>
      <w:shd w:val="clear" w:color="auto" w:fill="E6E6E6"/>
    </w:rPr>
  </w:style>
  <w:style w:type="character" w:customStyle="1" w:styleId="22">
    <w:name w:val="标题 1 Char"/>
    <w:basedOn w:val="7"/>
    <w:link w:val="2"/>
    <w:uiPriority w:val="9"/>
    <w:rPr>
      <w:b/>
      <w:bCs/>
      <w:kern w:val="44"/>
      <w:sz w:val="44"/>
      <w:szCs w:val="44"/>
    </w:rPr>
  </w:style>
  <w:style w:type="paragraph" w:customStyle="1" w:styleId="2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footer" Target="footer2.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er" Target="foot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A8D3E6-BDD4-45C5-B613-6021875D02D5}">
  <ds:schemaRefs/>
</ds:datastoreItem>
</file>

<file path=docProps/app.xml><?xml version="1.0" encoding="utf-8"?>
<Properties xmlns="http://schemas.openxmlformats.org/officeDocument/2006/extended-properties" xmlns:vt="http://schemas.openxmlformats.org/officeDocument/2006/docPropsVTypes">
  <Template>Normal.dotm</Template>
  <Pages>1</Pages>
  <Words>9004</Words>
  <Characters>51329</Characters>
  <Lines>427</Lines>
  <Paragraphs>120</Paragraphs>
  <TotalTime>0</TotalTime>
  <ScaleCrop>false</ScaleCrop>
  <LinksUpToDate>false</LinksUpToDate>
  <CharactersWithSpaces>60213</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2018-04-17T02:51:00Z</dcterms:created>
  <dc:creator>NGS01</dc:creator>
  <cp:lastModifiedBy>siso</cp:lastModifiedBy>
  <cp:lastPrinted>2018-04-24T09:02:00Z</cp:lastPrinted>
  <dcterms:modified xsi:type="dcterms:W3CDTF">2018-04-25T08:19:03Z</dcterms:modified>
  <cp:revision>394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