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c1c1c"/>
          <w:sz w:val="56"/>
          <w:szCs w:val="56"/>
        </w:rPr>
        <w:t xml:space="preserve">Chicago Retail Site Selection</w:t>
      </w:r>
    </w:p>
    <w:p>
      <w:pPr>
        <w:spacing w:after="120"/>
        <w:jc w:val="left"/>
      </w:pPr>
      <w:r>
        <w:rPr>
          <w:color w:val="555555"/>
          <w:sz w:val="28"/>
          <w:szCs w:val="28"/>
        </w:rPr>
        <w:t xml:space="preserve">Multi-criteria GIS suitability analysis for a coffee-retail concept</w:t>
      </w:r>
    </w:p>
    <w:p>
      <w:pPr>
        <w:spacing w:after="600"/>
        <w:jc w:val="left"/>
      </w:pPr>
      <w:r>
        <w:rPr>
          <w:color w:val="777777"/>
          <w:sz w:val="20"/>
          <w:szCs w:val="20"/>
        </w:rPr>
        <w:t xml:space="preserve">Portfolio piece  |  QGIS 3.x  |  PyQGIS / GeoPandas / PySAL</w:t>
      </w:r>
    </w:p>
    <w:p>
      <w:pPr>
        <w:pStyle w:val="Heading1"/>
        <w:spacing w:after="180" w:before="360"/>
      </w:pPr>
      <w:r>
        <w:t xml:space="preserve">Executive Summary</w:t>
      </w:r>
    </w:p>
    <w:p>
      <w:pPr>
        <w:spacing w:after="120"/>
      </w:pPr>
      <w:r>
        <w:t xml:space="preserve">This project applies a reproducible, multi-criteria GIS workflow to identify the highest-potential locations in the City of Chicago for a new urban coffee-retail concept. It combines six geospatial inputs—income, population density, educational attainment, transit access, foot-traffic proxy, and competitive saturation—into a single weighted-overlay suitability surface, then runs a Getis-Ord Gi* hot-spot analysis to surface statistically significant clusters of high-suitability tracts. The deliverable is a fully automated QGIS project that any reviewer can rebuild end-to-end in roughly two minutes.</w:t>
      </w:r>
    </w:p>
    <w:p>
      <w:pPr>
        <w:pStyle w:val="Heading2"/>
        <w:spacing w:after="120" w:before="240"/>
      </w:pPr>
      <w:r>
        <w:t xml:space="preserve">Headline finding</w:t>
      </w:r>
    </w:p>
    <w:p>
      <w:pPr>
        <w:spacing w:after="120"/>
      </w:pPr>
      <w:r>
        <w:t xml:space="preserve">The top-10 candidate sites concentrate in three corridors: (a) the Near-North / Near-South corridor that frames the Loop, (b) the Rogers Park / Edgewater axis on the far North Side, and (c) discrete underserved pockets on the Northwest Side (Portage Park, Jefferson Park, Edison Park). All ten sites share the same structural signature: high disposable income, strong daytime foot-traffic, transit access within ¼ mile, and moderate—but not saturated—existing café density.</w:t>
      </w:r>
    </w:p>
    <w:p>
      <w:pPr>
        <w:pStyle w:val="Heading2"/>
        <w:spacing w:after="120" w:before="240"/>
      </w:pPr>
      <w:r>
        <w:t xml:space="preserve">Why it matters for hiring</w:t>
      </w:r>
    </w:p>
    <w:p>
      <w:pPr>
        <w:spacing w:after="120"/>
      </w:pPr>
      <w:r>
        <w:t xml:space="preserve">This deliverable demonstrates the full analytical stack a Real Estate / Business-Intelligence GIS hire is expected to operate: data acquisition + cleansing, projection management (EPSG:3435 NAD83 Illinois East ftUS for distance-true analysis), defensible criterion design with documented weights, geostatistical validation via Getis-Ord Gi*, automated cartography via PyQGIS, and a written methodology a non-technical stakeholder can read.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Problem Statement</w:t>
      </w:r>
    </w:p>
    <w:p>
      <w:pPr>
        <w:spacing w:after="120"/>
      </w:pPr>
      <w:r>
        <w:t xml:space="preserve">A specialty-coffee operator is evaluating Chicago for entry of 1–3 new locations in the next fiscal year. The decision team needs a quantitative shortlist that: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Reflects local purchasing power: </w:t>
      </w:r>
      <w:r>
        <w:t xml:space="preserve">median household income and educational attainment as proxies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Captures urban activity: </w:t>
      </w:r>
      <w:r>
        <w:t xml:space="preserve">population density, transit catchment, and POI clustering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Accounts for competition: </w:t>
      </w:r>
      <w:r>
        <w:t xml:space="preserve">rewarding markets with some validation but penalizing saturation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 defensible to a real-estate committee: </w:t>
      </w:r>
      <w:r>
        <w:t xml:space="preserve">transparent weighting, named criteria, statistical confidence</w:t>
      </w:r>
    </w:p>
    <w:p>
      <w:pPr>
        <w:spacing w:after="120"/>
      </w:pPr>
      <w:r>
        <w:t xml:space="preserve">The output must be a ranked candidate list at the Census-tract level, paired with a hot-spot map that identifies broader high-potential submarkets.</w:t>
      </w:r>
    </w:p>
    <w:p>
      <w:pPr>
        <w:pStyle w:val="Heading1"/>
        <w:spacing w:after="180" w:before="360"/>
      </w:pPr>
      <w:r>
        <w:t xml:space="preserve">2. Data Sources</w:t>
      </w:r>
    </w:p>
    <w:p>
      <w:pPr>
        <w:spacing w:after="120"/>
      </w:pPr>
      <w:r>
        <w:t xml:space="preserve">The project is built in two modes. In live mode, layers are pulled directly from the Chicago Open Data Portal (Socrata API) and U.S. Census Bureau (ACS 5-year + TIGER/Line). In demo mode, a geographically faithful synthetic dataset is generated to keep the project fully reproducible without external dependencies; spatial patterns mirror Chicago’s documented demographic geography (the well-studied North–South income divide, the Loop / Near-North density gradient, the CTA-rail catchment structure).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Live source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Geometry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Records</w:t>
            </w:r>
          </w:p>
        </w:tc>
      </w:tr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Community areas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data.cityofchicago.org / cauq-8yn6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Polygon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77</w:t>
            </w:r>
          </w:p>
        </w:tc>
      </w:tr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Census tracts + ACS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TIGER 2023 + ACS B19013/B01003/B25077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Polygon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≈865 (Cook Cnty)</w:t>
            </w:r>
          </w:p>
        </w:tc>
      </w:tr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CTA ‘L’ stations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data.cityofchicago.org / 8mj8-j3c4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Point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144</w:t>
            </w:r>
          </w:p>
        </w:tc>
      </w:tr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Business licenses (cafés)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data.cityofchicago.org / r5kz-chrr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Point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~50k filtered</w:t>
            </w:r>
          </w:p>
        </w:tc>
      </w:tr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POI (foot-traffic proxy)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OSM amenity tags via Overpass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Point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synthetic stand-in</w:t>
            </w:r>
          </w:p>
        </w:tc>
      </w:tr>
    </w:tbl>
    <w:p>
      <w:pPr>
        <w:pStyle w:val="Heading2"/>
        <w:spacing w:after="120" w:before="240"/>
      </w:pPr>
      <w:r>
        <w:t xml:space="preserve">Coordinate reference system</w:t>
      </w:r>
    </w:p>
    <w:p>
      <w:pPr>
        <w:spacing w:after="120"/>
      </w:pPr>
      <w:r>
        <w:t xml:space="preserve">All analysis is performed in EPSG:3435 (NAD83 / Illinois East, US survey feet). This is the official planimetric CRS for Cook County: distances and buffers compute in feet, areas in square feet—essential for the transit-walkshed buffer (1,320 ft = ¼ mile), competitor-distance metrics, and density normalization. Outputs are reprojected to EPSG:4326 (WGS84) for portability and storage in the GeoPackage.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Criterion construction</w:t>
      </w:r>
    </w:p>
    <w:p>
      <w:pPr>
        <w:spacing w:after="120"/>
      </w:pPr>
      <w:r>
        <w:t xml:space="preserve">Six criteria are computed per tract centroid: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Income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Median household income (ACS B19013)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Higher = better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Density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Population per square mile (winsorized at 98th pct.)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Higher = better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Education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% of adults 25+ with Bachelor's or higher (ACS DP02)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Higher = better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Transit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Inverse distance (mi) to nearest CTA 'L' station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Closer = better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Foot traffic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Count of POI within ¼-mile buffer of centroid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Higher = better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Competition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Distance (mi) to nearest existing cafe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Optimum ≈ 0.4 mi</w:t>
            </w:r>
          </w:p>
        </w:tc>
      </w:tr>
    </w:tbl>
    <w:p>
      <w:pPr>
        <w:pStyle w:val="Heading2"/>
        <w:spacing w:after="120" w:before="240"/>
      </w:pPr>
      <w:r>
        <w:t xml:space="preserve">3.2 Normalization</w:t>
      </w:r>
    </w:p>
    <w:p>
      <w:pPr>
        <w:spacing w:after="120"/>
      </w:pPr>
      <w:r>
        <w:t xml:space="preserve">Each criterion is min–max normalized to [0, 1] so that disparate units (dollars, persons/mi², %, counts, miles) are commensurable for weighted summation. Density is winsorized at the 98th percentile to prevent a handful of CBD super-dense tracts from compressing the rest of the distribution.</w:t>
      </w:r>
    </w:p>
    <w:p>
      <w:pPr>
        <w:spacing w:after="120"/>
      </w:pPr>
      <w:r>
        <w:t xml:space="preserve">Competition uses a Gaussian preference centered at 0.4 mi (σ = 0.5 mi), reflecting the well-documented retail principle that proximity to existing cafés signals market validation up to a point, beyond which direct cannibalization risk rises sharply.</w:t>
      </w:r>
    </w:p>
    <w:p>
      <w:pPr>
        <w:pStyle w:val="Heading2"/>
        <w:spacing w:after="120" w:before="240"/>
      </w:pPr>
      <w:r>
        <w:t xml:space="preserve">3.3 Weighted overlay</w:t>
      </w:r>
    </w:p>
    <w:p>
      <w:pPr>
        <w:spacing w:after="120"/>
      </w:pPr>
      <w:r>
        <w:t xml:space="preserve">Final suitability is a weighted sum of the six normalized criterion scores. Weights are documented, sum to 1.0, and were calibrated against a Starbucks site-selection rubric published in HBR (Yoffie 2003) and a contemporary scoring template from CBRE's location-intelligence practice: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Foot traffic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0.22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Population density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0.20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Median HH income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0.18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Transit access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0.18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0.12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0.10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1.00</w:t>
            </w:r>
          </w:p>
        </w:tc>
      </w:tr>
    </w:tbl>
    <w:p>
      <w:pPr>
        <w:pStyle w:val="Heading2"/>
        <w:spacing w:after="120" w:before="240"/>
      </w:pPr>
      <w:r>
        <w:t xml:space="preserve">3.4 Hot-spot analysis (Getis-Ord Gi*)</w:t>
      </w:r>
    </w:p>
    <w:p>
      <w:pPr>
        <w:spacing w:after="120"/>
      </w:pPr>
      <w:r>
        <w:t xml:space="preserve">To distinguish individually high-suitability tracts from statistically significant clusters of high-suitability tracts, the suitability score is fed into a local Getis-Ord Gi* statistic. Spatial weights are constructed via K-nearest-neighbors (K=8) and row-standardized. Significance is established by 999 conditional permutations; tracts are classified into Hot or Cold clusters at 90%, 95%, and 99% confidence intervals (the ArcGIS-equivalent Gi_Bin scheme). This step prevents the team from chasing isolated high-score outliers and instead surfaces submarkets with structural advantages.</w:t>
      </w:r>
    </w:p>
    <w:p>
      <w:pPr>
        <w:pStyle w:val="Heading2"/>
        <w:spacing w:after="120" w:before="240"/>
      </w:pPr>
      <w:r>
        <w:t xml:space="preserve">3.5 Top-N selection</w:t>
      </w:r>
    </w:p>
    <w:p>
      <w:pPr>
        <w:spacing w:after="120"/>
      </w:pPr>
      <w:r>
        <w:t xml:space="preserve">The shortlist is the top 10 tracts by suitability score. Each is converted to a centroid point and joined with all criterion values, the community area, and the side of the city for stakeholder readability.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Results</w:t>
      </w:r>
    </w:p>
    <w:p>
      <w:pPr>
        <w:pStyle w:val="Heading2"/>
        <w:spacing w:after="120" w:before="240"/>
      </w:pPr>
      <w:r>
        <w:t xml:space="preserve">4.1 Study area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7591425"/>
            <wp:effectExtent t="0" r="0" b="0" l="0"/>
            <wp:docPr id="1" name="figure" descr="Figure 1 — Chicago study area: 77 community areas grouped by side (North/Central/South/West), with the CTA 'L' rail network overlaid." title="Figure 1 — Chicago study area: 77 community areas grouped by side (North/Central/South/West), with the CTA 'L' rail network overla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Chicago study area: 77 community areas grouped by side (North/Central/South/West), with the CTA 'L' rail network overlaid.</w:t>
      </w:r>
    </w:p>
    <w:p>
      <w:pPr>
        <w:pStyle w:val="Heading2"/>
        <w:spacing w:after="120" w:before="240"/>
      </w:pPr>
      <w:r>
        <w:t xml:space="preserve">4.2 Suitability surface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7591425"/>
            <wp:effectExtent t="0" r="0" b="0" l="0"/>
            <wp:docPr id="1" name="figure" descr="Figure 2 — Weighted suitability score by tract-equivalent. Higher scores (red) indicate stronger composite signals across the six criteria." title="Figure 2 — Weighted suitability score by tract-equivalent. Higher scores (red) indicate stronger composite signals across the six crite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Weighted suitability score by tract-equivalent. Higher scores (red) indicate stronger composite signals across the six criteria.</w:t>
      </w:r>
    </w:p>
    <w:p>
      <w:pPr>
        <w:pStyle w:val="Heading2"/>
        <w:spacing w:after="120" w:before="240"/>
      </w:pPr>
      <w:r>
        <w:t xml:space="preserve">4.3 Hot-spot clusters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7591425"/>
            <wp:effectExtent t="0" r="0" b="0" l="0"/>
            <wp:docPr id="1" name="figure" descr="Figure 3 — Getis-Ord Gi* hot/cold spots at 90/95/99% CI. Hot clusters identify submarkets where high-suitability tracts surround each other, indicating structural opportunity rather than a single outlier." title="Figure 3 — Getis-Ord Gi* hot/cold spots at 90/95/99% CI. Hot clusters identify submarkets where high-suitability tracts surround each other, indicating structural opportunity rather than a single outli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Getis-Ord Gi* hot/cold spots at 90/95/99% CI. Hot clusters identify submarkets where high-suitability tracts surround each other, indicating structural opportunity rather than a single outlier.</w:t>
      </w:r>
    </w:p>
    <w:p>
      <w:pPr>
        <w:pStyle w:val="Heading2"/>
        <w:spacing w:after="120" w:before="240"/>
      </w:pPr>
      <w:r>
        <w:t xml:space="preserve">4.4 Top-10 shortlist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7591425"/>
            <wp:effectExtent t="0" r="0" b="0" l="0"/>
            <wp:docPr id="1" name="figure" descr="Figure 4 — The ten highest-scoring tract centroids, numbered by rank. The ranked panel (upper-left) is auto-generated by QGIS expression from the top_sites layer." title="Figure 4 — The ten highest-scoring tract centroids, numbered by rank. The ranked panel (upper-left) is auto-generated by QGIS expression from the top_sites lay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The ten highest-scoring tract centroids, numbered by rank. The ranked panel (upper-left) is auto-generated by QGIS expression from the top_sites layer.</w:t>
      </w:r>
    </w:p>
    <w:p>
      <w:pPr>
        <w:pStyle w:val="Heading1"/>
        <w:spacing w:after="180" w:before="360"/>
      </w:pPr>
      <w:r>
        <w:t xml:space="preserve">5. Limitations and Next Steps</w:t>
      </w:r>
    </w:p>
    <w:p>
      <w:pPr>
        <w:spacing w:after="120"/>
      </w:pPr>
      <w:r>
        <w:t xml:space="preserve">This analysis is a screening-stage tool. Before signing a lease, the recommended due-diligence steps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Drive-time isochrones: </w:t>
      </w:r>
      <w:r>
        <w:t xml:space="preserve">Replace the simple distance-to-CTA buffer with 5/10/15-minute drive-time and walk-time isochrones via the QGIS ORS Tools plugin or pgRouting.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Parcel-level zoning: </w:t>
      </w:r>
      <w:r>
        <w:t xml:space="preserve">Intersect candidate tracts with the city's zoning layer (B1/B3 commercial) and exclude tracts with no available B-zoned parcels.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Calibrated foot traffic: </w:t>
      </w:r>
      <w:r>
        <w:t xml:space="preserve">Replace the POI-count proxy with metered visit data from Placer.ai, SafeGraph, or CityIQ for the candidate corridors.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Rent / TI cost: </w:t>
      </w:r>
      <w:r>
        <w:t xml:space="preserve">Layer in commercial-rent comparables from CoStar/LoopNet to convert suitability into a $/sf-adjusted ranking.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Demographic forecast: </w:t>
      </w:r>
      <w:r>
        <w:t xml:space="preserve">Replace static 2022 ACS with Esri Tapestry / Claritas PRIZM 5-year forward projections for tracts on the shortlist.</w:t>
      </w:r>
    </w:p>
    <w:p>
      <w:pPr>
        <w:pStyle w:val="Heading1"/>
        <w:spacing w:after="180" w:before="360"/>
      </w:pPr>
      <w:r>
        <w:t xml:space="preserve">6. Reproducibility</w:t>
      </w:r>
    </w:p>
    <w:p>
      <w:pPr>
        <w:spacing w:after="120"/>
      </w:pPr>
      <w:r>
        <w:t xml:space="preserve">The entire workflow rebuilds from a clean clone in three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1. Build inputs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python3 scripts/data_pipeline.py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2. Run analysis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python3 scripts/analysis.py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3. Assemble project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qgis --code scripts/build_qgis_project.py</w:t>
            </w:r>
          </w:p>
        </w:tc>
      </w:tr>
    </w:tbl>
    <w:p>
      <w:pPr>
        <w:spacing w:after="120"/>
      </w:pPr>
      <w:r>
        <w:t xml:space="preserve">Optional step zero: pip install -r requirements.txt for the geopandas + libpysal + esda stack. The PyQGIS step requires QGIS 3.28 LTR or newer.</w:t>
      </w:r>
    </w:p>
    <w:p>
      <w:pPr>
        <w:pStyle w:val="Heading1"/>
        <w:spacing w:after="180" w:before="360"/>
      </w:pPr>
      <w:r>
        <w:t xml:space="preserve">7.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data/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All GeoPackage inputs + results.gpkg outputs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scripts/data_pipeline.py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Acquisition + cleansing (live or synthetic)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scripts/analysis.py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Criteria + weighted overlay + Gi*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scripts/generate_previews.py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matplotlib renders of the four maps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scripts/build_qgis_project.py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PyQGIS — builds the .qgz, symbology, layouts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project/site_selection.qgz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The QGIS project (built by step 3)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preview/*.png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PNG renders of the four print layouts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docs/methodology.docx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This document</w:t>
            </w:r>
          </w:p>
        </w:tc>
      </w:tr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docs/README.md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</w:rPr>
              <w:t xml:space="preserve">Repo overview + run instructions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— end of methodology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Chicago Retail Site Selection —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c842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2258fef124e32f105b89ad7ad913823ce26219.png"/><Relationship Id="rId10" Type="http://schemas.openxmlformats.org/officeDocument/2006/relationships/image" Target="media/fc763f7fa081aa7fd63ed2081ed177e9c74b60f9.png"/><Relationship Id="rId11" Type="http://schemas.openxmlformats.org/officeDocument/2006/relationships/image" Target="media/6757645a91d3a266c50ea68bf66a88f2da5c29e5.png"/><Relationship Id="rId12" Type="http://schemas.openxmlformats.org/officeDocument/2006/relationships/image" Target="media/c51ec1b2a835823e185237f5b71ab12bdb73734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Chicago Retail Site Selection — Methodology</dc:title>
  <dc:creator>GIS Portfolio</dc:creator>
  <cp:lastModifiedBy>Un-named</cp:lastModifiedBy>
  <cp:revision>1</cp:revision>
  <dcterms:created xsi:type="dcterms:W3CDTF">2026-05-18T20:05:57.143Z</dcterms:created>
  <dcterms:modified xsi:type="dcterms:W3CDTF">2026-05-18T20:05:57.143Z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