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DE6" w14:textId="53DA8F75" w:rsidR="00BC2542" w:rsidRPr="00673773" w:rsidRDefault="00BC2542">
      <w:pPr>
        <w:rPr>
          <w:rFonts w:ascii="Times New Roman" w:hAnsi="Times New Roman" w:cs="Times New Roman"/>
        </w:rPr>
      </w:pPr>
      <w:r w:rsidRPr="00673773">
        <w:rPr>
          <w:rFonts w:ascii="Times New Roman" w:hAnsi="Times New Roman" w:cs="Times New Roman"/>
        </w:rPr>
        <w:t xml:space="preserve">Shadish, Clark &amp; Steiner. (2008). “Can Nonrandomized Experiments Yield Accurate Answers? A Randomized Experiment Comparing Random and Nonrandom Assignments” Journal of American Statistical Association 103(484): 1334-1344. </w:t>
      </w:r>
      <w:hyperlink r:id="rId4" w:history="1">
        <w:r w:rsidRPr="00673773">
          <w:rPr>
            <w:rStyle w:val="Hyperlink"/>
            <w:rFonts w:ascii="Times New Roman" w:hAnsi="Times New Roman" w:cs="Times New Roman"/>
          </w:rPr>
          <w:t>https://doi.org/10.1198/016214508000000733</w:t>
        </w:r>
      </w:hyperlink>
    </w:p>
    <w:p w14:paraId="761BF8ED" w14:textId="02BE51FA" w:rsidR="00BC2542" w:rsidRPr="00673773" w:rsidRDefault="00BC2542">
      <w:pPr>
        <w:rPr>
          <w:rFonts w:ascii="Times New Roman" w:hAnsi="Times New Roman" w:cs="Times New Roman"/>
        </w:rPr>
      </w:pPr>
    </w:p>
    <w:p w14:paraId="5A5B8875" w14:textId="474B6CBE" w:rsidR="00BC2542" w:rsidRPr="00673773" w:rsidRDefault="00BC2542">
      <w:pPr>
        <w:rPr>
          <w:rFonts w:ascii="Times New Roman" w:hAnsi="Times New Roman" w:cs="Times New Roman"/>
        </w:rPr>
      </w:pPr>
      <w:r w:rsidRPr="00673773">
        <w:rPr>
          <w:rFonts w:ascii="Times New Roman" w:hAnsi="Times New Roman" w:cs="Times New Roman"/>
        </w:rPr>
        <w:t>The Shadish, Clark, and Steiner piece examines the vocabulary and math scores o</w:t>
      </w:r>
      <w:r w:rsidR="00673773" w:rsidRPr="00673773">
        <w:rPr>
          <w:rFonts w:ascii="Times New Roman" w:hAnsi="Times New Roman" w:cs="Times New Roman"/>
        </w:rPr>
        <w:t>f students who are given either additional vocabulary or math training. The goal is to see if the treatment actually improves their scores on either a math or vocabulary test, and if so by how much.</w:t>
      </w:r>
      <w:r w:rsidR="00EB78A5">
        <w:rPr>
          <w:rFonts w:ascii="Times New Roman" w:hAnsi="Times New Roman" w:cs="Times New Roman"/>
        </w:rPr>
        <w:t xml:space="preserve"> This example only looks vocabulary training on test scores before and after. </w:t>
      </w:r>
      <w:r w:rsidR="00673773" w:rsidRPr="00673773">
        <w:rPr>
          <w:rFonts w:ascii="Times New Roman" w:hAnsi="Times New Roman" w:cs="Times New Roman"/>
        </w:rPr>
        <w:t xml:space="preserve"> There are many problems as students self-selected into the different trainings. As can be seen the two groups are not equal. Information is taken in order to create the groups as if equal, using inverse propensity score methods is just one way. </w:t>
      </w:r>
    </w:p>
    <w:p w14:paraId="18068F36" w14:textId="4EB0C0CA" w:rsidR="00673773" w:rsidRPr="00673773" w:rsidRDefault="00673773">
      <w:pPr>
        <w:rPr>
          <w:rFonts w:ascii="Times New Roman" w:hAnsi="Times New Roman" w:cs="Times New Roman"/>
        </w:rPr>
      </w:pPr>
    </w:p>
    <w:p w14:paraId="6DE0EBBB" w14:textId="5E6BAB49" w:rsidR="00673773" w:rsidRPr="00673773" w:rsidRDefault="00673773">
      <w:pPr>
        <w:rPr>
          <w:rFonts w:ascii="Times New Roman" w:hAnsi="Times New Roman" w:cs="Times New Roman"/>
        </w:rPr>
      </w:pPr>
      <w:r w:rsidRPr="00673773">
        <w:rPr>
          <w:rFonts w:ascii="Times New Roman" w:hAnsi="Times New Roman" w:cs="Times New Roman"/>
        </w:rPr>
        <w:t xml:space="preserve">List of variables: </w:t>
      </w:r>
    </w:p>
    <w:tbl>
      <w:tblPr>
        <w:tblW w:w="9450" w:type="dxa"/>
        <w:tblInd w:w="18" w:type="dxa"/>
        <w:tblLook w:val="04A0" w:firstRow="1" w:lastRow="0" w:firstColumn="1" w:lastColumn="0" w:noHBand="0" w:noVBand="1"/>
      </w:tblPr>
      <w:tblGrid>
        <w:gridCol w:w="2600"/>
        <w:gridCol w:w="4640"/>
        <w:gridCol w:w="1850"/>
        <w:gridCol w:w="360"/>
      </w:tblGrid>
      <w:tr w:rsidR="00673773" w:rsidRPr="00673773" w14:paraId="3E9390EB" w14:textId="77777777" w:rsidTr="004706F1">
        <w:trPr>
          <w:gridAfter w:val="2"/>
          <w:wAfter w:w="2210" w:type="dxa"/>
          <w:trHeight w:val="300"/>
        </w:trPr>
        <w:tc>
          <w:tcPr>
            <w:tcW w:w="2600" w:type="dxa"/>
            <w:tcBorders>
              <w:top w:val="nil"/>
              <w:left w:val="nil"/>
              <w:bottom w:val="nil"/>
              <w:right w:val="nil"/>
            </w:tcBorders>
            <w:shd w:val="clear" w:color="auto" w:fill="auto"/>
            <w:noWrap/>
            <w:vAlign w:val="bottom"/>
            <w:hideMark/>
          </w:tcPr>
          <w:p w14:paraId="282F6544" w14:textId="77777777" w:rsidR="00673773" w:rsidRPr="00673773" w:rsidRDefault="00673773" w:rsidP="004706F1">
            <w:pPr>
              <w:spacing w:after="0" w:line="240" w:lineRule="auto"/>
              <w:rPr>
                <w:rFonts w:ascii="Times New Roman" w:eastAsia="Times New Roman" w:hAnsi="Times New Roman" w:cs="Times New Roman"/>
                <w:b/>
                <w:bCs/>
                <w:color w:val="000000"/>
              </w:rPr>
            </w:pPr>
            <w:r w:rsidRPr="00673773">
              <w:rPr>
                <w:rFonts w:ascii="Times New Roman" w:eastAsia="Times New Roman" w:hAnsi="Times New Roman" w:cs="Times New Roman"/>
                <w:b/>
                <w:bCs/>
                <w:color w:val="000000"/>
              </w:rPr>
              <w:t>Treatment variable</w:t>
            </w:r>
          </w:p>
        </w:tc>
        <w:tc>
          <w:tcPr>
            <w:tcW w:w="4640" w:type="dxa"/>
            <w:tcBorders>
              <w:top w:val="nil"/>
              <w:left w:val="nil"/>
              <w:bottom w:val="nil"/>
              <w:right w:val="nil"/>
            </w:tcBorders>
            <w:shd w:val="clear" w:color="auto" w:fill="auto"/>
            <w:noWrap/>
            <w:vAlign w:val="bottom"/>
            <w:hideMark/>
          </w:tcPr>
          <w:p w14:paraId="3D4C98ED" w14:textId="77777777" w:rsidR="00673773" w:rsidRPr="00673773" w:rsidRDefault="00673773" w:rsidP="004706F1">
            <w:pPr>
              <w:spacing w:after="0" w:line="240" w:lineRule="auto"/>
              <w:rPr>
                <w:rFonts w:ascii="Times New Roman" w:eastAsia="Times New Roman" w:hAnsi="Times New Roman" w:cs="Times New Roman"/>
                <w:color w:val="000000"/>
              </w:rPr>
            </w:pPr>
          </w:p>
        </w:tc>
      </w:tr>
      <w:tr w:rsidR="00673773" w:rsidRPr="00673773" w14:paraId="5409ABB4" w14:textId="77777777" w:rsidTr="004706F1">
        <w:trPr>
          <w:gridAfter w:val="1"/>
          <w:wAfter w:w="360" w:type="dxa"/>
          <w:trHeight w:val="300"/>
        </w:trPr>
        <w:tc>
          <w:tcPr>
            <w:tcW w:w="2600" w:type="dxa"/>
            <w:tcBorders>
              <w:top w:val="nil"/>
              <w:left w:val="nil"/>
              <w:bottom w:val="nil"/>
              <w:right w:val="nil"/>
            </w:tcBorders>
            <w:shd w:val="clear" w:color="auto" w:fill="auto"/>
            <w:noWrap/>
            <w:hideMark/>
          </w:tcPr>
          <w:p w14:paraId="3E2B5286" w14:textId="77777777" w:rsidR="00673773" w:rsidRPr="00673773" w:rsidRDefault="00673773" w:rsidP="004706F1">
            <w:pPr>
              <w:spacing w:after="0" w:line="240" w:lineRule="auto"/>
              <w:rPr>
                <w:rFonts w:ascii="Times New Roman" w:eastAsia="Times New Roman" w:hAnsi="Times New Roman" w:cs="Times New Roman"/>
                <w:color w:val="000000"/>
              </w:rPr>
            </w:pPr>
            <w:proofErr w:type="spellStart"/>
            <w:r w:rsidRPr="00673773">
              <w:rPr>
                <w:rFonts w:ascii="Times New Roman" w:eastAsia="Times New Roman" w:hAnsi="Times New Roman" w:cs="Times New Roman"/>
                <w:color w:val="000000"/>
              </w:rPr>
              <w:t>vm</w:t>
            </w:r>
            <w:proofErr w:type="spellEnd"/>
          </w:p>
        </w:tc>
        <w:tc>
          <w:tcPr>
            <w:tcW w:w="6490" w:type="dxa"/>
            <w:gridSpan w:val="2"/>
            <w:tcBorders>
              <w:top w:val="nil"/>
              <w:left w:val="nil"/>
              <w:bottom w:val="nil"/>
              <w:right w:val="nil"/>
            </w:tcBorders>
            <w:shd w:val="clear" w:color="auto" w:fill="auto"/>
            <w:noWrap/>
            <w:hideMark/>
          </w:tcPr>
          <w:p w14:paraId="1F09BFA4" w14:textId="77777777" w:rsidR="00673773" w:rsidRPr="00673773" w:rsidRDefault="00673773" w:rsidP="004706F1">
            <w:pPr>
              <w:spacing w:after="0" w:line="240" w:lineRule="auto"/>
              <w:rPr>
                <w:rFonts w:ascii="Times New Roman" w:eastAsia="Times New Roman" w:hAnsi="Times New Roman" w:cs="Times New Roman"/>
                <w:color w:val="000000"/>
              </w:rPr>
            </w:pPr>
            <w:r w:rsidRPr="00673773">
              <w:rPr>
                <w:rFonts w:ascii="Times New Roman" w:eastAsia="Times New Roman" w:hAnsi="Times New Roman" w:cs="Times New Roman"/>
                <w:color w:val="000000"/>
              </w:rPr>
              <w:t>Treatment indicator for vocabulary (v) or mathematics (m) training</w:t>
            </w:r>
          </w:p>
        </w:tc>
      </w:tr>
      <w:tr w:rsidR="00673773" w:rsidRPr="00673773" w14:paraId="21516256" w14:textId="77777777" w:rsidTr="004706F1">
        <w:trPr>
          <w:gridAfter w:val="2"/>
          <w:wAfter w:w="2210" w:type="dxa"/>
          <w:trHeight w:val="300"/>
        </w:trPr>
        <w:tc>
          <w:tcPr>
            <w:tcW w:w="2600" w:type="dxa"/>
            <w:tcBorders>
              <w:top w:val="nil"/>
              <w:left w:val="nil"/>
              <w:bottom w:val="nil"/>
              <w:right w:val="nil"/>
            </w:tcBorders>
            <w:shd w:val="clear" w:color="auto" w:fill="auto"/>
            <w:noWrap/>
            <w:vAlign w:val="bottom"/>
            <w:hideMark/>
          </w:tcPr>
          <w:p w14:paraId="120CE9EA" w14:textId="77777777" w:rsidR="00673773" w:rsidRPr="00673773" w:rsidRDefault="00673773" w:rsidP="004706F1">
            <w:pPr>
              <w:spacing w:after="0" w:line="240" w:lineRule="auto"/>
              <w:rPr>
                <w:rFonts w:ascii="Times New Roman" w:eastAsia="Times New Roman" w:hAnsi="Times New Roman" w:cs="Times New Roman"/>
                <w:color w:val="000000"/>
                <w:highlight w:val="yellow"/>
              </w:rPr>
            </w:pPr>
          </w:p>
        </w:tc>
        <w:tc>
          <w:tcPr>
            <w:tcW w:w="4640" w:type="dxa"/>
            <w:tcBorders>
              <w:top w:val="nil"/>
              <w:left w:val="nil"/>
              <w:bottom w:val="nil"/>
              <w:right w:val="nil"/>
            </w:tcBorders>
            <w:shd w:val="clear" w:color="auto" w:fill="auto"/>
            <w:noWrap/>
            <w:vAlign w:val="bottom"/>
            <w:hideMark/>
          </w:tcPr>
          <w:p w14:paraId="14768177" w14:textId="77777777" w:rsidR="00673773" w:rsidRPr="00673773" w:rsidRDefault="00673773" w:rsidP="004706F1">
            <w:pPr>
              <w:spacing w:after="0" w:line="240" w:lineRule="auto"/>
              <w:rPr>
                <w:rFonts w:ascii="Times New Roman" w:eastAsia="Times New Roman" w:hAnsi="Times New Roman" w:cs="Times New Roman"/>
                <w:color w:val="000000"/>
                <w:highlight w:val="yellow"/>
              </w:rPr>
            </w:pPr>
          </w:p>
        </w:tc>
      </w:tr>
      <w:tr w:rsidR="00673773" w:rsidRPr="00673773" w14:paraId="4FFE8703" w14:textId="77777777" w:rsidTr="004706F1">
        <w:trPr>
          <w:gridAfter w:val="2"/>
          <w:wAfter w:w="2210" w:type="dxa"/>
          <w:trHeight w:val="300"/>
        </w:trPr>
        <w:tc>
          <w:tcPr>
            <w:tcW w:w="2600" w:type="dxa"/>
            <w:tcBorders>
              <w:top w:val="nil"/>
              <w:left w:val="nil"/>
              <w:bottom w:val="nil"/>
              <w:right w:val="nil"/>
            </w:tcBorders>
            <w:shd w:val="clear" w:color="auto" w:fill="auto"/>
            <w:noWrap/>
            <w:vAlign w:val="bottom"/>
            <w:hideMark/>
          </w:tcPr>
          <w:p w14:paraId="4A36483F" w14:textId="77777777" w:rsidR="00673773" w:rsidRPr="00673773" w:rsidRDefault="00673773" w:rsidP="004706F1">
            <w:pPr>
              <w:spacing w:after="0" w:line="240" w:lineRule="auto"/>
              <w:rPr>
                <w:rFonts w:ascii="Times New Roman" w:eastAsia="Times New Roman" w:hAnsi="Times New Roman" w:cs="Times New Roman"/>
                <w:b/>
                <w:bCs/>
                <w:color w:val="000000"/>
              </w:rPr>
            </w:pPr>
            <w:r w:rsidRPr="00673773">
              <w:rPr>
                <w:rFonts w:ascii="Times New Roman" w:eastAsia="Times New Roman" w:hAnsi="Times New Roman" w:cs="Times New Roman"/>
                <w:b/>
                <w:bCs/>
                <w:color w:val="000000"/>
              </w:rPr>
              <w:t>Outcomes</w:t>
            </w:r>
          </w:p>
        </w:tc>
        <w:tc>
          <w:tcPr>
            <w:tcW w:w="4640" w:type="dxa"/>
            <w:tcBorders>
              <w:top w:val="nil"/>
              <w:left w:val="nil"/>
              <w:bottom w:val="nil"/>
              <w:right w:val="nil"/>
            </w:tcBorders>
            <w:shd w:val="clear" w:color="auto" w:fill="auto"/>
            <w:noWrap/>
            <w:vAlign w:val="bottom"/>
            <w:hideMark/>
          </w:tcPr>
          <w:p w14:paraId="1F7E6BE9" w14:textId="77777777" w:rsidR="00673773" w:rsidRPr="00673773" w:rsidRDefault="00673773" w:rsidP="004706F1">
            <w:pPr>
              <w:spacing w:after="0" w:line="240" w:lineRule="auto"/>
              <w:rPr>
                <w:rFonts w:ascii="Times New Roman" w:eastAsia="Times New Roman" w:hAnsi="Times New Roman" w:cs="Times New Roman"/>
                <w:color w:val="000000"/>
              </w:rPr>
            </w:pPr>
          </w:p>
        </w:tc>
      </w:tr>
      <w:tr w:rsidR="00673773" w:rsidRPr="00673773" w14:paraId="7FCC400B" w14:textId="77777777" w:rsidTr="004706F1">
        <w:trPr>
          <w:gridAfter w:val="1"/>
          <w:wAfter w:w="360" w:type="dxa"/>
          <w:trHeight w:val="300"/>
        </w:trPr>
        <w:tc>
          <w:tcPr>
            <w:tcW w:w="2600" w:type="dxa"/>
            <w:tcBorders>
              <w:top w:val="nil"/>
              <w:left w:val="nil"/>
              <w:bottom w:val="nil"/>
              <w:right w:val="nil"/>
            </w:tcBorders>
            <w:shd w:val="clear" w:color="auto" w:fill="auto"/>
            <w:noWrap/>
            <w:hideMark/>
          </w:tcPr>
          <w:p w14:paraId="728E4EDC" w14:textId="77777777" w:rsidR="00673773" w:rsidRPr="00673773" w:rsidRDefault="00673773" w:rsidP="004706F1">
            <w:pPr>
              <w:spacing w:after="0" w:line="240" w:lineRule="auto"/>
              <w:rPr>
                <w:rFonts w:ascii="Times New Roman" w:eastAsia="Times New Roman" w:hAnsi="Times New Roman" w:cs="Times New Roman"/>
                <w:color w:val="000000"/>
              </w:rPr>
            </w:pPr>
            <w:proofErr w:type="spellStart"/>
            <w:r w:rsidRPr="00673773">
              <w:rPr>
                <w:rFonts w:ascii="Times New Roman" w:eastAsia="Times New Roman" w:hAnsi="Times New Roman" w:cs="Times New Roman"/>
                <w:color w:val="000000"/>
              </w:rPr>
              <w:t>mathall</w:t>
            </w:r>
            <w:proofErr w:type="spellEnd"/>
          </w:p>
        </w:tc>
        <w:tc>
          <w:tcPr>
            <w:tcW w:w="6490" w:type="dxa"/>
            <w:gridSpan w:val="2"/>
            <w:tcBorders>
              <w:top w:val="nil"/>
              <w:left w:val="nil"/>
              <w:bottom w:val="nil"/>
              <w:right w:val="nil"/>
            </w:tcBorders>
            <w:shd w:val="clear" w:color="auto" w:fill="auto"/>
            <w:noWrap/>
            <w:hideMark/>
          </w:tcPr>
          <w:p w14:paraId="587446C8" w14:textId="77777777" w:rsidR="00673773" w:rsidRPr="00673773" w:rsidRDefault="00673773" w:rsidP="004706F1">
            <w:pPr>
              <w:spacing w:after="0" w:line="240" w:lineRule="auto"/>
              <w:rPr>
                <w:rFonts w:ascii="Times New Roman" w:eastAsia="Times New Roman" w:hAnsi="Times New Roman" w:cs="Times New Roman"/>
                <w:color w:val="000000"/>
              </w:rPr>
            </w:pPr>
            <w:r w:rsidRPr="00673773">
              <w:rPr>
                <w:rFonts w:ascii="Times New Roman" w:eastAsia="Times New Roman" w:hAnsi="Times New Roman" w:cs="Times New Roman"/>
                <w:color w:val="000000"/>
              </w:rPr>
              <w:t>Mathematics posttest (measured after the completion of the training)</w:t>
            </w:r>
          </w:p>
        </w:tc>
      </w:tr>
      <w:tr w:rsidR="00673773" w:rsidRPr="00673773" w14:paraId="7070D4DD" w14:textId="77777777" w:rsidTr="004706F1">
        <w:trPr>
          <w:gridAfter w:val="1"/>
          <w:wAfter w:w="360" w:type="dxa"/>
          <w:trHeight w:val="300"/>
        </w:trPr>
        <w:tc>
          <w:tcPr>
            <w:tcW w:w="2600" w:type="dxa"/>
            <w:tcBorders>
              <w:top w:val="nil"/>
              <w:left w:val="nil"/>
              <w:bottom w:val="nil"/>
              <w:right w:val="nil"/>
            </w:tcBorders>
            <w:shd w:val="clear" w:color="auto" w:fill="auto"/>
            <w:noWrap/>
            <w:hideMark/>
          </w:tcPr>
          <w:p w14:paraId="59C1DA95" w14:textId="77777777" w:rsidR="00673773" w:rsidRPr="00673773" w:rsidRDefault="00673773" w:rsidP="004706F1">
            <w:pPr>
              <w:spacing w:after="0" w:line="240" w:lineRule="auto"/>
              <w:rPr>
                <w:rFonts w:ascii="Times New Roman" w:eastAsia="Times New Roman" w:hAnsi="Times New Roman" w:cs="Times New Roman"/>
                <w:color w:val="000000"/>
              </w:rPr>
            </w:pPr>
            <w:proofErr w:type="spellStart"/>
            <w:r w:rsidRPr="00673773">
              <w:rPr>
                <w:rFonts w:ascii="Times New Roman" w:eastAsia="Times New Roman" w:hAnsi="Times New Roman" w:cs="Times New Roman"/>
                <w:color w:val="000000"/>
              </w:rPr>
              <w:t>vocaball</w:t>
            </w:r>
            <w:proofErr w:type="spellEnd"/>
          </w:p>
        </w:tc>
        <w:tc>
          <w:tcPr>
            <w:tcW w:w="6490" w:type="dxa"/>
            <w:gridSpan w:val="2"/>
            <w:tcBorders>
              <w:top w:val="nil"/>
              <w:left w:val="nil"/>
              <w:bottom w:val="nil"/>
              <w:right w:val="nil"/>
            </w:tcBorders>
            <w:shd w:val="clear" w:color="auto" w:fill="auto"/>
            <w:noWrap/>
            <w:hideMark/>
          </w:tcPr>
          <w:p w14:paraId="7CEB783E" w14:textId="77777777" w:rsidR="00673773" w:rsidRPr="00673773" w:rsidRDefault="00673773" w:rsidP="004706F1">
            <w:pPr>
              <w:spacing w:after="0" w:line="240" w:lineRule="auto"/>
              <w:rPr>
                <w:rFonts w:ascii="Times New Roman" w:eastAsia="Times New Roman" w:hAnsi="Times New Roman" w:cs="Times New Roman"/>
                <w:color w:val="000000"/>
              </w:rPr>
            </w:pPr>
            <w:r w:rsidRPr="00673773">
              <w:rPr>
                <w:rFonts w:ascii="Times New Roman" w:eastAsia="Times New Roman" w:hAnsi="Times New Roman" w:cs="Times New Roman"/>
                <w:color w:val="000000"/>
              </w:rPr>
              <w:t>Vocabulary posttest (measured after the completion of the training)</w:t>
            </w:r>
          </w:p>
        </w:tc>
      </w:tr>
      <w:tr w:rsidR="00673773" w:rsidRPr="00673773" w14:paraId="4B3AB75F" w14:textId="77777777" w:rsidTr="004706F1">
        <w:trPr>
          <w:gridAfter w:val="2"/>
          <w:wAfter w:w="2210" w:type="dxa"/>
          <w:trHeight w:val="300"/>
        </w:trPr>
        <w:tc>
          <w:tcPr>
            <w:tcW w:w="2600" w:type="dxa"/>
            <w:tcBorders>
              <w:top w:val="nil"/>
              <w:left w:val="nil"/>
              <w:bottom w:val="nil"/>
              <w:right w:val="nil"/>
            </w:tcBorders>
            <w:shd w:val="clear" w:color="auto" w:fill="auto"/>
            <w:noWrap/>
            <w:vAlign w:val="bottom"/>
            <w:hideMark/>
          </w:tcPr>
          <w:p w14:paraId="33A30352" w14:textId="77777777" w:rsidR="00673773" w:rsidRPr="00673773" w:rsidRDefault="00673773" w:rsidP="004706F1">
            <w:pPr>
              <w:spacing w:after="0" w:line="240" w:lineRule="auto"/>
              <w:rPr>
                <w:rFonts w:ascii="Times New Roman" w:eastAsia="Times New Roman" w:hAnsi="Times New Roman" w:cs="Times New Roman"/>
                <w:color w:val="000000"/>
              </w:rPr>
            </w:pPr>
          </w:p>
        </w:tc>
        <w:tc>
          <w:tcPr>
            <w:tcW w:w="4640" w:type="dxa"/>
            <w:tcBorders>
              <w:top w:val="nil"/>
              <w:left w:val="nil"/>
              <w:bottom w:val="nil"/>
              <w:right w:val="nil"/>
            </w:tcBorders>
            <w:shd w:val="clear" w:color="auto" w:fill="auto"/>
            <w:noWrap/>
            <w:vAlign w:val="bottom"/>
            <w:hideMark/>
          </w:tcPr>
          <w:p w14:paraId="0FC31CF6" w14:textId="77777777" w:rsidR="00673773" w:rsidRPr="00673773" w:rsidRDefault="00673773" w:rsidP="004706F1">
            <w:pPr>
              <w:spacing w:after="0" w:line="240" w:lineRule="auto"/>
              <w:rPr>
                <w:rFonts w:ascii="Times New Roman" w:eastAsia="Times New Roman" w:hAnsi="Times New Roman" w:cs="Times New Roman"/>
                <w:color w:val="000000"/>
              </w:rPr>
            </w:pPr>
          </w:p>
        </w:tc>
      </w:tr>
      <w:tr w:rsidR="00673773" w:rsidRPr="00673773" w14:paraId="6F721872" w14:textId="77777777" w:rsidTr="004706F1">
        <w:trPr>
          <w:gridAfter w:val="2"/>
          <w:wAfter w:w="2210" w:type="dxa"/>
          <w:trHeight w:val="300"/>
        </w:trPr>
        <w:tc>
          <w:tcPr>
            <w:tcW w:w="7240" w:type="dxa"/>
            <w:gridSpan w:val="2"/>
            <w:tcBorders>
              <w:top w:val="nil"/>
              <w:left w:val="nil"/>
              <w:bottom w:val="nil"/>
              <w:right w:val="nil"/>
            </w:tcBorders>
            <w:shd w:val="clear" w:color="auto" w:fill="auto"/>
            <w:noWrap/>
            <w:vAlign w:val="bottom"/>
            <w:hideMark/>
          </w:tcPr>
          <w:p w14:paraId="2699A595" w14:textId="77777777" w:rsidR="00673773" w:rsidRPr="00673773" w:rsidRDefault="00673773" w:rsidP="004706F1">
            <w:pPr>
              <w:spacing w:after="0" w:line="240" w:lineRule="auto"/>
              <w:rPr>
                <w:rFonts w:ascii="Times New Roman" w:eastAsia="Times New Roman" w:hAnsi="Times New Roman" w:cs="Times New Roman"/>
                <w:color w:val="000000"/>
              </w:rPr>
            </w:pPr>
            <w:r w:rsidRPr="00673773">
              <w:rPr>
                <w:rFonts w:ascii="Times New Roman" w:eastAsia="Times New Roman" w:hAnsi="Times New Roman" w:cs="Times New Roman"/>
                <w:b/>
                <w:bCs/>
                <w:color w:val="000000"/>
              </w:rPr>
              <w:t>Baseline covariates by domain (measured before treatment selection)</w:t>
            </w:r>
          </w:p>
        </w:tc>
      </w:tr>
      <w:tr w:rsidR="00673773" w:rsidRPr="00673773" w14:paraId="331534AD" w14:textId="77777777" w:rsidTr="004706F1">
        <w:trPr>
          <w:trHeight w:val="300"/>
        </w:trPr>
        <w:tc>
          <w:tcPr>
            <w:tcW w:w="2600" w:type="dxa"/>
            <w:tcBorders>
              <w:top w:val="nil"/>
              <w:left w:val="nil"/>
              <w:bottom w:val="nil"/>
              <w:right w:val="nil"/>
            </w:tcBorders>
            <w:shd w:val="clear" w:color="auto" w:fill="auto"/>
            <w:noWrap/>
            <w:hideMark/>
          </w:tcPr>
          <w:p w14:paraId="0720CD05" w14:textId="77777777" w:rsidR="00673773" w:rsidRPr="00673773" w:rsidRDefault="00673773" w:rsidP="004706F1">
            <w:pPr>
              <w:pStyle w:val="BodyText"/>
              <w:rPr>
                <w:rFonts w:ascii="Times New Roman" w:hAnsi="Times New Roman"/>
                <w:bCs/>
                <w:i/>
                <w:sz w:val="22"/>
                <w:szCs w:val="22"/>
              </w:rPr>
            </w:pPr>
            <w:r w:rsidRPr="00673773">
              <w:rPr>
                <w:rFonts w:ascii="Times New Roman" w:hAnsi="Times New Roman"/>
                <w:bCs/>
                <w:i/>
                <w:sz w:val="22"/>
                <w:szCs w:val="22"/>
              </w:rPr>
              <w:t>Proxy-Pretests</w:t>
            </w:r>
          </w:p>
        </w:tc>
        <w:tc>
          <w:tcPr>
            <w:tcW w:w="6850" w:type="dxa"/>
            <w:gridSpan w:val="3"/>
            <w:tcBorders>
              <w:top w:val="nil"/>
              <w:left w:val="nil"/>
              <w:bottom w:val="nil"/>
              <w:right w:val="nil"/>
            </w:tcBorders>
            <w:shd w:val="clear" w:color="auto" w:fill="auto"/>
            <w:noWrap/>
            <w:hideMark/>
          </w:tcPr>
          <w:p w14:paraId="1065F92F" w14:textId="77777777" w:rsidR="00673773" w:rsidRPr="00673773" w:rsidRDefault="00673773" w:rsidP="004706F1">
            <w:pPr>
              <w:pStyle w:val="BodyText"/>
              <w:rPr>
                <w:rFonts w:ascii="Times New Roman" w:hAnsi="Times New Roman"/>
                <w:bCs/>
                <w:i/>
                <w:sz w:val="22"/>
                <w:szCs w:val="22"/>
              </w:rPr>
            </w:pPr>
          </w:p>
        </w:tc>
      </w:tr>
      <w:tr w:rsidR="00673773" w:rsidRPr="00673773" w14:paraId="308D1866" w14:textId="77777777" w:rsidTr="004706F1">
        <w:trPr>
          <w:trHeight w:val="300"/>
        </w:trPr>
        <w:tc>
          <w:tcPr>
            <w:tcW w:w="2600" w:type="dxa"/>
            <w:tcBorders>
              <w:top w:val="nil"/>
              <w:left w:val="nil"/>
              <w:bottom w:val="nil"/>
              <w:right w:val="nil"/>
            </w:tcBorders>
            <w:shd w:val="clear" w:color="auto" w:fill="auto"/>
            <w:noWrap/>
            <w:hideMark/>
          </w:tcPr>
          <w:p w14:paraId="4F9297F4"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vocabpre</w:t>
            </w:r>
            <w:proofErr w:type="spellEnd"/>
          </w:p>
        </w:tc>
        <w:tc>
          <w:tcPr>
            <w:tcW w:w="6850" w:type="dxa"/>
            <w:gridSpan w:val="3"/>
            <w:tcBorders>
              <w:top w:val="nil"/>
              <w:left w:val="nil"/>
              <w:bottom w:val="nil"/>
              <w:right w:val="nil"/>
            </w:tcBorders>
            <w:shd w:val="clear" w:color="auto" w:fill="auto"/>
            <w:noWrap/>
            <w:hideMark/>
          </w:tcPr>
          <w:p w14:paraId="45DC53F1"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Vocabulary Pretest (36-item Vocabulary Test II; Educational Testing Service, 1962, 1993))</w:t>
            </w:r>
          </w:p>
        </w:tc>
      </w:tr>
      <w:tr w:rsidR="00673773" w:rsidRPr="00673773" w14:paraId="3D3FE355" w14:textId="77777777" w:rsidTr="004706F1">
        <w:trPr>
          <w:trHeight w:val="300"/>
        </w:trPr>
        <w:tc>
          <w:tcPr>
            <w:tcW w:w="2600" w:type="dxa"/>
            <w:tcBorders>
              <w:top w:val="nil"/>
              <w:left w:val="nil"/>
              <w:bottom w:val="nil"/>
              <w:right w:val="nil"/>
            </w:tcBorders>
            <w:shd w:val="clear" w:color="auto" w:fill="auto"/>
            <w:noWrap/>
            <w:hideMark/>
          </w:tcPr>
          <w:p w14:paraId="2FEDBE59"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mathpre</w:t>
            </w:r>
            <w:proofErr w:type="spellEnd"/>
          </w:p>
        </w:tc>
        <w:tc>
          <w:tcPr>
            <w:tcW w:w="6850" w:type="dxa"/>
            <w:gridSpan w:val="3"/>
            <w:tcBorders>
              <w:top w:val="nil"/>
              <w:left w:val="nil"/>
              <w:bottom w:val="nil"/>
              <w:right w:val="nil"/>
            </w:tcBorders>
            <w:shd w:val="clear" w:color="auto" w:fill="auto"/>
            <w:noWrap/>
            <w:hideMark/>
          </w:tcPr>
          <w:p w14:paraId="4EAC2623"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Mathematics Pretest (15-item Arithmetic Aptitude Test; Educational Testing Service, 1962, 1993))</w:t>
            </w:r>
          </w:p>
        </w:tc>
      </w:tr>
      <w:tr w:rsidR="00673773" w:rsidRPr="00673773" w14:paraId="5E559F11" w14:textId="77777777" w:rsidTr="004706F1">
        <w:trPr>
          <w:trHeight w:val="300"/>
        </w:trPr>
        <w:tc>
          <w:tcPr>
            <w:tcW w:w="9450" w:type="dxa"/>
            <w:gridSpan w:val="4"/>
            <w:tcBorders>
              <w:top w:val="nil"/>
              <w:left w:val="nil"/>
              <w:bottom w:val="nil"/>
              <w:right w:val="nil"/>
            </w:tcBorders>
            <w:shd w:val="clear" w:color="auto" w:fill="auto"/>
            <w:noWrap/>
            <w:hideMark/>
          </w:tcPr>
          <w:p w14:paraId="57010CD1" w14:textId="77777777" w:rsidR="00673773" w:rsidRPr="00673773" w:rsidRDefault="00673773" w:rsidP="004706F1">
            <w:pPr>
              <w:pStyle w:val="BodyText"/>
              <w:rPr>
                <w:rFonts w:ascii="Times New Roman" w:hAnsi="Times New Roman"/>
                <w:bCs/>
                <w:i/>
                <w:sz w:val="22"/>
                <w:szCs w:val="22"/>
              </w:rPr>
            </w:pPr>
            <w:r w:rsidRPr="00673773">
              <w:rPr>
                <w:rFonts w:ascii="Times New Roman" w:hAnsi="Times New Roman"/>
                <w:bCs/>
                <w:i/>
                <w:sz w:val="22"/>
                <w:szCs w:val="22"/>
              </w:rPr>
              <w:t>Prior Academic Achievement</w:t>
            </w:r>
          </w:p>
        </w:tc>
      </w:tr>
      <w:tr w:rsidR="00673773" w:rsidRPr="00673773" w14:paraId="182B717E" w14:textId="77777777" w:rsidTr="004706F1">
        <w:trPr>
          <w:trHeight w:val="300"/>
        </w:trPr>
        <w:tc>
          <w:tcPr>
            <w:tcW w:w="2600" w:type="dxa"/>
            <w:tcBorders>
              <w:top w:val="nil"/>
              <w:left w:val="nil"/>
              <w:bottom w:val="nil"/>
              <w:right w:val="nil"/>
            </w:tcBorders>
            <w:shd w:val="clear" w:color="auto" w:fill="auto"/>
            <w:noWrap/>
          </w:tcPr>
          <w:p w14:paraId="15C433A8"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actcomp</w:t>
            </w:r>
            <w:proofErr w:type="spellEnd"/>
          </w:p>
        </w:tc>
        <w:tc>
          <w:tcPr>
            <w:tcW w:w="6850" w:type="dxa"/>
            <w:gridSpan w:val="3"/>
            <w:tcBorders>
              <w:top w:val="nil"/>
              <w:left w:val="nil"/>
              <w:bottom w:val="nil"/>
              <w:right w:val="nil"/>
            </w:tcBorders>
            <w:shd w:val="clear" w:color="auto" w:fill="auto"/>
            <w:noWrap/>
          </w:tcPr>
          <w:p w14:paraId="22FE7DC3"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ACT Comprehensive Score</w:t>
            </w:r>
          </w:p>
        </w:tc>
      </w:tr>
      <w:tr w:rsidR="00673773" w:rsidRPr="00673773" w14:paraId="1F85FA6D" w14:textId="77777777" w:rsidTr="004706F1">
        <w:trPr>
          <w:trHeight w:val="300"/>
        </w:trPr>
        <w:tc>
          <w:tcPr>
            <w:tcW w:w="2600" w:type="dxa"/>
            <w:tcBorders>
              <w:top w:val="nil"/>
              <w:left w:val="nil"/>
              <w:bottom w:val="nil"/>
              <w:right w:val="nil"/>
            </w:tcBorders>
            <w:shd w:val="clear" w:color="auto" w:fill="auto"/>
            <w:noWrap/>
          </w:tcPr>
          <w:p w14:paraId="55ADA578"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hsgpaar</w:t>
            </w:r>
            <w:proofErr w:type="spellEnd"/>
          </w:p>
        </w:tc>
        <w:tc>
          <w:tcPr>
            <w:tcW w:w="6850" w:type="dxa"/>
            <w:gridSpan w:val="3"/>
            <w:tcBorders>
              <w:top w:val="nil"/>
              <w:left w:val="nil"/>
              <w:bottom w:val="nil"/>
              <w:right w:val="nil"/>
            </w:tcBorders>
            <w:shd w:val="clear" w:color="auto" w:fill="auto"/>
            <w:noWrap/>
          </w:tcPr>
          <w:p w14:paraId="01B1DD5D"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High School GPA</w:t>
            </w:r>
          </w:p>
        </w:tc>
      </w:tr>
      <w:tr w:rsidR="00673773" w:rsidRPr="00673773" w14:paraId="6661DF9A" w14:textId="77777777" w:rsidTr="004706F1">
        <w:trPr>
          <w:trHeight w:val="300"/>
        </w:trPr>
        <w:tc>
          <w:tcPr>
            <w:tcW w:w="2600" w:type="dxa"/>
            <w:tcBorders>
              <w:top w:val="nil"/>
              <w:left w:val="nil"/>
              <w:bottom w:val="nil"/>
              <w:right w:val="nil"/>
            </w:tcBorders>
            <w:shd w:val="clear" w:color="auto" w:fill="auto"/>
            <w:noWrap/>
          </w:tcPr>
          <w:p w14:paraId="71E4DF92"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collgpaa</w:t>
            </w:r>
            <w:proofErr w:type="spellEnd"/>
          </w:p>
        </w:tc>
        <w:tc>
          <w:tcPr>
            <w:tcW w:w="6850" w:type="dxa"/>
            <w:gridSpan w:val="3"/>
            <w:tcBorders>
              <w:top w:val="nil"/>
              <w:left w:val="nil"/>
              <w:bottom w:val="nil"/>
              <w:right w:val="nil"/>
            </w:tcBorders>
            <w:shd w:val="clear" w:color="auto" w:fill="auto"/>
            <w:noWrap/>
          </w:tcPr>
          <w:p w14:paraId="7461C8D1"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College GPA</w:t>
            </w:r>
          </w:p>
        </w:tc>
      </w:tr>
      <w:tr w:rsidR="00673773" w:rsidRPr="00673773" w14:paraId="54AFC05C" w14:textId="77777777" w:rsidTr="004706F1">
        <w:trPr>
          <w:trHeight w:val="300"/>
        </w:trPr>
        <w:tc>
          <w:tcPr>
            <w:tcW w:w="9450" w:type="dxa"/>
            <w:gridSpan w:val="4"/>
            <w:tcBorders>
              <w:top w:val="nil"/>
              <w:left w:val="nil"/>
              <w:bottom w:val="nil"/>
              <w:right w:val="nil"/>
            </w:tcBorders>
            <w:shd w:val="clear" w:color="auto" w:fill="auto"/>
            <w:noWrap/>
            <w:hideMark/>
          </w:tcPr>
          <w:p w14:paraId="53CC0384" w14:textId="77777777" w:rsidR="00673773" w:rsidRPr="00673773" w:rsidRDefault="00673773" w:rsidP="004706F1">
            <w:pPr>
              <w:pStyle w:val="BodyText"/>
              <w:rPr>
                <w:rFonts w:ascii="Times New Roman" w:hAnsi="Times New Roman"/>
                <w:bCs/>
                <w:i/>
                <w:sz w:val="22"/>
                <w:szCs w:val="22"/>
              </w:rPr>
            </w:pPr>
            <w:r w:rsidRPr="00673773">
              <w:rPr>
                <w:rFonts w:ascii="Times New Roman" w:hAnsi="Times New Roman"/>
                <w:bCs/>
                <w:i/>
                <w:sz w:val="22"/>
                <w:szCs w:val="22"/>
              </w:rPr>
              <w:t>Topic Preference (Preference for Math or Literature)</w:t>
            </w:r>
          </w:p>
        </w:tc>
      </w:tr>
      <w:tr w:rsidR="00673773" w:rsidRPr="00673773" w14:paraId="66671431" w14:textId="77777777" w:rsidTr="004706F1">
        <w:trPr>
          <w:trHeight w:val="300"/>
        </w:trPr>
        <w:tc>
          <w:tcPr>
            <w:tcW w:w="2600" w:type="dxa"/>
            <w:tcBorders>
              <w:top w:val="nil"/>
              <w:left w:val="nil"/>
              <w:bottom w:val="nil"/>
              <w:right w:val="nil"/>
            </w:tcBorders>
            <w:shd w:val="clear" w:color="auto" w:fill="auto"/>
            <w:noWrap/>
            <w:hideMark/>
          </w:tcPr>
          <w:p w14:paraId="7573685A"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numbmath</w:t>
            </w:r>
            <w:proofErr w:type="spellEnd"/>
          </w:p>
        </w:tc>
        <w:tc>
          <w:tcPr>
            <w:tcW w:w="6850" w:type="dxa"/>
            <w:gridSpan w:val="3"/>
            <w:tcBorders>
              <w:top w:val="nil"/>
              <w:left w:val="nil"/>
              <w:bottom w:val="nil"/>
              <w:right w:val="nil"/>
            </w:tcBorders>
            <w:shd w:val="clear" w:color="auto" w:fill="auto"/>
            <w:noWrap/>
            <w:hideMark/>
          </w:tcPr>
          <w:p w14:paraId="67774A37"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Number of Prior Mathematics Courses</w:t>
            </w:r>
          </w:p>
        </w:tc>
      </w:tr>
      <w:tr w:rsidR="00673773" w:rsidRPr="00673773" w14:paraId="12607414" w14:textId="77777777" w:rsidTr="004706F1">
        <w:trPr>
          <w:trHeight w:val="300"/>
        </w:trPr>
        <w:tc>
          <w:tcPr>
            <w:tcW w:w="2600" w:type="dxa"/>
            <w:tcBorders>
              <w:top w:val="nil"/>
              <w:left w:val="nil"/>
              <w:bottom w:val="nil"/>
              <w:right w:val="nil"/>
            </w:tcBorders>
            <w:shd w:val="clear" w:color="auto" w:fill="auto"/>
            <w:noWrap/>
            <w:hideMark/>
          </w:tcPr>
          <w:p w14:paraId="1B7E9171"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likemath</w:t>
            </w:r>
            <w:proofErr w:type="spellEnd"/>
          </w:p>
        </w:tc>
        <w:tc>
          <w:tcPr>
            <w:tcW w:w="6850" w:type="dxa"/>
            <w:gridSpan w:val="3"/>
            <w:tcBorders>
              <w:top w:val="nil"/>
              <w:left w:val="nil"/>
              <w:bottom w:val="nil"/>
              <w:right w:val="nil"/>
            </w:tcBorders>
            <w:shd w:val="clear" w:color="auto" w:fill="auto"/>
            <w:noWrap/>
            <w:hideMark/>
          </w:tcPr>
          <w:p w14:paraId="619E5645"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Like Mathematics</w:t>
            </w:r>
          </w:p>
        </w:tc>
      </w:tr>
      <w:tr w:rsidR="00673773" w:rsidRPr="00673773" w14:paraId="357E4420" w14:textId="77777777" w:rsidTr="004706F1">
        <w:trPr>
          <w:trHeight w:val="300"/>
        </w:trPr>
        <w:tc>
          <w:tcPr>
            <w:tcW w:w="2600" w:type="dxa"/>
            <w:tcBorders>
              <w:top w:val="nil"/>
              <w:left w:val="nil"/>
              <w:bottom w:val="nil"/>
              <w:right w:val="nil"/>
            </w:tcBorders>
            <w:shd w:val="clear" w:color="auto" w:fill="auto"/>
            <w:noWrap/>
            <w:hideMark/>
          </w:tcPr>
          <w:p w14:paraId="1951E308"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likelit</w:t>
            </w:r>
            <w:proofErr w:type="spellEnd"/>
          </w:p>
        </w:tc>
        <w:tc>
          <w:tcPr>
            <w:tcW w:w="6850" w:type="dxa"/>
            <w:gridSpan w:val="3"/>
            <w:tcBorders>
              <w:top w:val="nil"/>
              <w:left w:val="nil"/>
              <w:bottom w:val="nil"/>
              <w:right w:val="nil"/>
            </w:tcBorders>
            <w:shd w:val="clear" w:color="auto" w:fill="auto"/>
            <w:noWrap/>
            <w:hideMark/>
          </w:tcPr>
          <w:p w14:paraId="757F737C"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Like Literature</w:t>
            </w:r>
          </w:p>
        </w:tc>
      </w:tr>
      <w:tr w:rsidR="00673773" w:rsidRPr="00673773" w14:paraId="6AC09173" w14:textId="77777777" w:rsidTr="004706F1">
        <w:trPr>
          <w:trHeight w:val="300"/>
        </w:trPr>
        <w:tc>
          <w:tcPr>
            <w:tcW w:w="2600" w:type="dxa"/>
            <w:tcBorders>
              <w:top w:val="nil"/>
              <w:left w:val="nil"/>
              <w:bottom w:val="nil"/>
              <w:right w:val="nil"/>
            </w:tcBorders>
            <w:shd w:val="clear" w:color="auto" w:fill="auto"/>
            <w:noWrap/>
            <w:hideMark/>
          </w:tcPr>
          <w:p w14:paraId="48083EA4"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preflit</w:t>
            </w:r>
            <w:proofErr w:type="spellEnd"/>
          </w:p>
        </w:tc>
        <w:tc>
          <w:tcPr>
            <w:tcW w:w="6850" w:type="dxa"/>
            <w:gridSpan w:val="3"/>
            <w:tcBorders>
              <w:top w:val="nil"/>
              <w:left w:val="nil"/>
              <w:bottom w:val="nil"/>
              <w:right w:val="nil"/>
            </w:tcBorders>
            <w:shd w:val="clear" w:color="auto" w:fill="auto"/>
            <w:noWrap/>
            <w:hideMark/>
          </w:tcPr>
          <w:p w14:paraId="7F57EA33"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Preferring Literature over Mathematics</w:t>
            </w:r>
          </w:p>
        </w:tc>
      </w:tr>
      <w:tr w:rsidR="00673773" w:rsidRPr="00673773" w14:paraId="63F105B5" w14:textId="77777777" w:rsidTr="004706F1">
        <w:trPr>
          <w:trHeight w:val="300"/>
        </w:trPr>
        <w:tc>
          <w:tcPr>
            <w:tcW w:w="2600" w:type="dxa"/>
            <w:tcBorders>
              <w:top w:val="nil"/>
              <w:left w:val="nil"/>
              <w:bottom w:val="nil"/>
              <w:right w:val="nil"/>
            </w:tcBorders>
            <w:shd w:val="clear" w:color="auto" w:fill="auto"/>
            <w:noWrap/>
          </w:tcPr>
          <w:p w14:paraId="7898CA68"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majormi</w:t>
            </w:r>
            <w:proofErr w:type="spellEnd"/>
          </w:p>
        </w:tc>
        <w:tc>
          <w:tcPr>
            <w:tcW w:w="6850" w:type="dxa"/>
            <w:gridSpan w:val="3"/>
            <w:tcBorders>
              <w:top w:val="nil"/>
              <w:left w:val="nil"/>
              <w:bottom w:val="nil"/>
              <w:right w:val="nil"/>
            </w:tcBorders>
            <w:shd w:val="clear" w:color="auto" w:fill="auto"/>
            <w:noWrap/>
          </w:tcPr>
          <w:p w14:paraId="1899EBA0"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Math-Intensive Major</w:t>
            </w:r>
          </w:p>
        </w:tc>
      </w:tr>
      <w:tr w:rsidR="00673773" w:rsidRPr="00673773" w14:paraId="073BF7F5" w14:textId="77777777" w:rsidTr="004706F1">
        <w:trPr>
          <w:trHeight w:val="300"/>
        </w:trPr>
        <w:tc>
          <w:tcPr>
            <w:tcW w:w="2600" w:type="dxa"/>
            <w:tcBorders>
              <w:top w:val="nil"/>
              <w:left w:val="nil"/>
              <w:bottom w:val="nil"/>
              <w:right w:val="nil"/>
            </w:tcBorders>
            <w:shd w:val="clear" w:color="auto" w:fill="auto"/>
            <w:noWrap/>
            <w:hideMark/>
          </w:tcPr>
          <w:p w14:paraId="3074CD84"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mars</w:t>
            </w:r>
          </w:p>
        </w:tc>
        <w:tc>
          <w:tcPr>
            <w:tcW w:w="6850" w:type="dxa"/>
            <w:gridSpan w:val="3"/>
            <w:tcBorders>
              <w:top w:val="nil"/>
              <w:left w:val="nil"/>
              <w:bottom w:val="nil"/>
              <w:right w:val="nil"/>
            </w:tcBorders>
            <w:shd w:val="clear" w:color="auto" w:fill="auto"/>
            <w:noWrap/>
            <w:hideMark/>
          </w:tcPr>
          <w:p w14:paraId="0BFD15DA"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 xml:space="preserve">Mathematics Anxiety Rating Scale </w:t>
            </w:r>
            <w:r w:rsidRPr="00673773">
              <w:rPr>
                <w:rFonts w:ascii="Times New Roman" w:hAnsi="Times New Roman"/>
                <w:sz w:val="22"/>
                <w:szCs w:val="22"/>
              </w:rPr>
              <w:t>(25 items; Faust, Ashcraft &amp; Fleck, 1996)</w:t>
            </w:r>
          </w:p>
        </w:tc>
      </w:tr>
      <w:tr w:rsidR="00673773" w:rsidRPr="00673773" w14:paraId="0EB1AC30" w14:textId="77777777" w:rsidTr="004706F1">
        <w:trPr>
          <w:trHeight w:val="300"/>
        </w:trPr>
        <w:tc>
          <w:tcPr>
            <w:tcW w:w="9450" w:type="dxa"/>
            <w:gridSpan w:val="4"/>
            <w:tcBorders>
              <w:top w:val="nil"/>
              <w:left w:val="nil"/>
              <w:bottom w:val="nil"/>
              <w:right w:val="nil"/>
            </w:tcBorders>
            <w:shd w:val="clear" w:color="auto" w:fill="auto"/>
            <w:noWrap/>
            <w:hideMark/>
          </w:tcPr>
          <w:p w14:paraId="22A4287B" w14:textId="77777777" w:rsidR="00673773" w:rsidRPr="00673773" w:rsidRDefault="00673773" w:rsidP="004706F1">
            <w:pPr>
              <w:pStyle w:val="BodyText"/>
              <w:rPr>
                <w:rFonts w:ascii="Times New Roman" w:hAnsi="Times New Roman"/>
                <w:bCs/>
                <w:i/>
                <w:sz w:val="22"/>
                <w:szCs w:val="22"/>
              </w:rPr>
            </w:pPr>
            <w:r w:rsidRPr="00673773">
              <w:rPr>
                <w:rFonts w:ascii="Times New Roman" w:hAnsi="Times New Roman"/>
                <w:bCs/>
                <w:i/>
                <w:sz w:val="22"/>
                <w:szCs w:val="22"/>
              </w:rPr>
              <w:t>Psychological Predisposition</w:t>
            </w:r>
          </w:p>
        </w:tc>
      </w:tr>
      <w:tr w:rsidR="00673773" w:rsidRPr="00673773" w14:paraId="716D0BDF" w14:textId="77777777" w:rsidTr="004706F1">
        <w:trPr>
          <w:trHeight w:val="300"/>
        </w:trPr>
        <w:tc>
          <w:tcPr>
            <w:tcW w:w="2600" w:type="dxa"/>
            <w:tcBorders>
              <w:top w:val="nil"/>
              <w:left w:val="nil"/>
              <w:bottom w:val="nil"/>
              <w:right w:val="nil"/>
            </w:tcBorders>
            <w:shd w:val="clear" w:color="auto" w:fill="auto"/>
            <w:noWrap/>
            <w:hideMark/>
          </w:tcPr>
          <w:p w14:paraId="51275513"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pextra</w:t>
            </w:r>
            <w:proofErr w:type="spellEnd"/>
          </w:p>
        </w:tc>
        <w:tc>
          <w:tcPr>
            <w:tcW w:w="6850" w:type="dxa"/>
            <w:gridSpan w:val="3"/>
            <w:tcBorders>
              <w:top w:val="nil"/>
              <w:left w:val="nil"/>
              <w:bottom w:val="nil"/>
              <w:right w:val="nil"/>
            </w:tcBorders>
            <w:shd w:val="clear" w:color="auto" w:fill="auto"/>
            <w:noWrap/>
            <w:hideMark/>
          </w:tcPr>
          <w:p w14:paraId="6CF7971C"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Extroversion (10 items; big 5 personality factors, Goldberg, 1999)</w:t>
            </w:r>
          </w:p>
        </w:tc>
      </w:tr>
      <w:tr w:rsidR="00673773" w:rsidRPr="00673773" w14:paraId="72348441" w14:textId="77777777" w:rsidTr="004706F1">
        <w:trPr>
          <w:trHeight w:val="300"/>
        </w:trPr>
        <w:tc>
          <w:tcPr>
            <w:tcW w:w="2600" w:type="dxa"/>
            <w:tcBorders>
              <w:top w:val="nil"/>
              <w:left w:val="nil"/>
              <w:bottom w:val="nil"/>
              <w:right w:val="nil"/>
            </w:tcBorders>
            <w:shd w:val="clear" w:color="auto" w:fill="auto"/>
            <w:noWrap/>
            <w:hideMark/>
          </w:tcPr>
          <w:p w14:paraId="7F6D7034"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pagree</w:t>
            </w:r>
            <w:proofErr w:type="spellEnd"/>
          </w:p>
        </w:tc>
        <w:tc>
          <w:tcPr>
            <w:tcW w:w="6850" w:type="dxa"/>
            <w:gridSpan w:val="3"/>
            <w:tcBorders>
              <w:top w:val="nil"/>
              <w:left w:val="nil"/>
              <w:bottom w:val="nil"/>
              <w:right w:val="nil"/>
            </w:tcBorders>
            <w:shd w:val="clear" w:color="auto" w:fill="auto"/>
            <w:noWrap/>
            <w:hideMark/>
          </w:tcPr>
          <w:p w14:paraId="24768762"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Agreeableness (10 items; big 5 personality factors; Goldberg, 1999)</w:t>
            </w:r>
          </w:p>
        </w:tc>
      </w:tr>
      <w:tr w:rsidR="00673773" w:rsidRPr="00673773" w14:paraId="01F17DC1" w14:textId="77777777" w:rsidTr="004706F1">
        <w:trPr>
          <w:trHeight w:val="300"/>
        </w:trPr>
        <w:tc>
          <w:tcPr>
            <w:tcW w:w="2600" w:type="dxa"/>
            <w:tcBorders>
              <w:top w:val="nil"/>
              <w:left w:val="nil"/>
              <w:bottom w:val="nil"/>
              <w:right w:val="nil"/>
            </w:tcBorders>
            <w:shd w:val="clear" w:color="auto" w:fill="auto"/>
            <w:noWrap/>
            <w:hideMark/>
          </w:tcPr>
          <w:p w14:paraId="63C2A0A8"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pconsc</w:t>
            </w:r>
            <w:proofErr w:type="spellEnd"/>
          </w:p>
        </w:tc>
        <w:tc>
          <w:tcPr>
            <w:tcW w:w="6850" w:type="dxa"/>
            <w:gridSpan w:val="3"/>
            <w:tcBorders>
              <w:top w:val="nil"/>
              <w:left w:val="nil"/>
              <w:bottom w:val="nil"/>
              <w:right w:val="nil"/>
            </w:tcBorders>
            <w:shd w:val="clear" w:color="auto" w:fill="auto"/>
            <w:noWrap/>
            <w:hideMark/>
          </w:tcPr>
          <w:p w14:paraId="3C9A2E5D"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Conscientiousness (10 items; big 5 personality factors; Goldberg, 1999)</w:t>
            </w:r>
          </w:p>
        </w:tc>
      </w:tr>
      <w:tr w:rsidR="00673773" w:rsidRPr="00673773" w14:paraId="6A05FBA8" w14:textId="77777777" w:rsidTr="004706F1">
        <w:trPr>
          <w:trHeight w:val="300"/>
        </w:trPr>
        <w:tc>
          <w:tcPr>
            <w:tcW w:w="2600" w:type="dxa"/>
            <w:tcBorders>
              <w:top w:val="nil"/>
              <w:left w:val="nil"/>
              <w:bottom w:val="nil"/>
              <w:right w:val="nil"/>
            </w:tcBorders>
            <w:shd w:val="clear" w:color="auto" w:fill="auto"/>
            <w:noWrap/>
            <w:hideMark/>
          </w:tcPr>
          <w:p w14:paraId="28721208"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pemot</w:t>
            </w:r>
            <w:proofErr w:type="spellEnd"/>
          </w:p>
        </w:tc>
        <w:tc>
          <w:tcPr>
            <w:tcW w:w="6850" w:type="dxa"/>
            <w:gridSpan w:val="3"/>
            <w:tcBorders>
              <w:top w:val="nil"/>
              <w:left w:val="nil"/>
              <w:bottom w:val="nil"/>
              <w:right w:val="nil"/>
            </w:tcBorders>
            <w:shd w:val="clear" w:color="auto" w:fill="auto"/>
            <w:noWrap/>
            <w:hideMark/>
          </w:tcPr>
          <w:p w14:paraId="3B2A8A3C"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Emotionality (10 items; big 5 personality factors; Goldberg, 1999)</w:t>
            </w:r>
          </w:p>
        </w:tc>
      </w:tr>
      <w:tr w:rsidR="00673773" w:rsidRPr="00673773" w14:paraId="51B7E943" w14:textId="77777777" w:rsidTr="004706F1">
        <w:trPr>
          <w:trHeight w:val="300"/>
        </w:trPr>
        <w:tc>
          <w:tcPr>
            <w:tcW w:w="2600" w:type="dxa"/>
            <w:tcBorders>
              <w:top w:val="nil"/>
              <w:left w:val="nil"/>
              <w:bottom w:val="nil"/>
              <w:right w:val="nil"/>
            </w:tcBorders>
            <w:shd w:val="clear" w:color="auto" w:fill="auto"/>
            <w:noWrap/>
            <w:hideMark/>
          </w:tcPr>
          <w:p w14:paraId="02945066"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lastRenderedPageBreak/>
              <w:t>pintell</w:t>
            </w:r>
            <w:proofErr w:type="spellEnd"/>
          </w:p>
        </w:tc>
        <w:tc>
          <w:tcPr>
            <w:tcW w:w="6850" w:type="dxa"/>
            <w:gridSpan w:val="3"/>
            <w:tcBorders>
              <w:top w:val="nil"/>
              <w:left w:val="nil"/>
              <w:bottom w:val="nil"/>
              <w:right w:val="nil"/>
            </w:tcBorders>
            <w:shd w:val="clear" w:color="auto" w:fill="auto"/>
            <w:noWrap/>
            <w:hideMark/>
          </w:tcPr>
          <w:p w14:paraId="0EDD0FE8"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Intellect/Imagination (10 items; big 5 personality factors; Goldberg, 1999)</w:t>
            </w:r>
          </w:p>
        </w:tc>
      </w:tr>
      <w:tr w:rsidR="00673773" w:rsidRPr="00673773" w14:paraId="308D19C5" w14:textId="77777777" w:rsidTr="004706F1">
        <w:trPr>
          <w:trHeight w:val="300"/>
        </w:trPr>
        <w:tc>
          <w:tcPr>
            <w:tcW w:w="2600" w:type="dxa"/>
            <w:tcBorders>
              <w:top w:val="nil"/>
              <w:left w:val="nil"/>
              <w:bottom w:val="nil"/>
              <w:right w:val="nil"/>
            </w:tcBorders>
            <w:shd w:val="clear" w:color="auto" w:fill="auto"/>
            <w:noWrap/>
          </w:tcPr>
          <w:p w14:paraId="177C7FBE"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beck</w:t>
            </w:r>
          </w:p>
        </w:tc>
        <w:tc>
          <w:tcPr>
            <w:tcW w:w="6850" w:type="dxa"/>
            <w:gridSpan w:val="3"/>
            <w:tcBorders>
              <w:top w:val="nil"/>
              <w:left w:val="nil"/>
              <w:bottom w:val="nil"/>
              <w:right w:val="nil"/>
            </w:tcBorders>
            <w:shd w:val="clear" w:color="auto" w:fill="auto"/>
            <w:noWrap/>
          </w:tcPr>
          <w:p w14:paraId="1E3D4BAE"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Beck Depression Scale (13 items; Beck &amp; Beck, 1972)</w:t>
            </w:r>
          </w:p>
        </w:tc>
      </w:tr>
      <w:tr w:rsidR="00673773" w:rsidRPr="00673773" w14:paraId="5953CE61" w14:textId="77777777" w:rsidTr="004706F1">
        <w:trPr>
          <w:trHeight w:val="300"/>
        </w:trPr>
        <w:tc>
          <w:tcPr>
            <w:tcW w:w="2600" w:type="dxa"/>
            <w:tcBorders>
              <w:top w:val="nil"/>
              <w:left w:val="nil"/>
              <w:bottom w:val="nil"/>
              <w:right w:val="nil"/>
            </w:tcBorders>
            <w:shd w:val="clear" w:color="auto" w:fill="auto"/>
            <w:noWrap/>
          </w:tcPr>
          <w:p w14:paraId="30225FF4" w14:textId="77777777" w:rsidR="00673773" w:rsidRPr="00673773" w:rsidRDefault="00673773" w:rsidP="004706F1">
            <w:pPr>
              <w:pStyle w:val="BodyText"/>
              <w:rPr>
                <w:rFonts w:ascii="Times New Roman" w:hAnsi="Times New Roman"/>
                <w:bCs/>
                <w:i/>
                <w:sz w:val="22"/>
                <w:szCs w:val="22"/>
              </w:rPr>
            </w:pPr>
            <w:r w:rsidRPr="00673773">
              <w:rPr>
                <w:rFonts w:ascii="Times New Roman" w:hAnsi="Times New Roman"/>
                <w:bCs/>
                <w:i/>
                <w:sz w:val="22"/>
                <w:szCs w:val="22"/>
              </w:rPr>
              <w:t>Demographics</w:t>
            </w:r>
          </w:p>
        </w:tc>
        <w:tc>
          <w:tcPr>
            <w:tcW w:w="6850" w:type="dxa"/>
            <w:gridSpan w:val="3"/>
            <w:tcBorders>
              <w:top w:val="nil"/>
              <w:left w:val="nil"/>
              <w:bottom w:val="nil"/>
              <w:right w:val="nil"/>
            </w:tcBorders>
            <w:shd w:val="clear" w:color="auto" w:fill="auto"/>
            <w:noWrap/>
          </w:tcPr>
          <w:p w14:paraId="31C7CEC3" w14:textId="77777777" w:rsidR="00673773" w:rsidRPr="00673773" w:rsidRDefault="00673773" w:rsidP="004706F1">
            <w:pPr>
              <w:pStyle w:val="BodyText"/>
              <w:rPr>
                <w:rFonts w:ascii="Times New Roman" w:hAnsi="Times New Roman"/>
                <w:bCs/>
                <w:i/>
                <w:sz w:val="22"/>
                <w:szCs w:val="22"/>
              </w:rPr>
            </w:pPr>
          </w:p>
        </w:tc>
      </w:tr>
      <w:tr w:rsidR="00673773" w:rsidRPr="00673773" w14:paraId="0C60BFFB" w14:textId="77777777" w:rsidTr="004706F1">
        <w:trPr>
          <w:trHeight w:val="300"/>
        </w:trPr>
        <w:tc>
          <w:tcPr>
            <w:tcW w:w="2600" w:type="dxa"/>
            <w:tcBorders>
              <w:top w:val="nil"/>
              <w:left w:val="nil"/>
              <w:bottom w:val="nil"/>
              <w:right w:val="nil"/>
            </w:tcBorders>
            <w:shd w:val="clear" w:color="auto" w:fill="auto"/>
            <w:noWrap/>
          </w:tcPr>
          <w:p w14:paraId="7F213A46"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cauc</w:t>
            </w:r>
            <w:proofErr w:type="spellEnd"/>
          </w:p>
        </w:tc>
        <w:tc>
          <w:tcPr>
            <w:tcW w:w="6850" w:type="dxa"/>
            <w:gridSpan w:val="3"/>
            <w:tcBorders>
              <w:top w:val="nil"/>
              <w:left w:val="nil"/>
              <w:bottom w:val="nil"/>
              <w:right w:val="nil"/>
            </w:tcBorders>
            <w:shd w:val="clear" w:color="auto" w:fill="auto"/>
            <w:noWrap/>
          </w:tcPr>
          <w:p w14:paraId="38C583DE"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Race/Ethnicity: Caucasian (dummy)</w:t>
            </w:r>
          </w:p>
        </w:tc>
      </w:tr>
      <w:tr w:rsidR="00673773" w:rsidRPr="00673773" w14:paraId="619D4B81" w14:textId="77777777" w:rsidTr="004706F1">
        <w:trPr>
          <w:trHeight w:val="300"/>
        </w:trPr>
        <w:tc>
          <w:tcPr>
            <w:tcW w:w="2600" w:type="dxa"/>
            <w:tcBorders>
              <w:top w:val="nil"/>
              <w:left w:val="nil"/>
              <w:bottom w:val="nil"/>
              <w:right w:val="nil"/>
            </w:tcBorders>
            <w:shd w:val="clear" w:color="auto" w:fill="auto"/>
            <w:noWrap/>
          </w:tcPr>
          <w:p w14:paraId="76B1BBF9" w14:textId="77777777" w:rsidR="00673773" w:rsidRPr="00673773" w:rsidRDefault="00673773" w:rsidP="004706F1">
            <w:pPr>
              <w:pStyle w:val="BodyText"/>
              <w:rPr>
                <w:rFonts w:ascii="Times New Roman" w:hAnsi="Times New Roman"/>
                <w:bCs/>
                <w:i/>
                <w:sz w:val="22"/>
                <w:szCs w:val="22"/>
              </w:rPr>
            </w:pPr>
            <w:proofErr w:type="spellStart"/>
            <w:r w:rsidRPr="00673773">
              <w:rPr>
                <w:rFonts w:ascii="Times New Roman" w:hAnsi="Times New Roman"/>
                <w:bCs/>
                <w:sz w:val="22"/>
                <w:szCs w:val="22"/>
              </w:rPr>
              <w:t>afram</w:t>
            </w:r>
            <w:proofErr w:type="spellEnd"/>
          </w:p>
        </w:tc>
        <w:tc>
          <w:tcPr>
            <w:tcW w:w="6850" w:type="dxa"/>
            <w:gridSpan w:val="3"/>
            <w:tcBorders>
              <w:top w:val="nil"/>
              <w:left w:val="nil"/>
              <w:bottom w:val="nil"/>
              <w:right w:val="nil"/>
            </w:tcBorders>
            <w:shd w:val="clear" w:color="auto" w:fill="auto"/>
            <w:noWrap/>
          </w:tcPr>
          <w:p w14:paraId="1B853DB7"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Race/Ethnicity: African-American (dummy)</w:t>
            </w:r>
          </w:p>
        </w:tc>
      </w:tr>
      <w:tr w:rsidR="00673773" w:rsidRPr="00673773" w14:paraId="2D50B748" w14:textId="77777777" w:rsidTr="004706F1">
        <w:trPr>
          <w:trHeight w:val="300"/>
        </w:trPr>
        <w:tc>
          <w:tcPr>
            <w:tcW w:w="2600" w:type="dxa"/>
            <w:tcBorders>
              <w:top w:val="nil"/>
              <w:left w:val="nil"/>
              <w:bottom w:val="nil"/>
              <w:right w:val="nil"/>
            </w:tcBorders>
            <w:shd w:val="clear" w:color="auto" w:fill="auto"/>
            <w:noWrap/>
          </w:tcPr>
          <w:p w14:paraId="6A666C47" w14:textId="77777777" w:rsidR="00673773" w:rsidRPr="00673773" w:rsidRDefault="00673773" w:rsidP="004706F1">
            <w:pPr>
              <w:pStyle w:val="BodyText"/>
              <w:rPr>
                <w:rFonts w:ascii="Times New Roman" w:hAnsi="Times New Roman"/>
                <w:bCs/>
                <w:i/>
                <w:sz w:val="22"/>
                <w:szCs w:val="22"/>
              </w:rPr>
            </w:pPr>
            <w:r w:rsidRPr="00673773">
              <w:rPr>
                <w:rFonts w:ascii="Times New Roman" w:hAnsi="Times New Roman"/>
                <w:bCs/>
                <w:sz w:val="22"/>
                <w:szCs w:val="22"/>
              </w:rPr>
              <w:t>other</w:t>
            </w:r>
          </w:p>
        </w:tc>
        <w:tc>
          <w:tcPr>
            <w:tcW w:w="6850" w:type="dxa"/>
            <w:gridSpan w:val="3"/>
            <w:tcBorders>
              <w:top w:val="nil"/>
              <w:left w:val="nil"/>
              <w:bottom w:val="nil"/>
              <w:right w:val="nil"/>
            </w:tcBorders>
            <w:shd w:val="clear" w:color="auto" w:fill="auto"/>
            <w:noWrap/>
          </w:tcPr>
          <w:p w14:paraId="7654C684"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Race/Ethnicity: Other ethnicity (dummy)</w:t>
            </w:r>
          </w:p>
        </w:tc>
      </w:tr>
      <w:tr w:rsidR="00673773" w:rsidRPr="00673773" w14:paraId="580D9134" w14:textId="77777777" w:rsidTr="004706F1">
        <w:trPr>
          <w:trHeight w:val="300"/>
        </w:trPr>
        <w:tc>
          <w:tcPr>
            <w:tcW w:w="2600" w:type="dxa"/>
            <w:tcBorders>
              <w:top w:val="nil"/>
              <w:left w:val="nil"/>
              <w:bottom w:val="nil"/>
              <w:right w:val="nil"/>
            </w:tcBorders>
            <w:shd w:val="clear" w:color="auto" w:fill="auto"/>
            <w:noWrap/>
          </w:tcPr>
          <w:p w14:paraId="0C940C6B" w14:textId="77777777" w:rsidR="00673773" w:rsidRPr="00673773" w:rsidRDefault="00673773" w:rsidP="004706F1">
            <w:pPr>
              <w:pStyle w:val="BodyText"/>
              <w:rPr>
                <w:rFonts w:ascii="Times New Roman" w:hAnsi="Times New Roman"/>
                <w:bCs/>
                <w:i/>
                <w:sz w:val="22"/>
                <w:szCs w:val="22"/>
              </w:rPr>
            </w:pPr>
            <w:r w:rsidRPr="00673773">
              <w:rPr>
                <w:rFonts w:ascii="Times New Roman" w:hAnsi="Times New Roman"/>
                <w:bCs/>
                <w:sz w:val="22"/>
                <w:szCs w:val="22"/>
              </w:rPr>
              <w:t>age</w:t>
            </w:r>
          </w:p>
        </w:tc>
        <w:tc>
          <w:tcPr>
            <w:tcW w:w="6850" w:type="dxa"/>
            <w:gridSpan w:val="3"/>
            <w:tcBorders>
              <w:top w:val="nil"/>
              <w:left w:val="nil"/>
              <w:bottom w:val="nil"/>
              <w:right w:val="nil"/>
            </w:tcBorders>
            <w:shd w:val="clear" w:color="auto" w:fill="auto"/>
            <w:noWrap/>
          </w:tcPr>
          <w:p w14:paraId="26AD0E62"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Age</w:t>
            </w:r>
          </w:p>
        </w:tc>
      </w:tr>
      <w:tr w:rsidR="00673773" w:rsidRPr="00673773" w14:paraId="76811A47" w14:textId="77777777" w:rsidTr="004706F1">
        <w:trPr>
          <w:trHeight w:val="300"/>
        </w:trPr>
        <w:tc>
          <w:tcPr>
            <w:tcW w:w="2600" w:type="dxa"/>
            <w:tcBorders>
              <w:top w:val="nil"/>
              <w:left w:val="nil"/>
              <w:bottom w:val="nil"/>
              <w:right w:val="nil"/>
            </w:tcBorders>
            <w:shd w:val="clear" w:color="auto" w:fill="auto"/>
            <w:noWrap/>
          </w:tcPr>
          <w:p w14:paraId="1B885C4C"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male</w:t>
            </w:r>
          </w:p>
        </w:tc>
        <w:tc>
          <w:tcPr>
            <w:tcW w:w="6850" w:type="dxa"/>
            <w:gridSpan w:val="3"/>
            <w:tcBorders>
              <w:top w:val="nil"/>
              <w:left w:val="nil"/>
              <w:bottom w:val="nil"/>
              <w:right w:val="nil"/>
            </w:tcBorders>
            <w:shd w:val="clear" w:color="auto" w:fill="auto"/>
            <w:noWrap/>
          </w:tcPr>
          <w:p w14:paraId="5949925F"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Sex: male (dummy)</w:t>
            </w:r>
          </w:p>
        </w:tc>
      </w:tr>
      <w:tr w:rsidR="00673773" w:rsidRPr="00673773" w14:paraId="5F04ACCE" w14:textId="77777777" w:rsidTr="004706F1">
        <w:trPr>
          <w:trHeight w:val="300"/>
        </w:trPr>
        <w:tc>
          <w:tcPr>
            <w:tcW w:w="2600" w:type="dxa"/>
            <w:tcBorders>
              <w:top w:val="nil"/>
              <w:left w:val="nil"/>
              <w:bottom w:val="nil"/>
              <w:right w:val="nil"/>
            </w:tcBorders>
            <w:shd w:val="clear" w:color="auto" w:fill="auto"/>
            <w:noWrap/>
          </w:tcPr>
          <w:p w14:paraId="51DA18D7"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married</w:t>
            </w:r>
          </w:p>
        </w:tc>
        <w:tc>
          <w:tcPr>
            <w:tcW w:w="6850" w:type="dxa"/>
            <w:gridSpan w:val="3"/>
            <w:tcBorders>
              <w:top w:val="nil"/>
              <w:left w:val="nil"/>
              <w:bottom w:val="nil"/>
              <w:right w:val="nil"/>
            </w:tcBorders>
            <w:shd w:val="clear" w:color="auto" w:fill="auto"/>
            <w:noWrap/>
          </w:tcPr>
          <w:p w14:paraId="36F7E478"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Marital status: married (dummy)</w:t>
            </w:r>
          </w:p>
        </w:tc>
      </w:tr>
      <w:tr w:rsidR="00673773" w:rsidRPr="00673773" w14:paraId="448A5BE5" w14:textId="77777777" w:rsidTr="004706F1">
        <w:trPr>
          <w:trHeight w:val="300"/>
        </w:trPr>
        <w:tc>
          <w:tcPr>
            <w:tcW w:w="2600" w:type="dxa"/>
            <w:tcBorders>
              <w:top w:val="nil"/>
              <w:left w:val="nil"/>
              <w:bottom w:val="nil"/>
              <w:right w:val="nil"/>
            </w:tcBorders>
            <w:shd w:val="clear" w:color="auto" w:fill="auto"/>
            <w:noWrap/>
          </w:tcPr>
          <w:p w14:paraId="5166332D"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momdegr</w:t>
            </w:r>
            <w:proofErr w:type="spellEnd"/>
          </w:p>
        </w:tc>
        <w:tc>
          <w:tcPr>
            <w:tcW w:w="6850" w:type="dxa"/>
            <w:gridSpan w:val="3"/>
            <w:tcBorders>
              <w:top w:val="nil"/>
              <w:left w:val="nil"/>
              <w:bottom w:val="nil"/>
              <w:right w:val="nil"/>
            </w:tcBorders>
            <w:shd w:val="clear" w:color="auto" w:fill="auto"/>
            <w:noWrap/>
          </w:tcPr>
          <w:p w14:paraId="58C6251B"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Mother’s Education (presumably measured with low reliability)</w:t>
            </w:r>
          </w:p>
        </w:tc>
      </w:tr>
      <w:tr w:rsidR="00673773" w:rsidRPr="00673773" w14:paraId="5A428B09" w14:textId="77777777" w:rsidTr="004706F1">
        <w:trPr>
          <w:trHeight w:val="300"/>
        </w:trPr>
        <w:tc>
          <w:tcPr>
            <w:tcW w:w="2600" w:type="dxa"/>
            <w:tcBorders>
              <w:top w:val="nil"/>
              <w:left w:val="nil"/>
              <w:bottom w:val="nil"/>
              <w:right w:val="nil"/>
            </w:tcBorders>
            <w:shd w:val="clear" w:color="auto" w:fill="auto"/>
            <w:noWrap/>
          </w:tcPr>
          <w:p w14:paraId="0AF426ED" w14:textId="77777777" w:rsidR="00673773" w:rsidRPr="00673773" w:rsidRDefault="00673773" w:rsidP="004706F1">
            <w:pPr>
              <w:pStyle w:val="BodyText"/>
              <w:rPr>
                <w:rFonts w:ascii="Times New Roman" w:hAnsi="Times New Roman"/>
                <w:bCs/>
                <w:sz w:val="22"/>
                <w:szCs w:val="22"/>
              </w:rPr>
            </w:pPr>
            <w:proofErr w:type="spellStart"/>
            <w:r w:rsidRPr="00673773">
              <w:rPr>
                <w:rFonts w:ascii="Times New Roman" w:hAnsi="Times New Roman"/>
                <w:bCs/>
                <w:sz w:val="22"/>
                <w:szCs w:val="22"/>
              </w:rPr>
              <w:t>daddegr</w:t>
            </w:r>
            <w:proofErr w:type="spellEnd"/>
          </w:p>
        </w:tc>
        <w:tc>
          <w:tcPr>
            <w:tcW w:w="6850" w:type="dxa"/>
            <w:gridSpan w:val="3"/>
            <w:tcBorders>
              <w:top w:val="nil"/>
              <w:left w:val="nil"/>
              <w:bottom w:val="nil"/>
              <w:right w:val="nil"/>
            </w:tcBorders>
            <w:shd w:val="clear" w:color="auto" w:fill="auto"/>
            <w:noWrap/>
          </w:tcPr>
          <w:p w14:paraId="5386178E"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Father’s Education (presumably measured with low reliability)</w:t>
            </w:r>
          </w:p>
        </w:tc>
      </w:tr>
      <w:tr w:rsidR="00673773" w:rsidRPr="00673773" w14:paraId="37A6E945" w14:textId="77777777" w:rsidTr="00673773">
        <w:trPr>
          <w:trHeight w:val="630"/>
        </w:trPr>
        <w:tc>
          <w:tcPr>
            <w:tcW w:w="2600" w:type="dxa"/>
            <w:tcBorders>
              <w:top w:val="nil"/>
              <w:left w:val="nil"/>
              <w:bottom w:val="nil"/>
              <w:right w:val="nil"/>
            </w:tcBorders>
            <w:shd w:val="clear" w:color="auto" w:fill="auto"/>
            <w:noWrap/>
          </w:tcPr>
          <w:p w14:paraId="45DCBA0D"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credit</w:t>
            </w:r>
          </w:p>
        </w:tc>
        <w:tc>
          <w:tcPr>
            <w:tcW w:w="6850" w:type="dxa"/>
            <w:gridSpan w:val="3"/>
            <w:tcBorders>
              <w:top w:val="nil"/>
              <w:left w:val="nil"/>
              <w:bottom w:val="nil"/>
              <w:right w:val="nil"/>
            </w:tcBorders>
            <w:shd w:val="clear" w:color="auto" w:fill="auto"/>
            <w:noWrap/>
          </w:tcPr>
          <w:p w14:paraId="3FDA6023" w14:textId="77777777" w:rsidR="00673773" w:rsidRPr="00673773" w:rsidRDefault="00673773" w:rsidP="004706F1">
            <w:pPr>
              <w:pStyle w:val="BodyText"/>
              <w:rPr>
                <w:rFonts w:ascii="Times New Roman" w:hAnsi="Times New Roman"/>
                <w:bCs/>
                <w:sz w:val="22"/>
                <w:szCs w:val="22"/>
              </w:rPr>
            </w:pPr>
            <w:r w:rsidRPr="00673773">
              <w:rPr>
                <w:rFonts w:ascii="Times New Roman" w:hAnsi="Times New Roman"/>
                <w:bCs/>
                <w:sz w:val="22"/>
                <w:szCs w:val="22"/>
              </w:rPr>
              <w:t>College Credit Hours</w:t>
            </w:r>
          </w:p>
        </w:tc>
      </w:tr>
    </w:tbl>
    <w:p w14:paraId="6396EDDA" w14:textId="77777777" w:rsidR="00673773" w:rsidRDefault="00673773"/>
    <w:sectPr w:rsidR="00673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42"/>
    <w:rsid w:val="00673773"/>
    <w:rsid w:val="00BC2542"/>
    <w:rsid w:val="00EB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7E95"/>
  <w15:chartTrackingRefBased/>
  <w15:docId w15:val="{39FE1CDC-A6E0-4B1C-9E8B-DA9462A8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542"/>
    <w:rPr>
      <w:color w:val="0563C1" w:themeColor="hyperlink"/>
      <w:u w:val="single"/>
    </w:rPr>
  </w:style>
  <w:style w:type="character" w:styleId="UnresolvedMention">
    <w:name w:val="Unresolved Mention"/>
    <w:basedOn w:val="DefaultParagraphFont"/>
    <w:uiPriority w:val="99"/>
    <w:semiHidden/>
    <w:unhideWhenUsed/>
    <w:rsid w:val="00BC2542"/>
    <w:rPr>
      <w:color w:val="605E5C"/>
      <w:shd w:val="clear" w:color="auto" w:fill="E1DFDD"/>
    </w:rPr>
  </w:style>
  <w:style w:type="paragraph" w:styleId="BodyText">
    <w:name w:val="Body Text"/>
    <w:basedOn w:val="Normal"/>
    <w:link w:val="BodyTextChar"/>
    <w:semiHidden/>
    <w:rsid w:val="00673773"/>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semiHidden/>
    <w:rsid w:val="00673773"/>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98/016214508000000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 Irlbacher</dc:creator>
  <cp:keywords/>
  <dc:description/>
  <cp:lastModifiedBy>Lizzie Irlbacher</cp:lastModifiedBy>
  <cp:revision>2</cp:revision>
  <dcterms:created xsi:type="dcterms:W3CDTF">2021-10-12T01:08:00Z</dcterms:created>
  <dcterms:modified xsi:type="dcterms:W3CDTF">2021-10-12T14:44:00Z</dcterms:modified>
</cp:coreProperties>
</file>