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60" w:before="200"/>
        <w:jc w:val="center"/>
      </w:pPr>
      <w:r>
        <w:rPr>
          <w:rFonts w:ascii="Arial" w:cs="Arial" w:eastAsia="Arial" w:hAnsi="Arial"/>
          <w:b/>
          <w:bCs/>
          <w:color w:val="1A7A3C"/>
          <w:sz w:val="56"/>
          <w:szCs w:val="56"/>
        </w:rPr>
        <w:t xml:space="preserve">APERT VISION</w:t>
      </w:r>
    </w:p>
    <w:p>
      <w:pPr>
        <w:spacing w:after="80" w:before="80"/>
        <w:jc w:val="center"/>
      </w:pPr>
      <w:r>
        <w:rPr>
          <w:rFonts w:ascii="Arial" w:cs="Arial" w:eastAsia="Arial" w:hAnsi="Arial"/>
          <w:b/>
          <w:bCs/>
          <w:sz w:val="32"/>
          <w:szCs w:val="32"/>
        </w:rPr>
        <w:t xml:space="preserve">Diseño de Arquitectura</w:t>
      </w:r>
    </w:p>
    <w:p>
      <w:pPr>
        <w:spacing w:after="600" w:before="80"/>
        <w:jc w:val="center"/>
      </w:pPr>
      <w:r>
        <w:rPr>
          <w:rFonts w:ascii="Arial" w:cs="Arial" w:eastAsia="Arial" w:hAnsi="Arial"/>
          <w:color w:val="555555"/>
          <w:sz w:val="24"/>
          <w:szCs w:val="24"/>
        </w:rPr>
        <w:t xml:space="preserve">Descripción de capas, tecnologías y flujos del sistema</w:t>
      </w:r>
    </w:p>
    <w:p>
      <w:pPr>
        <w:spacing w:before="80"/>
        <w:jc w:val="center"/>
      </w:pPr>
      <w:r>
        <w:rPr>
          <w:rFonts w:ascii="Arial" w:cs="Arial" w:eastAsia="Arial" w:hAnsi="Arial"/>
          <w:color w:val="777777"/>
          <w:sz w:val="20"/>
          <w:szCs w:val="20"/>
        </w:rPr>
        <w:t xml:space="preserve">Gonzalo Saguati  ·  Analista de Sistemas  ·  Escuela Da Vinci  ·  2025</w:t>
      </w:r>
    </w:p>
    <w:p>
      <w:r>
        <w:br w:type="page"/>
      </w:r>
    </w:p>
    <w:p>
      <w:pPr>
        <w:pStyle w:val="Heading1"/>
        <w:pBdr>
          <w:bottom w:val="single" w:color="1A7A3C" w:sz="6" w:space="1"/>
        </w:pBdr>
        <w:spacing w:after="200" w:before="400"/>
      </w:pPr>
      <w:r>
        <w:rPr>
          <w:rFonts w:ascii="Arial" w:cs="Arial" w:eastAsia="Arial" w:hAnsi="Arial"/>
          <w:b/>
          <w:bCs/>
          <w:sz w:val="32"/>
          <w:szCs w:val="32"/>
        </w:rPr>
        <w:t xml:space="preserve">Diseño de Arquitectura — Apert Vision</w:t>
      </w:r>
    </w:p>
    <w:p>
      <w:pPr>
        <w:spacing w:after="80" w:before="80"/>
        <w:jc w:val="both"/>
      </w:pPr>
      <w:r>
        <w:rPr>
          <w:rFonts w:ascii="Arial" w:cs="Arial" w:eastAsia="Arial" w:hAnsi="Arial"/>
          <w:sz w:val="22"/>
          <w:szCs w:val="22"/>
        </w:rPr>
        <w:t xml:space="preserve">La arquitectura de Apert Vision sigue un modelo de capas con procesamiento de IA desacoplado del servidor web. El motor de detección corre en un hilo independiente para no bloquear la interfaz durante el análisis.</w:t>
      </w:r>
    </w:p>
    <w:p>
      <w:pPr>
        <w:spacing w:before="160"/>
      </w:pPr>
    </w:p>
    <w:p>
      <w:pPr>
        <w:pStyle w:val="Heading2"/>
        <w:spacing w:after="160" w:before="300"/>
      </w:pPr>
      <w:r>
        <w:rPr>
          <w:rFonts w:ascii="Arial" w:cs="Arial" w:eastAsia="Arial" w:hAnsi="Arial"/>
          <w:b/>
          <w:bCs/>
          <w:color w:val="1A7A3C"/>
          <w:sz w:val="26"/>
          <w:szCs w:val="26"/>
        </w:rPr>
        <w:t xml:space="preserve">Descripción de capas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c>
          <w:tcPr>
            <w:tcW w:type="dxa" w:w="2200"/>
            <w:tcBorders>
              <w:top w:val="single" w:color="CCCCCC" w:sz="1"/>
              <w:left w:val="single" w:color="CCCCCC" w:sz="1"/>
              <w:bottom w:val="single" w:color="CCCCCC" w:sz="1"/>
              <w:right w:val="single" w:color="CCCCCC" w:sz="1"/>
            </w:tcBorders>
            <w:shd w:fill="D6EEE0" w:val="clear"/>
            <w:tcMar>
              <w:top w:type="dxa" w:w="80"/>
              <w:left w:type="dxa" w:w="120"/>
              <w:bottom w:type="dxa" w:w="80"/>
              <w:right w:type="dxa" w:w="120"/>
            </w:tcMar>
          </w:tcPr>
          <w:p>
            <w:r>
              <w:rPr>
                <w:rFonts w:ascii="Arial" w:cs="Arial" w:eastAsia="Arial" w:hAnsi="Arial"/>
                <w:b/>
                <w:bCs/>
                <w:sz w:val="20"/>
                <w:szCs w:val="20"/>
              </w:rPr>
              <w:t xml:space="preserve">Capa</w:t>
            </w:r>
          </w:p>
        </w:tc>
        <w:tc>
          <w:tcPr>
            <w:tcW w:type="dxa" w:w="2500"/>
            <w:tcBorders>
              <w:top w:val="single" w:color="CCCCCC" w:sz="1"/>
              <w:left w:val="single" w:color="CCCCCC" w:sz="1"/>
              <w:bottom w:val="single" w:color="CCCCCC" w:sz="1"/>
              <w:right w:val="single" w:color="CCCCCC" w:sz="1"/>
            </w:tcBorders>
            <w:shd w:fill="D6EEE0" w:val="clear"/>
            <w:tcMar>
              <w:top w:type="dxa" w:w="80"/>
              <w:left w:type="dxa" w:w="120"/>
              <w:bottom w:type="dxa" w:w="80"/>
              <w:right w:type="dxa" w:w="120"/>
            </w:tcMar>
          </w:tcPr>
          <w:p>
            <w:r>
              <w:rPr>
                <w:rFonts w:ascii="Arial" w:cs="Arial" w:eastAsia="Arial" w:hAnsi="Arial"/>
                <w:b/>
                <w:bCs/>
                <w:sz w:val="20"/>
                <w:szCs w:val="20"/>
              </w:rPr>
              <w:t xml:space="preserve">Tecnología</w:t>
            </w:r>
          </w:p>
        </w:tc>
        <w:tc>
          <w:tcPr>
            <w:tcW w:type="dxa" w:w="4660"/>
            <w:tcBorders>
              <w:top w:val="single" w:color="CCCCCC" w:sz="1"/>
              <w:left w:val="single" w:color="CCCCCC" w:sz="1"/>
              <w:bottom w:val="single" w:color="CCCCCC" w:sz="1"/>
              <w:right w:val="single" w:color="CCCCCC" w:sz="1"/>
            </w:tcBorders>
            <w:shd w:fill="D6EEE0" w:val="clear"/>
            <w:tcMar>
              <w:top w:type="dxa" w:w="80"/>
              <w:left w:type="dxa" w:w="120"/>
              <w:bottom w:type="dxa" w:w="80"/>
              <w:right w:type="dxa" w:w="120"/>
            </w:tcMar>
          </w:tcPr>
          <w:p>
            <w:r>
              <w:rPr>
                <w:rFonts w:ascii="Arial" w:cs="Arial" w:eastAsia="Arial" w:hAnsi="Arial"/>
                <w:b/>
                <w:bCs/>
                <w:sz w:val="20"/>
                <w:szCs w:val="20"/>
              </w:rPr>
              <w:t xml:space="preserve">Responsabilidad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Frontend Web</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HTML5 + CSS3 + JavaScript (React)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Interfaz de usuario, carga de videos, visualización de resultados, dashboards y selector de colores de equipos.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Backend Web</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Python + Flask</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 REST, gestión de sesiones, cola de procesamiento con threads, servicio de archivos estáticos.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Motor de IA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Python + Ultralytics YOLO + OpenCV</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Procesamiento frame a frame, detección de formaciones, análisis de posesión por color, generación de video anotado y JSON de estadísticas.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Base de datos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Firebase (Firestore)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Almacenamiento de usuarios, partidos, jugadores, eventos, posesiones y referencias a videos procesados.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Autenticación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Auth0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Gestión de identidad, roles y tokens JWT para entrenadores, jugadores y staff.</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App Móvil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Java (Android)</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Acceso de jugadores a estadísticas personales, highlights y notificaciones push.</w:t>
            </w:r>
          </w:p>
        </w:tc>
      </w:tr>
    </w:tbl>
    <w:p>
      <w:pPr>
        <w:spacing w:before="240"/>
      </w:pPr>
    </w:p>
    <w:p>
      <w:pPr>
        <w:pStyle w:val="Heading2"/>
        <w:spacing w:after="160" w:before="300"/>
      </w:pPr>
      <w:r>
        <w:rPr>
          <w:rFonts w:ascii="Arial" w:cs="Arial" w:eastAsia="Arial" w:hAnsi="Arial"/>
          <w:b/>
          <w:bCs/>
          <w:color w:val="1A7A3C"/>
          <w:sz w:val="26"/>
          <w:szCs w:val="26"/>
        </w:rPr>
        <w:t xml:space="preserve">Flujo de procesamiento de video</w:t>
      </w:r>
    </w:p>
    <w:p>
      <w:pPr>
        <w:spacing w:after="80" w:before="80"/>
        <w:jc w:val="both"/>
      </w:pPr>
      <w:r>
        <w:rPr>
          <w:rFonts w:ascii="Arial" w:cs="Arial" w:eastAsia="Arial" w:hAnsi="Arial"/>
          <w:sz w:val="22"/>
          <w:szCs w:val="22"/>
        </w:rPr>
        <w:t xml:space="preserve">El flujo completo desde que el entrenador sube el video hasta que ve los resultados:</w:t>
      </w:r>
    </w:p>
    <w:p>
      <w:pPr>
        <w:spacing w:before="80"/>
      </w:pPr>
    </w:p>
    <w:p>
      <w:pPr>
        <w:pStyle w:val="ListParagraph"/>
        <w:numPr>
          <w:ilvl w:val="0"/>
          <w:numId w:val="2"/>
        </w:numPr>
        <w:spacing w:after="60" w:before="60"/>
      </w:pPr>
      <w:r>
        <w:rPr>
          <w:rFonts w:ascii="Arial" w:cs="Arial" w:eastAsia="Arial" w:hAnsi="Arial"/>
          <w:sz w:val="22"/>
          <w:szCs w:val="22"/>
        </w:rPr>
        <w:t xml:space="preserve">El entrenador configura los colores de camisetas de ambos equipos.</w:t>
      </w:r>
    </w:p>
    <w:p>
      <w:pPr>
        <w:pStyle w:val="ListParagraph"/>
        <w:numPr>
          <w:ilvl w:val="0"/>
          <w:numId w:val="2"/>
        </w:numPr>
        <w:spacing w:after="60" w:before="60"/>
      </w:pPr>
      <w:r>
        <w:rPr>
          <w:rFonts w:ascii="Arial" w:cs="Arial" w:eastAsia="Arial" w:hAnsi="Arial"/>
          <w:sz w:val="22"/>
          <w:szCs w:val="22"/>
        </w:rPr>
        <w:t xml:space="preserve">El entrenador sube el video desde el navegador al servidor Flask.</w:t>
      </w:r>
    </w:p>
    <w:p>
      <w:pPr>
        <w:pStyle w:val="ListParagraph"/>
        <w:numPr>
          <w:ilvl w:val="0"/>
          <w:numId w:val="2"/>
        </w:numPr>
        <w:spacing w:after="60" w:before="60"/>
      </w:pPr>
      <w:r>
        <w:rPr>
          <w:rFonts w:ascii="Arial" w:cs="Arial" w:eastAsia="Arial" w:hAnsi="Arial"/>
          <w:sz w:val="22"/>
          <w:szCs w:val="22"/>
        </w:rPr>
        <w:t xml:space="preserve">Flask guarda el archivo en static/uploads/ y crea un job_id único.</w:t>
      </w:r>
    </w:p>
    <w:p>
      <w:pPr>
        <w:pStyle w:val="ListParagraph"/>
        <w:numPr>
          <w:ilvl w:val="0"/>
          <w:numId w:val="2"/>
        </w:numPr>
        <w:spacing w:after="60" w:before="60"/>
      </w:pPr>
      <w:r>
        <w:rPr>
          <w:rFonts w:ascii="Arial" w:cs="Arial" w:eastAsia="Arial" w:hAnsi="Arial"/>
          <w:sz w:val="22"/>
          <w:szCs w:val="22"/>
        </w:rPr>
        <w:t xml:space="preserve">Se lanza un hilo independiente que ejecuta el módulo detector.py.</w:t>
      </w:r>
    </w:p>
    <w:p>
      <w:pPr>
        <w:pStyle w:val="ListParagraph"/>
        <w:numPr>
          <w:ilvl w:val="0"/>
          <w:numId w:val="2"/>
        </w:numPr>
        <w:spacing w:after="60" w:before="60"/>
      </w:pPr>
      <w:r>
        <w:rPr>
          <w:rFonts w:ascii="Arial" w:cs="Arial" w:eastAsia="Arial" w:hAnsi="Arial"/>
          <w:sz w:val="22"/>
          <w:szCs w:val="22"/>
        </w:rPr>
        <w:t xml:space="preserve">YOLO analiza cada frame y detecta formaciones (line-out, scrum, salida).</w:t>
      </w:r>
    </w:p>
    <w:p>
      <w:pPr>
        <w:pStyle w:val="ListParagraph"/>
        <w:numPr>
          <w:ilvl w:val="0"/>
          <w:numId w:val="2"/>
        </w:numPr>
        <w:spacing w:after="60" w:before="60"/>
      </w:pPr>
      <w:r>
        <w:rPr>
          <w:rFonts w:ascii="Arial" w:cs="Arial" w:eastAsia="Arial" w:hAnsi="Arial"/>
          <w:sz w:val="22"/>
          <w:szCs w:val="22"/>
        </w:rPr>
        <w:t xml:space="preserve">Para cada frame con pelota detectada, OpenCV identifica el color del jugador más cercano y asigna la posesión al equipo correspondiente.</w:t>
      </w:r>
    </w:p>
    <w:p>
      <w:pPr>
        <w:pStyle w:val="ListParagraph"/>
        <w:numPr>
          <w:ilvl w:val="0"/>
          <w:numId w:val="2"/>
        </w:numPr>
        <w:spacing w:after="60" w:before="60"/>
      </w:pPr>
      <w:r>
        <w:rPr>
          <w:rFonts w:ascii="Arial" w:cs="Arial" w:eastAsia="Arial" w:hAnsi="Arial"/>
          <w:sz w:val="22"/>
          <w:szCs w:val="22"/>
        </w:rPr>
        <w:t xml:space="preserve">OpenCV dibuja los bounding boxes, la etiqueta de posesión y genera el video de salida en static/outputs/.</w:t>
      </w:r>
    </w:p>
    <w:p>
      <w:pPr>
        <w:pStyle w:val="ListParagraph"/>
        <w:numPr>
          <w:ilvl w:val="0"/>
          <w:numId w:val="2"/>
        </w:numPr>
        <w:spacing w:after="60" w:before="60"/>
      </w:pPr>
      <w:r>
        <w:rPr>
          <w:rFonts w:ascii="Arial" w:cs="Arial" w:eastAsia="Arial" w:hAnsi="Arial"/>
          <w:sz w:val="22"/>
          <w:szCs w:val="22"/>
        </w:rPr>
        <w:t xml:space="preserve">El frontend consulta el endpoint /status/{job_id} cada 1.5 segundos hasta que el estado es 'done'.</w:t>
      </w:r>
    </w:p>
    <w:p>
      <w:pPr>
        <w:pStyle w:val="ListParagraph"/>
        <w:numPr>
          <w:ilvl w:val="0"/>
          <w:numId w:val="2"/>
        </w:numPr>
        <w:spacing w:after="60" w:before="60"/>
      </w:pPr>
      <w:r>
        <w:rPr>
          <w:rFonts w:ascii="Arial" w:cs="Arial" w:eastAsia="Arial" w:hAnsi="Arial"/>
          <w:sz w:val="22"/>
          <w:szCs w:val="22"/>
        </w:rPr>
        <w:t xml:space="preserve">El frontend renderiza el video procesado, las estadísticas, el dashboard de posesión y el timeline de eventos.</w:t>
      </w:r>
    </w:p>
    <w:p>
      <w:pPr>
        <w:spacing w:before="240"/>
      </w:pPr>
    </w:p>
    <w:p>
      <w:pPr>
        <w:pStyle w:val="Heading2"/>
        <w:spacing w:after="160" w:before="300"/>
      </w:pPr>
      <w:r>
        <w:rPr>
          <w:rFonts w:ascii="Arial" w:cs="Arial" w:eastAsia="Arial" w:hAnsi="Arial"/>
          <w:b/>
          <w:bCs/>
          <w:color w:val="1A7A3C"/>
          <w:sz w:val="26"/>
          <w:szCs w:val="26"/>
        </w:rPr>
        <w:t xml:space="preserve">Endpoints de la API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CCCCCC" w:sz="1"/>
              <w:left w:val="single" w:color="CCCCCC" w:sz="1"/>
              <w:bottom w:val="single" w:color="CCCCCC" w:sz="1"/>
              <w:right w:val="single" w:color="CCCCCC" w:sz="1"/>
            </w:tcBorders>
            <w:shd w:fill="D6EEE0" w:val="clear"/>
            <w:tcMar>
              <w:top w:type="dxa" w:w="80"/>
              <w:left w:type="dxa" w:w="120"/>
              <w:bottom w:type="dxa" w:w="80"/>
              <w:right w:type="dxa" w:w="120"/>
            </w:tcMar>
          </w:tcPr>
          <w:p>
            <w:r>
              <w:rPr>
                <w:rFonts w:ascii="Arial" w:cs="Arial" w:eastAsia="Arial" w:hAnsi="Arial"/>
                <w:b/>
                <w:bCs/>
                <w:sz w:val="20"/>
                <w:szCs w:val="20"/>
              </w:rPr>
              <w:t xml:space="preserve">Método</w:t>
            </w:r>
          </w:p>
        </w:tc>
        <w:tc>
          <w:tcPr>
            <w:tcW w:type="dxa" w:w="2800"/>
            <w:tcBorders>
              <w:top w:val="single" w:color="CCCCCC" w:sz="1"/>
              <w:left w:val="single" w:color="CCCCCC" w:sz="1"/>
              <w:bottom w:val="single" w:color="CCCCCC" w:sz="1"/>
              <w:right w:val="single" w:color="CCCCCC" w:sz="1"/>
            </w:tcBorders>
            <w:shd w:fill="D6EEE0" w:val="clear"/>
            <w:tcMar>
              <w:top w:type="dxa" w:w="80"/>
              <w:left w:type="dxa" w:w="120"/>
              <w:bottom w:type="dxa" w:w="80"/>
              <w:right w:type="dxa" w:w="120"/>
            </w:tcMar>
          </w:tcPr>
          <w:p>
            <w:r>
              <w:rPr>
                <w:rFonts w:ascii="Arial" w:cs="Arial" w:eastAsia="Arial" w:hAnsi="Arial"/>
                <w:b/>
                <w:bCs/>
                <w:sz w:val="20"/>
                <w:szCs w:val="20"/>
              </w:rPr>
              <w:t xml:space="preserve">Endpoint</w:t>
            </w:r>
          </w:p>
        </w:tc>
        <w:tc>
          <w:tcPr>
            <w:tcW w:type="dxa" w:w="5360"/>
            <w:tcBorders>
              <w:top w:val="single" w:color="CCCCCC" w:sz="1"/>
              <w:left w:val="single" w:color="CCCCCC" w:sz="1"/>
              <w:bottom w:val="single" w:color="CCCCCC" w:sz="1"/>
              <w:right w:val="single" w:color="CCCCCC" w:sz="1"/>
            </w:tcBorders>
            <w:shd w:fill="D6EEE0" w:val="clear"/>
            <w:tcMar>
              <w:top w:type="dxa" w:w="80"/>
              <w:left w:type="dxa" w:w="120"/>
              <w:bottom w:type="dxa" w:w="80"/>
              <w:right w:type="dxa" w:w="120"/>
            </w:tcMar>
          </w:tcPr>
          <w:p>
            <w:r>
              <w:rPr>
                <w:rFonts w:ascii="Arial" w:cs="Arial" w:eastAsia="Arial" w:hAnsi="Arial"/>
                <w:b/>
                <w:bCs/>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/upload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Recibe el video y los colores de equipos. Inicia el job de procesamiento.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/status/&lt;job_id&gt;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Retorna el estado actual del job (queued, processing, done, error) y el progreso en %.</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/static/outputs/&lt;archivo&gt;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Sirve el video procesado y los archivos de estadísticas JSON.</w:t>
            </w:r>
          </w:p>
        </w:tc>
      </w:tr>
    </w:tbl>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Apert Vision — Diseño de Arquitectura   |   Gonzalo Saguati — Escuela Da Vinci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00000"/>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1A7A3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2026-04-28T21:06:47.216Z</dcterms:created>
  <dcterms:modified xsi:type="dcterms:W3CDTF">2026-04-28T21:06:47.216Z</dcterms:modified>
</cp:coreProperties>
</file>

<file path=docProps/custom.xml><?xml version="1.0" encoding="utf-8"?>
<Properties xmlns="http://schemas.openxmlformats.org/officeDocument/2006/custom-properties" xmlns:vt="http://schemas.openxmlformats.org/officeDocument/2006/docPropsVTypes"/>
</file>