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ptos" w:hAnsi="Aptos"/>
          <w:b/>
          <w:color w:val="0F6B78"/>
          <w:sz w:val="26"/>
        </w:rPr>
        <w:t>PROJECT STAGE-I</w:t>
      </w:r>
    </w:p>
    <w:p>
      <w:pPr>
        <w:spacing w:before="640" w:after="300"/>
        <w:jc w:val="center"/>
      </w:pPr>
      <w:r>
        <w:rPr>
          <w:rFonts w:ascii="Aptos Display" w:hAnsi="Aptos Display"/>
          <w:b/>
          <w:color w:val="17365D"/>
          <w:sz w:val="50"/>
        </w:rPr>
        <w:t>An Explainable AI Framework for Analysis of</w:t>
        <w:br/>
        <w:t>X-Ray Polarimetry Data from XPoSat</w:t>
      </w:r>
    </w:p>
    <w:p>
      <w:pPr>
        <w:jc w:val="center"/>
      </w:pPr>
      <w:r>
        <w:rPr>
          <w:rFonts w:ascii="Aptos" w:hAnsi="Aptos"/>
          <w:b/>
          <w:color w:val="1F4E78"/>
          <w:sz w:val="30"/>
        </w:rPr>
        <w:t>Review 1 — Comprehensive Team Reference Report</w:t>
      </w:r>
    </w:p>
    <w:p>
      <w:pPr>
        <w:jc w:val="center"/>
      </w:pPr>
      <w:r>
        <w:rPr>
          <w:rFonts w:ascii="Aptos" w:hAnsi="Aptos"/>
          <w:color w:val="666666"/>
          <w:sz w:val="22"/>
        </w:rPr>
        <w:t>Prepared for Review-I • 1 August 2026</w:t>
      </w:r>
    </w:p>
    <w:p/>
    <w:tbl>
      <w:tblPr>
        <w:tblW w:type="auto" w:w="0"/>
        <w:jc w:val="center"/>
        <w:tblLayout w:type="autofit"/>
        <w:tblLook w:firstColumn="1" w:firstRow="1" w:lastColumn="0" w:lastRow="0" w:noHBand="0" w:noVBand="1" w:val="04A0"/>
        <w:tblBorders>
          <w:top w:val="single" w:sz="8" w:space="0" w:color="DDEBF7"/>
          <w:left w:val="single" w:sz="8" w:space="0" w:color="DDEBF7"/>
          <w:bottom w:val="single" w:sz="8" w:space="0" w:color="DDEBF7"/>
          <w:right w:val="single" w:sz="8" w:space="0" w:color="DDEBF7"/>
          <w:insideH w:val="single" w:sz="8" w:space="0" w:color="DDEBF7"/>
          <w:insideV w:val="single" w:sz="8" w:space="0" w:color="DDEBF7"/>
        </w:tblBorders>
      </w:tblPr>
      <w:tblGrid>
        <w:gridCol w:w="9752"/>
      </w:tblGrid>
      <w:tr>
        <w:tc>
          <w:tcPr>
            <w:tcW w:type="dxa" w:w="9752"/>
            <w:shd w:fill="DDEBF7"/>
            <w:tcMar>
              <w:top w:w="130" w:type="dxa"/>
              <w:start w:w="150" w:type="dxa"/>
              <w:bottom w:w="130" w:type="dxa"/>
              <w:end w:w="150" w:type="dxa"/>
            </w:tcMar>
          </w:tcPr>
          <w:p>
            <w:pPr>
              <w:spacing w:after="60"/>
            </w:pPr>
            <w:r>
              <w:rPr>
                <w:rFonts w:ascii="Cambria" w:hAnsi="Cambria"/>
                <w:b/>
                <w:color w:val="17365D"/>
                <w:sz w:val="21"/>
              </w:rPr>
              <w:t>Purpose of this document</w:t>
            </w:r>
          </w:p>
          <w:p>
            <w:pPr>
              <w:spacing w:after="0"/>
            </w:pPr>
            <w:r>
              <w:rPr>
                <w:rFonts w:ascii="Cambria" w:hAnsi="Cambria"/>
                <w:color w:val="222222"/>
                <w:sz w:val="20"/>
              </w:rPr>
              <w:t>A detailed, editable source for the team to understand the project and refine the Review-I presentation. It includes every heading requested by the sample PPT, but all methods and architecture are presented as proposed work.</w:t>
            </w:r>
          </w:p>
        </w:tc>
      </w:tr>
    </w:tbl>
    <w:p>
      <w:pPr>
        <w:spacing w:after="20"/>
      </w:pPr>
    </w:p>
    <w:tbl>
      <w:tblPr>
        <w:tblW w:type="auto" w:w="0"/>
        <w:jc w:val="center"/>
        <w:tblLayout w:type="fixed"/>
        <w:tblLook w:firstColumn="1" w:firstRow="1" w:lastColumn="0" w:lastRow="0" w:noHBand="0" w:noVBand="1" w:val="04A0"/>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Pr>
      <w:tblGrid>
        <w:gridCol w:w="4876"/>
        <w:gridCol w:w="4876"/>
      </w:tblGrid>
      <w:tr>
        <w:tc>
          <w:tcPr>
            <w:tcW w:type="dxa" w:w="4876"/>
            <w:tcMar>
              <w:top w:w="80" w:type="dxa"/>
              <w:start w:w="90" w:type="dxa"/>
              <w:bottom w:w="80" w:type="dxa"/>
              <w:end w:w="90" w:type="dxa"/>
            </w:tcMar>
            <w:shd w:fill="DCE6F1"/>
          </w:tcPr>
          <w:p>
            <w:r>
              <w:rPr>
                <w:rFonts w:ascii="Cambria" w:hAnsi="Cambria"/>
                <w:b/>
                <w:color w:val="17365D"/>
                <w:sz w:val="19"/>
              </w:rPr>
              <w:t>Team number</w:t>
            </w:r>
          </w:p>
        </w:tc>
        <w:tc>
          <w:tcPr>
            <w:tcW w:type="dxa" w:w="4876"/>
            <w:tcMar>
              <w:top w:w="80" w:type="dxa"/>
              <w:start w:w="90" w:type="dxa"/>
              <w:bottom w:w="80" w:type="dxa"/>
              <w:end w:w="90" w:type="dxa"/>
            </w:tcMar>
          </w:tcPr>
          <w:p>
            <w:r>
              <w:rPr>
                <w:rFonts w:ascii="Cambria" w:hAnsi="Cambria"/>
                <w:color w:val="666666"/>
                <w:sz w:val="19"/>
              </w:rPr>
              <w:t>[TO BE FILLED]</w:t>
            </w:r>
          </w:p>
        </w:tc>
      </w:tr>
      <w:tr>
        <w:tc>
          <w:tcPr>
            <w:tcW w:type="dxa" w:w="4876"/>
            <w:tcMar>
              <w:top w:w="80" w:type="dxa"/>
              <w:start w:w="90" w:type="dxa"/>
              <w:bottom w:w="80" w:type="dxa"/>
              <w:end w:w="90" w:type="dxa"/>
            </w:tcMar>
            <w:shd w:fill="DCE6F1"/>
          </w:tcPr>
          <w:p>
            <w:r>
              <w:rPr>
                <w:rFonts w:ascii="Cambria" w:hAnsi="Cambria"/>
                <w:b/>
                <w:color w:val="17365D"/>
                <w:sz w:val="19"/>
              </w:rPr>
              <w:t>Team members</w:t>
            </w:r>
          </w:p>
        </w:tc>
        <w:tc>
          <w:tcPr>
            <w:tcW w:type="dxa" w:w="4876"/>
            <w:tcMar>
              <w:top w:w="80" w:type="dxa"/>
              <w:start w:w="90" w:type="dxa"/>
              <w:bottom w:w="80" w:type="dxa"/>
              <w:end w:w="90" w:type="dxa"/>
            </w:tcMar>
          </w:tcPr>
          <w:p>
            <w:r>
              <w:rPr>
                <w:rFonts w:ascii="Cambria" w:hAnsi="Cambria"/>
                <w:color w:val="666666"/>
                <w:sz w:val="19"/>
              </w:rPr>
              <w:t>[TO BE FILLED]</w:t>
            </w:r>
          </w:p>
        </w:tc>
      </w:tr>
      <w:tr>
        <w:tc>
          <w:tcPr>
            <w:tcW w:type="dxa" w:w="4876"/>
            <w:tcMar>
              <w:top w:w="80" w:type="dxa"/>
              <w:start w:w="90" w:type="dxa"/>
              <w:bottom w:w="80" w:type="dxa"/>
              <w:end w:w="90" w:type="dxa"/>
            </w:tcMar>
            <w:shd w:fill="DCE6F1"/>
          </w:tcPr>
          <w:p>
            <w:r>
              <w:rPr>
                <w:rFonts w:ascii="Cambria" w:hAnsi="Cambria"/>
                <w:b/>
                <w:color w:val="17365D"/>
                <w:sz w:val="19"/>
              </w:rPr>
              <w:t>Roll numbers</w:t>
            </w:r>
          </w:p>
        </w:tc>
        <w:tc>
          <w:tcPr>
            <w:tcW w:type="dxa" w:w="4876"/>
            <w:tcMar>
              <w:top w:w="80" w:type="dxa"/>
              <w:start w:w="90" w:type="dxa"/>
              <w:bottom w:w="80" w:type="dxa"/>
              <w:end w:w="90" w:type="dxa"/>
            </w:tcMar>
          </w:tcPr>
          <w:p>
            <w:r>
              <w:rPr>
                <w:rFonts w:ascii="Cambria" w:hAnsi="Cambria"/>
                <w:color w:val="666666"/>
                <w:sz w:val="19"/>
              </w:rPr>
              <w:t>[TO BE FILLED]</w:t>
            </w:r>
          </w:p>
        </w:tc>
      </w:tr>
      <w:tr>
        <w:tc>
          <w:tcPr>
            <w:tcW w:type="dxa" w:w="4876"/>
            <w:tcMar>
              <w:top w:w="80" w:type="dxa"/>
              <w:start w:w="90" w:type="dxa"/>
              <w:bottom w:w="80" w:type="dxa"/>
              <w:end w:w="90" w:type="dxa"/>
            </w:tcMar>
            <w:shd w:fill="DCE6F1"/>
          </w:tcPr>
          <w:p>
            <w:r>
              <w:rPr>
                <w:rFonts w:ascii="Cambria" w:hAnsi="Cambria"/>
                <w:b/>
                <w:color w:val="17365D"/>
                <w:sz w:val="19"/>
              </w:rPr>
              <w:t>Faculty supervisor</w:t>
            </w:r>
          </w:p>
        </w:tc>
        <w:tc>
          <w:tcPr>
            <w:tcW w:type="dxa" w:w="4876"/>
            <w:tcMar>
              <w:top w:w="80" w:type="dxa"/>
              <w:start w:w="90" w:type="dxa"/>
              <w:bottom w:w="80" w:type="dxa"/>
              <w:end w:w="90" w:type="dxa"/>
            </w:tcMar>
          </w:tcPr>
          <w:p>
            <w:r>
              <w:rPr>
                <w:rFonts w:ascii="Cambria" w:hAnsi="Cambria"/>
                <w:color w:val="666666"/>
                <w:sz w:val="19"/>
              </w:rPr>
              <w:t>[TO BE FILLED]</w:t>
            </w:r>
          </w:p>
        </w:tc>
      </w:tr>
      <w:tr>
        <w:tc>
          <w:tcPr>
            <w:tcW w:type="dxa" w:w="4876"/>
            <w:tcMar>
              <w:top w:w="80" w:type="dxa"/>
              <w:start w:w="90" w:type="dxa"/>
              <w:bottom w:w="80" w:type="dxa"/>
              <w:end w:w="90" w:type="dxa"/>
            </w:tcMar>
            <w:shd w:fill="DCE6F1"/>
          </w:tcPr>
          <w:p>
            <w:r>
              <w:rPr>
                <w:rFonts w:ascii="Cambria" w:hAnsi="Cambria"/>
                <w:b/>
                <w:color w:val="17365D"/>
                <w:sz w:val="19"/>
              </w:rPr>
              <w:t>Department</w:t>
            </w:r>
          </w:p>
        </w:tc>
        <w:tc>
          <w:tcPr>
            <w:tcW w:type="dxa" w:w="4876"/>
            <w:tcMar>
              <w:top w:w="80" w:type="dxa"/>
              <w:start w:w="90" w:type="dxa"/>
              <w:bottom w:w="80" w:type="dxa"/>
              <w:end w:w="90" w:type="dxa"/>
            </w:tcMar>
          </w:tcPr>
          <w:p>
            <w:r>
              <w:rPr>
                <w:rFonts w:ascii="Cambria" w:hAnsi="Cambria"/>
                <w:color w:val="666666"/>
                <w:sz w:val="19"/>
              </w:rPr>
              <w:t>[TO BE FILLED]</w:t>
            </w:r>
          </w:p>
        </w:tc>
      </w:tr>
      <w:tr>
        <w:tc>
          <w:tcPr>
            <w:tcW w:type="dxa" w:w="4876"/>
            <w:tcMar>
              <w:top w:w="80" w:type="dxa"/>
              <w:start w:w="90" w:type="dxa"/>
              <w:bottom w:w="80" w:type="dxa"/>
              <w:end w:w="90" w:type="dxa"/>
            </w:tcMar>
            <w:shd w:fill="DCE6F1"/>
          </w:tcPr>
          <w:p>
            <w:r>
              <w:rPr>
                <w:rFonts w:ascii="Cambria" w:hAnsi="Cambria"/>
                <w:b/>
                <w:color w:val="17365D"/>
                <w:sz w:val="19"/>
              </w:rPr>
              <w:t>Institution</w:t>
            </w:r>
          </w:p>
        </w:tc>
        <w:tc>
          <w:tcPr>
            <w:tcW w:type="dxa" w:w="4876"/>
            <w:tcMar>
              <w:top w:w="80" w:type="dxa"/>
              <w:start w:w="90" w:type="dxa"/>
              <w:bottom w:w="80" w:type="dxa"/>
              <w:end w:w="90" w:type="dxa"/>
            </w:tcMar>
          </w:tcPr>
          <w:p>
            <w:r>
              <w:rPr>
                <w:rFonts w:ascii="Cambria" w:hAnsi="Cambria"/>
                <w:color w:val="666666"/>
                <w:sz w:val="19"/>
              </w:rPr>
              <w:t>[TO BE FILLED]</w:t>
            </w:r>
          </w:p>
        </w:tc>
      </w:tr>
      <w:tr>
        <w:tc>
          <w:tcPr>
            <w:tcW w:type="dxa" w:w="4876"/>
            <w:tcMar>
              <w:top w:w="80" w:type="dxa"/>
              <w:start w:w="90" w:type="dxa"/>
              <w:bottom w:w="80" w:type="dxa"/>
              <w:end w:w="90" w:type="dxa"/>
            </w:tcMar>
            <w:shd w:fill="DCE6F1"/>
          </w:tcPr>
          <w:p>
            <w:r>
              <w:rPr>
                <w:rFonts w:ascii="Cambria" w:hAnsi="Cambria"/>
                <w:b/>
                <w:color w:val="17365D"/>
                <w:sz w:val="19"/>
              </w:rPr>
              <w:t>Branch and section</w:t>
            </w:r>
          </w:p>
        </w:tc>
        <w:tc>
          <w:tcPr>
            <w:tcW w:type="dxa" w:w="4876"/>
            <w:tcMar>
              <w:top w:w="80" w:type="dxa"/>
              <w:start w:w="90" w:type="dxa"/>
              <w:bottom w:w="80" w:type="dxa"/>
              <w:end w:w="90" w:type="dxa"/>
            </w:tcMar>
          </w:tcPr>
          <w:p>
            <w:r>
              <w:rPr>
                <w:rFonts w:ascii="Cambria" w:hAnsi="Cambria"/>
                <w:color w:val="666666"/>
                <w:sz w:val="19"/>
              </w:rPr>
              <w:t>[TO BE FILLED]</w:t>
            </w:r>
          </w:p>
        </w:tc>
      </w:tr>
      <w:tr>
        <w:tc>
          <w:tcPr>
            <w:tcW w:type="dxa" w:w="4876"/>
            <w:tcMar>
              <w:top w:w="80" w:type="dxa"/>
              <w:start w:w="90" w:type="dxa"/>
              <w:bottom w:w="80" w:type="dxa"/>
              <w:end w:w="90" w:type="dxa"/>
            </w:tcMar>
            <w:shd w:fill="DCE6F1"/>
          </w:tcPr>
          <w:p>
            <w:r>
              <w:rPr>
                <w:rFonts w:ascii="Cambria" w:hAnsi="Cambria"/>
                <w:b/>
                <w:color w:val="17365D"/>
                <w:sz w:val="19"/>
              </w:rPr>
              <w:t>Academic year</w:t>
            </w:r>
          </w:p>
        </w:tc>
        <w:tc>
          <w:tcPr>
            <w:tcW w:type="dxa" w:w="4876"/>
            <w:tcMar>
              <w:top w:w="80" w:type="dxa"/>
              <w:start w:w="90" w:type="dxa"/>
              <w:bottom w:w="80" w:type="dxa"/>
              <w:end w:w="90" w:type="dxa"/>
            </w:tcMar>
          </w:tcPr>
          <w:p>
            <w:r>
              <w:rPr>
                <w:rFonts w:ascii="Cambria" w:hAnsi="Cambria"/>
                <w:color w:val="666666"/>
                <w:sz w:val="19"/>
              </w:rPr>
              <w:t>[TO BE FILLED]</w:t>
            </w:r>
          </w:p>
        </w:tc>
      </w:tr>
    </w:tbl>
    <w:p>
      <w:r>
        <w:br w:type="page"/>
      </w:r>
    </w:p>
    <w:p>
      <w:pPr>
        <w:pStyle w:val="Heading1"/>
      </w:pPr>
      <w:r>
        <w:rPr>
          <w:rFonts w:ascii="Cambria" w:hAnsi="Cambria"/>
          <w:color w:val="17365D"/>
        </w:rPr>
        <w:t>How the Team Should Use This Report</w:t>
      </w:r>
    </w:p>
    <w:tbl>
      <w:tblPr>
        <w:tblW w:type="auto" w:w="0"/>
        <w:jc w:val="center"/>
        <w:tblLayout w:type="autofit"/>
        <w:tblLook w:firstColumn="1" w:firstRow="1" w:lastColumn="0" w:lastRow="0" w:noHBand="0" w:noVBand="1" w:val="04A0"/>
        <w:tblBorders>
          <w:top w:val="single" w:sz="8" w:space="0" w:color="FFF2CC"/>
          <w:left w:val="single" w:sz="8" w:space="0" w:color="FFF2CC"/>
          <w:bottom w:val="single" w:sz="8" w:space="0" w:color="FFF2CC"/>
          <w:right w:val="single" w:sz="8" w:space="0" w:color="FFF2CC"/>
          <w:insideH w:val="single" w:sz="8" w:space="0" w:color="FFF2CC"/>
          <w:insideV w:val="single" w:sz="8" w:space="0" w:color="FFF2CC"/>
        </w:tblBorders>
      </w:tblPr>
      <w:tblGrid>
        <w:gridCol w:w="9752"/>
      </w:tblGrid>
      <w:tr>
        <w:tc>
          <w:tcPr>
            <w:tcW w:type="dxa" w:w="9752"/>
            <w:shd w:fill="FFF2CC"/>
            <w:tcMar>
              <w:top w:w="130" w:type="dxa"/>
              <w:start w:w="150" w:type="dxa"/>
              <w:bottom w:w="130" w:type="dxa"/>
              <w:end w:w="150" w:type="dxa"/>
            </w:tcMar>
          </w:tcPr>
          <w:p>
            <w:pPr>
              <w:spacing w:after="60"/>
            </w:pPr>
            <w:r>
              <w:rPr>
                <w:rFonts w:ascii="Cambria" w:hAnsi="Cambria"/>
                <w:b/>
                <w:color w:val="17365D"/>
                <w:sz w:val="21"/>
              </w:rPr>
              <w:t>Review-stage boundary</w:t>
            </w:r>
          </w:p>
          <w:p>
            <w:pPr>
              <w:spacing w:after="0"/>
            </w:pPr>
            <w:r>
              <w:rPr>
                <w:rFonts w:ascii="Cambria" w:hAnsi="Cambria"/>
                <w:color w:val="222222"/>
                <w:sz w:val="20"/>
              </w:rPr>
              <w:t>Use the architecture and method sections to understand and explain the proposal. Do not present them as completed implementation. Do not insert final anomaly counts, case-study values, website screenshots, calibrated polarization degree, or official polarization angle into the Review-I presentation.</w:t>
            </w:r>
          </w:p>
        </w:tc>
      </w:tr>
    </w:tbl>
    <w:p>
      <w:pPr>
        <w:spacing w:after="20"/>
      </w:pPr>
    </w:p>
    <w:p>
      <w:pPr>
        <w:pStyle w:val="BodyText"/>
        <w:jc w:val="both"/>
      </w:pPr>
      <w:r>
        <w:rPr>
          <w:rFonts w:ascii="Cambria" w:hAnsi="Cambria"/>
          <w:color w:val="222222"/>
          <w:sz w:val="21"/>
        </w:rPr>
        <w:t>This report is deliberately more detailed than the presentation. Team members may shorten it into concise slides, but should preserve the scientific distinctions, the evolution from the initial Chandra classification idea, and the separation between statistical anomaly screening and physical modulation analysis.</w:t>
      </w:r>
    </w:p>
    <w:p>
      <w:pPr>
        <w:pStyle w:val="Heading2"/>
      </w:pPr>
      <w:r>
        <w:rPr>
          <w:rFonts w:ascii="Cambria" w:hAnsi="Cambria"/>
          <w:color w:val="1F4E78"/>
        </w:rPr>
        <w:t>Essential project identity</w:t>
      </w:r>
    </w:p>
    <w:p>
      <w:pPr>
        <w:pStyle w:val="ListBullet"/>
      </w:pPr>
      <w:r>
        <w:rPr>
          <w:rFonts w:ascii="Cambria" w:hAnsi="Cambria"/>
          <w:b/>
          <w:color w:val="222222"/>
          <w:sz w:val="20"/>
        </w:rPr>
        <w:t>Data domain:</w:t>
      </w:r>
      <w:r>
        <w:rPr>
          <w:rFonts w:ascii="Cambria" w:hAnsi="Cambria"/>
          <w:color w:val="222222"/>
          <w:sz w:val="20"/>
        </w:rPr>
        <w:t xml:space="preserve"> POLIX Level-2 FITS products from XPoSat.</w:t>
      </w:r>
    </w:p>
    <w:p>
      <w:pPr>
        <w:pStyle w:val="ListBullet"/>
      </w:pPr>
      <w:r>
        <w:rPr>
          <w:rFonts w:ascii="Cambria" w:hAnsi="Cambria"/>
          <w:b/>
          <w:color w:val="222222"/>
          <w:sz w:val="20"/>
        </w:rPr>
        <w:t>Unit of analysis:</w:t>
      </w:r>
      <w:r>
        <w:rPr>
          <w:rFonts w:ascii="Cambria" w:hAnsi="Cambria"/>
          <w:color w:val="222222"/>
          <w:sz w:val="20"/>
        </w:rPr>
        <w:t xml:space="preserve"> one POLIX observation represented through multiple product families.</w:t>
      </w:r>
    </w:p>
    <w:p>
      <w:pPr>
        <w:pStyle w:val="ListBullet"/>
      </w:pPr>
      <w:r>
        <w:rPr>
          <w:rFonts w:ascii="Cambria" w:hAnsi="Cambria"/>
          <w:b/>
          <w:color w:val="222222"/>
          <w:sz w:val="20"/>
        </w:rPr>
        <w:t>ML task:</w:t>
      </w:r>
      <w:r>
        <w:rPr>
          <w:rFonts w:ascii="Cambria" w:hAnsi="Cambria"/>
          <w:color w:val="222222"/>
          <w:sz w:val="20"/>
        </w:rPr>
        <w:t xml:space="preserve"> unsupervised observation screening and prioritization—not astrophysical source classification.</w:t>
      </w:r>
    </w:p>
    <w:p>
      <w:pPr>
        <w:pStyle w:val="ListBullet"/>
      </w:pPr>
      <w:r>
        <w:rPr>
          <w:rFonts w:ascii="Cambria" w:hAnsi="Cambria"/>
          <w:b/>
          <w:color w:val="222222"/>
          <w:sz w:val="20"/>
        </w:rPr>
        <w:t>XAI task:</w:t>
      </w:r>
      <w:r>
        <w:rPr>
          <w:rFonts w:ascii="Cambria" w:hAnsi="Cambria"/>
          <w:color w:val="222222"/>
          <w:sz w:val="20"/>
        </w:rPr>
        <w:t xml:space="preserve"> explain why an observation is unusual in feature and product terms.</w:t>
      </w:r>
    </w:p>
    <w:p>
      <w:pPr>
        <w:pStyle w:val="ListBullet"/>
      </w:pPr>
      <w:r>
        <w:rPr>
          <w:rFonts w:ascii="Cambria" w:hAnsi="Cambria"/>
          <w:b/>
          <w:color w:val="222222"/>
          <w:sz w:val="20"/>
        </w:rPr>
        <w:t>Physical task:</w:t>
      </w:r>
      <w:r>
        <w:rPr>
          <w:rFonts w:ascii="Cambria" w:hAnsi="Cambria"/>
          <w:color w:val="222222"/>
          <w:sz w:val="20"/>
        </w:rPr>
        <w:t xml:space="preserve"> inspect WeightedRoll modulation separately and compare it cautiously with blank-sky behaviour.</w:t>
      </w:r>
    </w:p>
    <w:p>
      <w:pPr>
        <w:pStyle w:val="ListBullet"/>
      </w:pPr>
      <w:r>
        <w:rPr>
          <w:rFonts w:ascii="Cambria" w:hAnsi="Cambria"/>
          <w:b/>
          <w:color w:val="222222"/>
          <w:sz w:val="20"/>
        </w:rPr>
        <w:t>Research output:</w:t>
      </w:r>
      <w:r>
        <w:rPr>
          <w:rFonts w:ascii="Cambria" w:hAnsi="Cambria"/>
          <w:color w:val="222222"/>
          <w:sz w:val="20"/>
        </w:rPr>
        <w:t xml:space="preserve"> a researcher-oriented framework that preserves traceability and requires expert interpretation.</w:t>
      </w:r>
    </w:p>
    <w:p>
      <w:pPr>
        <w:pStyle w:val="Heading2"/>
      </w:pPr>
      <w:r>
        <w:rPr>
          <w:rFonts w:ascii="Cambria" w:hAnsi="Cambria"/>
          <w:color w:val="1F4E78"/>
        </w:rPr>
        <w:t>Contents at a glance</w:t>
      </w:r>
    </w:p>
    <w:tbl>
      <w:tblPr>
        <w:tblW w:type="auto" w:w="0"/>
        <w:jc w:val="center"/>
        <w:tblLook w:firstColumn="1" w:firstRow="1" w:lastColumn="0" w:lastRow="0" w:noHBand="0" w:noVBand="1" w:val="04A0"/>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Pr>
      <w:tblGrid>
        <w:gridCol w:w="4876"/>
        <w:gridCol w:w="4876"/>
      </w:tblGrid>
      <w:tr>
        <w:tc>
          <w:tcPr>
            <w:tcW w:type="dxa" w:w="1361"/>
            <w:shd w:fill="1F4E78"/>
          </w:tcPr>
          <w:p>
            <w:r>
              <w:rPr>
                <w:rFonts w:ascii="Cambria" w:hAnsi="Cambria"/>
                <w:b/>
                <w:color w:val="FFFFFF"/>
                <w:sz w:val="18"/>
              </w:rPr>
              <w:t>Section</w:t>
            </w:r>
          </w:p>
        </w:tc>
        <w:tc>
          <w:tcPr>
            <w:tcW w:type="dxa" w:w="7824"/>
            <w:shd w:fill="1F4E78"/>
          </w:tcPr>
          <w:p>
            <w:r>
              <w:rPr>
                <w:rFonts w:ascii="Cambria" w:hAnsi="Cambria"/>
                <w:b/>
                <w:color w:val="FFFFFF"/>
                <w:sz w:val="18"/>
              </w:rPr>
              <w:t>Use</w:t>
            </w:r>
          </w:p>
        </w:tc>
      </w:tr>
      <w:tr>
        <w:tc>
          <w:tcPr>
            <w:tcW w:type="dxa" w:w="4876"/>
            <w:tcMar>
              <w:top w:w="80" w:type="dxa"/>
              <w:start w:w="90" w:type="dxa"/>
              <w:bottom w:w="80" w:type="dxa"/>
              <w:end w:w="90" w:type="dxa"/>
            </w:tcMar>
          </w:tcPr>
          <w:p>
            <w:r>
              <w:rPr>
                <w:rFonts w:ascii="Cambria" w:hAnsi="Cambria"/>
                <w:color w:val="222222"/>
                <w:sz w:val="18"/>
              </w:rPr>
              <w:t>1</w:t>
            </w:r>
          </w:p>
        </w:tc>
        <w:tc>
          <w:tcPr>
            <w:tcW w:type="dxa" w:w="4876"/>
            <w:tcMar>
              <w:top w:w="80" w:type="dxa"/>
              <w:start w:w="90" w:type="dxa"/>
              <w:bottom w:w="80" w:type="dxa"/>
              <w:end w:w="90" w:type="dxa"/>
            </w:tcMar>
          </w:tcPr>
          <w:p>
            <w:r>
              <w:rPr>
                <w:rFonts w:ascii="Cambria" w:hAnsi="Cambria"/>
                <w:color w:val="222222"/>
                <w:sz w:val="18"/>
              </w:rPr>
              <w:t>Introduction and scientific context</w:t>
            </w:r>
          </w:p>
        </w:tc>
      </w:tr>
      <w:tr>
        <w:tc>
          <w:tcPr>
            <w:tcW w:type="dxa" w:w="4876"/>
            <w:tcMar>
              <w:top w:w="80" w:type="dxa"/>
              <w:start w:w="90" w:type="dxa"/>
              <w:bottom w:w="80" w:type="dxa"/>
              <w:end w:w="90" w:type="dxa"/>
            </w:tcMar>
          </w:tcPr>
          <w:p>
            <w:r>
              <w:rPr>
                <w:rFonts w:ascii="Cambria" w:hAnsi="Cambria"/>
                <w:color w:val="222222"/>
                <w:sz w:val="18"/>
              </w:rPr>
              <w:t>2</w:t>
            </w:r>
          </w:p>
        </w:tc>
        <w:tc>
          <w:tcPr>
            <w:tcW w:type="dxa" w:w="4876"/>
            <w:tcMar>
              <w:top w:w="80" w:type="dxa"/>
              <w:start w:w="90" w:type="dxa"/>
              <w:bottom w:w="80" w:type="dxa"/>
              <w:end w:w="90" w:type="dxa"/>
            </w:tcMar>
          </w:tcPr>
          <w:p>
            <w:r>
              <w:rPr>
                <w:rFonts w:ascii="Cambria" w:hAnsi="Cambria"/>
                <w:color w:val="222222"/>
                <w:sz w:val="18"/>
              </w:rPr>
              <w:t>Base paper, research foundations and project evolution</w:t>
            </w:r>
          </w:p>
        </w:tc>
      </w:tr>
      <w:tr>
        <w:tc>
          <w:tcPr>
            <w:tcW w:type="dxa" w:w="4876"/>
            <w:tcMar>
              <w:top w:w="80" w:type="dxa"/>
              <w:start w:w="90" w:type="dxa"/>
              <w:bottom w:w="80" w:type="dxa"/>
              <w:end w:w="90" w:type="dxa"/>
            </w:tcMar>
          </w:tcPr>
          <w:p>
            <w:r>
              <w:rPr>
                <w:rFonts w:ascii="Cambria" w:hAnsi="Cambria"/>
                <w:color w:val="222222"/>
                <w:sz w:val="18"/>
              </w:rPr>
              <w:t>3</w:t>
            </w:r>
          </w:p>
        </w:tc>
        <w:tc>
          <w:tcPr>
            <w:tcW w:type="dxa" w:w="4876"/>
            <w:tcMar>
              <w:top w:w="80" w:type="dxa"/>
              <w:start w:w="90" w:type="dxa"/>
              <w:bottom w:w="80" w:type="dxa"/>
              <w:end w:w="90" w:type="dxa"/>
            </w:tcMar>
          </w:tcPr>
          <w:p>
            <w:r>
              <w:rPr>
                <w:rFonts w:ascii="Cambria" w:hAnsi="Cambria"/>
                <w:color w:val="222222"/>
                <w:sz w:val="18"/>
              </w:rPr>
              <w:t>Analytical literature survey and research gap</w:t>
            </w:r>
          </w:p>
        </w:tc>
      </w:tr>
      <w:tr>
        <w:tc>
          <w:tcPr>
            <w:tcW w:type="dxa" w:w="4876"/>
            <w:tcMar>
              <w:top w:w="80" w:type="dxa"/>
              <w:start w:w="90" w:type="dxa"/>
              <w:bottom w:w="80" w:type="dxa"/>
              <w:end w:w="90" w:type="dxa"/>
            </w:tcMar>
          </w:tcPr>
          <w:p>
            <w:r>
              <w:rPr>
                <w:rFonts w:ascii="Cambria" w:hAnsi="Cambria"/>
                <w:color w:val="222222"/>
                <w:sz w:val="18"/>
              </w:rPr>
              <w:t>4</w:t>
            </w:r>
          </w:p>
        </w:tc>
        <w:tc>
          <w:tcPr>
            <w:tcW w:type="dxa" w:w="4876"/>
            <w:tcMar>
              <w:top w:w="80" w:type="dxa"/>
              <w:start w:w="90" w:type="dxa"/>
              <w:bottom w:w="80" w:type="dxa"/>
              <w:end w:w="90" w:type="dxa"/>
            </w:tcMar>
          </w:tcPr>
          <w:p>
            <w:r>
              <w:rPr>
                <w:rFonts w:ascii="Cambria" w:hAnsi="Cambria"/>
                <w:color w:val="222222"/>
                <w:sz w:val="18"/>
              </w:rPr>
              <w:t>Existing system / approaches, advantages and disadvantages</w:t>
            </w:r>
          </w:p>
        </w:tc>
      </w:tr>
      <w:tr>
        <w:tc>
          <w:tcPr>
            <w:tcW w:type="dxa" w:w="4876"/>
            <w:tcMar>
              <w:top w:w="80" w:type="dxa"/>
              <w:start w:w="90" w:type="dxa"/>
              <w:bottom w:w="80" w:type="dxa"/>
              <w:end w:w="90" w:type="dxa"/>
            </w:tcMar>
          </w:tcPr>
          <w:p>
            <w:r>
              <w:rPr>
                <w:rFonts w:ascii="Cambria" w:hAnsi="Cambria"/>
                <w:color w:val="222222"/>
                <w:sz w:val="18"/>
              </w:rPr>
              <w:t>5</w:t>
            </w:r>
          </w:p>
        </w:tc>
        <w:tc>
          <w:tcPr>
            <w:tcW w:type="dxa" w:w="4876"/>
            <w:tcMar>
              <w:top w:w="80" w:type="dxa"/>
              <w:start w:w="90" w:type="dxa"/>
              <w:bottom w:w="80" w:type="dxa"/>
              <w:end w:w="90" w:type="dxa"/>
            </w:tcMar>
          </w:tcPr>
          <w:p>
            <w:r>
              <w:rPr>
                <w:rFonts w:ascii="Cambria" w:hAnsi="Cambria"/>
                <w:color w:val="222222"/>
                <w:sz w:val="18"/>
              </w:rPr>
              <w:t>Proposed system, expected advantages and limitations</w:t>
            </w:r>
          </w:p>
        </w:tc>
      </w:tr>
      <w:tr>
        <w:tc>
          <w:tcPr>
            <w:tcW w:type="dxa" w:w="4876"/>
            <w:tcMar>
              <w:top w:w="80" w:type="dxa"/>
              <w:start w:w="90" w:type="dxa"/>
              <w:bottom w:w="80" w:type="dxa"/>
              <w:end w:w="90" w:type="dxa"/>
            </w:tcMar>
          </w:tcPr>
          <w:p>
            <w:r>
              <w:rPr>
                <w:rFonts w:ascii="Cambria" w:hAnsi="Cambria"/>
                <w:color w:val="222222"/>
                <w:sz w:val="18"/>
              </w:rPr>
              <w:t>6–7</w:t>
            </w:r>
          </w:p>
        </w:tc>
        <w:tc>
          <w:tcPr>
            <w:tcW w:type="dxa" w:w="4876"/>
            <w:tcMar>
              <w:top w:w="80" w:type="dxa"/>
              <w:start w:w="90" w:type="dxa"/>
              <w:bottom w:w="80" w:type="dxa"/>
              <w:end w:w="90" w:type="dxa"/>
            </w:tcMar>
          </w:tcPr>
          <w:p>
            <w:r>
              <w:rPr>
                <w:rFonts w:ascii="Cambria" w:hAnsi="Cambria"/>
                <w:color w:val="222222"/>
                <w:sz w:val="18"/>
              </w:rPr>
              <w:t>Conceptual architecture / flow diagram and explanation</w:t>
            </w:r>
          </w:p>
        </w:tc>
      </w:tr>
      <w:tr>
        <w:tc>
          <w:tcPr>
            <w:tcW w:type="dxa" w:w="4876"/>
            <w:tcMar>
              <w:top w:w="80" w:type="dxa"/>
              <w:start w:w="90" w:type="dxa"/>
              <w:bottom w:w="80" w:type="dxa"/>
              <w:end w:w="90" w:type="dxa"/>
            </w:tcMar>
          </w:tcPr>
          <w:p>
            <w:r>
              <w:rPr>
                <w:rFonts w:ascii="Cambria" w:hAnsi="Cambria"/>
                <w:color w:val="222222"/>
                <w:sz w:val="18"/>
              </w:rPr>
              <w:t>8–10</w:t>
            </w:r>
          </w:p>
        </w:tc>
        <w:tc>
          <w:tcPr>
            <w:tcW w:type="dxa" w:w="4876"/>
            <w:tcMar>
              <w:top w:w="80" w:type="dxa"/>
              <w:start w:w="90" w:type="dxa"/>
              <w:bottom w:w="80" w:type="dxa"/>
              <w:end w:w="90" w:type="dxa"/>
            </w:tcMar>
          </w:tcPr>
          <w:p>
            <w:r>
              <w:rPr>
                <w:rFonts w:ascii="Cambria" w:hAnsi="Cambria"/>
                <w:color w:val="222222"/>
                <w:sz w:val="18"/>
              </w:rPr>
              <w:t>Data roles, methodological rationale and team/PPT guidance</w:t>
            </w:r>
          </w:p>
        </w:tc>
      </w:tr>
      <w:tr>
        <w:tc>
          <w:tcPr>
            <w:tcW w:type="dxa" w:w="4876"/>
            <w:tcMar>
              <w:top w:w="80" w:type="dxa"/>
              <w:start w:w="90" w:type="dxa"/>
              <w:bottom w:w="80" w:type="dxa"/>
              <w:end w:w="90" w:type="dxa"/>
            </w:tcMar>
          </w:tcPr>
          <w:p>
            <w:r>
              <w:rPr>
                <w:rFonts w:ascii="Cambria" w:hAnsi="Cambria"/>
                <w:color w:val="222222"/>
                <w:sz w:val="18"/>
              </w:rPr>
              <w:t>11–12</w:t>
            </w:r>
          </w:p>
        </w:tc>
        <w:tc>
          <w:tcPr>
            <w:tcW w:type="dxa" w:w="4876"/>
            <w:tcMar>
              <w:top w:w="80" w:type="dxa"/>
              <w:start w:w="90" w:type="dxa"/>
              <w:bottom w:w="80" w:type="dxa"/>
              <w:end w:w="90" w:type="dxa"/>
            </w:tcMar>
          </w:tcPr>
          <w:p>
            <w:r>
              <w:rPr>
                <w:rFonts w:ascii="Cambria" w:hAnsi="Cambria"/>
                <w:color w:val="222222"/>
                <w:sz w:val="18"/>
              </w:rPr>
              <w:t>Literature comparison matrix, viva questions and quality controls</w:t>
            </w:r>
          </w:p>
        </w:tc>
      </w:tr>
      <w:tr>
        <w:tc>
          <w:tcPr>
            <w:tcW w:type="dxa" w:w="4876"/>
            <w:tcMar>
              <w:top w:w="80" w:type="dxa"/>
              <w:start w:w="90" w:type="dxa"/>
              <w:bottom w:w="80" w:type="dxa"/>
              <w:end w:w="90" w:type="dxa"/>
            </w:tcMar>
          </w:tcPr>
          <w:p>
            <w:r>
              <w:rPr>
                <w:rFonts w:ascii="Cambria" w:hAnsi="Cambria"/>
                <w:color w:val="222222"/>
                <w:sz w:val="18"/>
              </w:rPr>
              <w:t>13</w:t>
            </w:r>
          </w:p>
        </w:tc>
        <w:tc>
          <w:tcPr>
            <w:tcW w:type="dxa" w:w="4876"/>
            <w:tcMar>
              <w:top w:w="80" w:type="dxa"/>
              <w:start w:w="90" w:type="dxa"/>
              <w:bottom w:w="80" w:type="dxa"/>
              <w:end w:w="90" w:type="dxa"/>
            </w:tcMar>
          </w:tcPr>
          <w:p>
            <w:r>
              <w:rPr>
                <w:rFonts w:ascii="Cambria" w:hAnsi="Cambria"/>
                <w:color w:val="222222"/>
                <w:sz w:val="18"/>
              </w:rPr>
              <w:t>Review-I conclusion</w:t>
            </w:r>
          </w:p>
        </w:tc>
      </w:tr>
      <w:tr>
        <w:tc>
          <w:tcPr>
            <w:tcW w:type="dxa" w:w="4876"/>
            <w:tcMar>
              <w:top w:w="80" w:type="dxa"/>
              <w:start w:w="90" w:type="dxa"/>
              <w:bottom w:w="80" w:type="dxa"/>
              <w:end w:w="90" w:type="dxa"/>
            </w:tcMar>
          </w:tcPr>
          <w:p>
            <w:r>
              <w:rPr>
                <w:rFonts w:ascii="Cambria" w:hAnsi="Cambria"/>
                <w:color w:val="222222"/>
                <w:sz w:val="18"/>
              </w:rPr>
              <w:t>References</w:t>
            </w:r>
          </w:p>
        </w:tc>
        <w:tc>
          <w:tcPr>
            <w:tcW w:type="dxa" w:w="4876"/>
            <w:tcMar>
              <w:top w:w="80" w:type="dxa"/>
              <w:start w:w="90" w:type="dxa"/>
              <w:bottom w:w="80" w:type="dxa"/>
              <w:end w:w="90" w:type="dxa"/>
            </w:tcMar>
          </w:tcPr>
          <w:p>
            <w:r>
              <w:rPr>
                <w:rFonts w:ascii="Cambria" w:hAnsi="Cambria"/>
                <w:color w:val="222222"/>
                <w:sz w:val="18"/>
              </w:rPr>
              <w:t>Traceable IEEE-style source list</w:t>
            </w:r>
          </w:p>
        </w:tc>
      </w:tr>
    </w:tbl>
    <w:p>
      <w:r>
        <w:br w:type="page"/>
      </w:r>
    </w:p>
    <w:p>
      <w:pPr>
        <w:pStyle w:val="Heading2"/>
      </w:pPr>
      <w:r>
        <w:rPr>
          <w:rFonts w:ascii="Cambria" w:hAnsi="Cambria"/>
          <w:color w:val="17365D"/>
        </w:rPr>
        <w:t>Abstract</w:t>
      </w:r>
    </w:p>
    <w:p>
      <w:pPr>
        <w:pStyle w:val="BodyText"/>
        <w:jc w:val="both"/>
      </w:pPr>
      <w:r>
        <w:rPr>
          <w:rFonts w:ascii="Cambria" w:hAnsi="Cambria"/>
          <w:color w:val="222222"/>
          <w:sz w:val="21"/>
        </w:rPr>
        <w:t>X-ray astronomy investigates high-energy processes associated with compact objects, accretion flows, supernova remnants and relativistic particles. Imaging, spectroscopy and timing reveal where X-rays originate, how their energy is distributed and how emission changes with time, but these observables can leave competing source geometries insufficiently constrained. Linear X-ray polarization provides complementary information through polarization degree and angle, which are sensitive to emission asymmetry, magnetic-field structure and scattering geometry. India’s X-ray Polarimeter Satellite (XPoSat) carries POLIX for medium-energy polarimetry and XSPECT for spectroscopy and timing [1], [4].</w:t>
      </w:r>
    </w:p>
    <w:p>
      <w:pPr>
        <w:pStyle w:val="BodyText"/>
        <w:jc w:val="both"/>
      </w:pPr>
      <w:r>
        <w:rPr>
          <w:rFonts w:ascii="Cambria" w:hAnsi="Cambria"/>
          <w:color w:val="222222"/>
          <w:sz w:val="21"/>
        </w:rPr>
        <w:t>The proposed study addresses the heterogeneous Level-2 FITS products associated with each POLIX observation when trusted anomaly labels are unavailable. The project aims to develop an unsupervised, interpretable screening framework representing exposure, energy-resolved azimuthal behaviour, source azimuthal distributions, timing and detector balance through scientifically meaningful features. PCA, clustering and anomaly detection are intended to prioritize observations rather than make automated discovery claims. Product-aware explanations are planned so that a score can be traced to its contributing features and original product families.</w:t>
      </w:r>
    </w:p>
    <w:p>
      <w:pPr>
        <w:pStyle w:val="BodyText"/>
        <w:jc w:val="both"/>
      </w:pPr>
      <w:r>
        <w:rPr>
          <w:rFonts w:ascii="Cambria" w:hAnsi="Cambria"/>
          <w:color w:val="222222"/>
          <w:sz w:val="21"/>
        </w:rPr>
        <w:t xml:space="preserve">An independent physical diagnostic is intended for the </w:t>
      </w:r>
      <w:r>
        <w:rPr>
          <w:rFonts w:ascii="Consolas" w:hAnsi="Consolas"/>
          <w:color w:val="0F6B78"/>
          <w:sz w:val="20"/>
        </w:rPr>
        <w:t>WeightedRoll_L2.fits</w:t>
      </w:r>
      <w:r>
        <w:rPr>
          <w:rFonts w:ascii="Cambria" w:hAnsi="Cambria"/>
          <w:color w:val="222222"/>
          <w:sz w:val="21"/>
        </w:rPr>
        <w:t xml:space="preserve"> modulation product, supported by blank-sky comparison and established Stokes or modulation-curve concepts [2], [8]. The expected contribution is a reproducible researcher-oriented screening method that separates statistical unusualness from polarization evidence. The major scientific limitation is that current modulation products contain source and background contributions. Calibrated polarization degree and official sky polarization angle therefore cannot be claimed without appropriate background treatment, response calibration and mission-approved conventions [2].</w:t>
      </w:r>
    </w:p>
    <w:p>
      <w:pPr>
        <w:pStyle w:val="Heading1"/>
      </w:pPr>
      <w:r>
        <w:rPr>
          <w:rFonts w:ascii="Cambria" w:hAnsi="Cambria"/>
          <w:color w:val="17365D"/>
        </w:rPr>
        <w:t>1. Introduction</w:t>
      </w:r>
    </w:p>
    <w:p>
      <w:pPr>
        <w:pStyle w:val="Heading2"/>
      </w:pPr>
      <w:r>
        <w:rPr>
          <w:rFonts w:ascii="Cambria" w:hAnsi="Cambria"/>
          <w:color w:val="17365D"/>
        </w:rPr>
        <w:t>1.1 Background of X-Ray Astronomy</w:t>
      </w:r>
    </w:p>
    <w:p>
      <w:pPr>
        <w:pStyle w:val="BodyText"/>
        <w:jc w:val="both"/>
      </w:pPr>
      <w:r>
        <w:rPr>
          <w:rFonts w:ascii="Cambria" w:hAnsi="Cambria"/>
          <w:color w:val="222222"/>
          <w:sz w:val="21"/>
        </w:rPr>
        <w:t>X-ray astronomy studies celestial radiation at energies substantially higher than visible light. The Earth’s atmosphere absorbs astronomical X-rays, so observational X-ray astronomy depends mainly on space-borne detectors. Cosmic X-rays are commonly produced where matter reaches very high temperatures, particles are accelerated to relativistic energies, or material interacts with strong gravitational and magnetic fields. Accreting black holes and neutron stars, pulsars, supernova remnants and hot plasma in galaxies and clusters are therefore prominent X-ray sources [5], [7].</w:t>
      </w:r>
    </w:p>
    <w:p>
      <w:pPr>
        <w:pStyle w:val="BodyText"/>
        <w:jc w:val="both"/>
      </w:pPr>
      <w:r>
        <w:rPr>
          <w:rFonts w:ascii="Cambria" w:hAnsi="Cambria"/>
          <w:color w:val="222222"/>
          <w:sz w:val="21"/>
        </w:rPr>
        <w:t>Three established observational approaches are especially important:</w:t>
      </w:r>
    </w:p>
    <w:p>
      <w:pPr>
        <w:spacing w:after="40"/>
      </w:pPr>
      <w:r>
        <w:rPr>
          <w:rFonts w:ascii="Cambria" w:hAnsi="Cambria"/>
          <w:sz w:val="20"/>
        </w:rPr>
        <w:t xml:space="preserve">1. </w:t>
      </w:r>
      <w:r>
        <w:rPr>
          <w:rFonts w:ascii="Cambria" w:hAnsi="Cambria"/>
          <w:b/>
          <w:color w:val="222222"/>
          <w:sz w:val="20"/>
        </w:rPr>
        <w:t>Imaging</w:t>
      </w:r>
      <w:r>
        <w:rPr>
          <w:rFonts w:ascii="Cambria" w:hAnsi="Cambria"/>
          <w:color w:val="222222"/>
          <w:sz w:val="20"/>
        </w:rPr>
        <w:t xml:space="preserve"> determines where X-ray photons originate and reveals spatial structures such as shocks, jets, compact cores and supernova-remnant filaments. Chandra is a leading example of a mission optimized for high-angular-resolution X-ray imaging, with instruments that also support spectroscopy [5].</w:t>
      </w:r>
    </w:p>
    <w:p>
      <w:pPr>
        <w:spacing w:after="40"/>
      </w:pPr>
      <w:r>
        <w:rPr>
          <w:rFonts w:ascii="Cambria" w:hAnsi="Cambria"/>
          <w:sz w:val="20"/>
        </w:rPr>
        <w:t xml:space="preserve">2. </w:t>
      </w:r>
      <w:r>
        <w:rPr>
          <w:rFonts w:ascii="Cambria" w:hAnsi="Cambria"/>
          <w:b/>
          <w:color w:val="222222"/>
          <w:sz w:val="20"/>
        </w:rPr>
        <w:t>Spectroscopy</w:t>
      </w:r>
      <w:r>
        <w:rPr>
          <w:rFonts w:ascii="Cambria" w:hAnsi="Cambria"/>
          <w:color w:val="222222"/>
          <w:sz w:val="20"/>
        </w:rPr>
        <w:t xml:space="preserve"> measures photon energy distributions. Spectral continua and lines can constrain temperature, composition, absorption, ionization and emission mechanisms.</w:t>
      </w:r>
    </w:p>
    <w:p>
      <w:pPr>
        <w:spacing w:after="40"/>
      </w:pPr>
      <w:r>
        <w:rPr>
          <w:rFonts w:ascii="Cambria" w:hAnsi="Cambria"/>
          <w:sz w:val="20"/>
        </w:rPr>
        <w:t xml:space="preserve">3. </w:t>
      </w:r>
      <w:r>
        <w:rPr>
          <w:rFonts w:ascii="Cambria" w:hAnsi="Cambria"/>
          <w:b/>
          <w:color w:val="222222"/>
          <w:sz w:val="20"/>
        </w:rPr>
        <w:t>Timing</w:t>
      </w:r>
      <w:r>
        <w:rPr>
          <w:rFonts w:ascii="Cambria" w:hAnsi="Cambria"/>
          <w:color w:val="222222"/>
          <w:sz w:val="20"/>
        </w:rPr>
        <w:t xml:space="preserve"> examines variability over timescales ranging from milliseconds to years. Pulsations, eclipses, bursts and quasi-periodic variations can connect emission to orbital motion, rotation or changing accretion states.</w:t>
      </w:r>
    </w:p>
    <w:p>
      <w:pPr>
        <w:pStyle w:val="BodyText"/>
        <w:jc w:val="both"/>
      </w:pPr>
      <w:r>
        <w:rPr>
          <w:rFonts w:ascii="Cambria" w:hAnsi="Cambria"/>
          <w:color w:val="222222"/>
          <w:sz w:val="21"/>
        </w:rPr>
        <w:t>These approaches are powerful but may not uniquely determine a source model. Two geometrically different emitting regions can sometimes produce similar spectra or light curves, particularly when the source is too small to be spatially resolved. Polarimetry adds observables that depend on directional asymmetry. It can therefore help distinguish between otherwise degenerate descriptions of an accretion disc, corona, jet, magnetic pole or scattering region [7], [8].</w:t>
      </w:r>
    </w:p>
    <w:p>
      <w:pPr>
        <w:pStyle w:val="BodyText"/>
        <w:jc w:val="both"/>
      </w:pPr>
      <w:r>
        <w:rPr>
          <w:rFonts w:ascii="Cambria" w:hAnsi="Cambria"/>
          <w:color w:val="222222"/>
          <w:sz w:val="21"/>
        </w:rPr>
        <w:t>For a Computer Science project, the practical implication is that an X-ray observation is not a single number or image. It is a set of related data products, each preserving a different aspect of the observation. A computational framework must retain those relationships rather than compress all information into an unexplained score.</w:t>
      </w:r>
    </w:p>
    <w:p>
      <w:pPr>
        <w:pStyle w:val="Heading2"/>
      </w:pPr>
      <w:r>
        <w:rPr>
          <w:rFonts w:ascii="Cambria" w:hAnsi="Cambria"/>
          <w:color w:val="17365D"/>
        </w:rPr>
        <w:t>1.2 X-Ray Polarization</w:t>
      </w:r>
    </w:p>
    <w:p>
      <w:pPr>
        <w:pStyle w:val="BodyText"/>
        <w:jc w:val="both"/>
      </w:pPr>
      <w:r>
        <w:rPr>
          <w:rFonts w:ascii="Cambria" w:hAnsi="Cambria"/>
          <w:color w:val="222222"/>
          <w:sz w:val="21"/>
        </w:rPr>
        <w:t xml:space="preserve">An electromagnetic wave is linearly polarized when its electric-field oscillation has a preferred orientation perpendicular to the direction of propagation. An astronomical beam normally contains many photons and is described statistically. The </w:t>
      </w:r>
      <w:r>
        <w:rPr>
          <w:rFonts w:ascii="Cambria" w:hAnsi="Cambria"/>
          <w:b/>
          <w:color w:val="222222"/>
          <w:sz w:val="21"/>
        </w:rPr>
        <w:t>polarization degree</w:t>
      </w:r>
      <w:r>
        <w:rPr>
          <w:rFonts w:ascii="Cambria" w:hAnsi="Cambria"/>
          <w:color w:val="222222"/>
          <w:sz w:val="21"/>
        </w:rPr>
        <w:t xml:space="preserve"> (PD) denotes the fraction of the measured radiation associated with a preferred linear orientation, while the </w:t>
      </w:r>
      <w:r>
        <w:rPr>
          <w:rFonts w:ascii="Cambria" w:hAnsi="Cambria"/>
          <w:b/>
          <w:color w:val="222222"/>
          <w:sz w:val="21"/>
        </w:rPr>
        <w:t>polarization angle</w:t>
      </w:r>
      <w:r>
        <w:rPr>
          <w:rFonts w:ascii="Cambria" w:hAnsi="Cambria"/>
          <w:color w:val="222222"/>
          <w:sz w:val="21"/>
        </w:rPr>
        <w:t xml:space="preserve"> (PA) specifies that orientation under an adopted reference convention. Because linear polarization is unchanged by a 180° rotation of its direction, azimuthal polarimetry has a characteristic two-fold periodicity [7], [8].</w:t>
      </w:r>
    </w:p>
    <w:p>
      <w:pPr>
        <w:pStyle w:val="BodyText"/>
        <w:jc w:val="both"/>
      </w:pPr>
      <w:r>
        <w:rPr>
          <w:rFonts w:ascii="Cambria" w:hAnsi="Cambria"/>
          <w:color w:val="222222"/>
          <w:sz w:val="21"/>
        </w:rPr>
        <w:t>Polarization is connected to physical structure because many X-ray emission and interaction processes are direction-dependent. Synchrotron radiation is related to ordered magnetic fields; scattering in an asymmetric medium can create or modify polarization; and emission from a disc-plus-corona system can carry information about inclination and coronal geometry. In pulsars and accreting neutron stars, phase-dependent polarization can constrain the relation between the rotation axis, magnetic axis and observer [9]. In black-hole binaries, the energy dependence and orientation of polarization can constrain the geometry of the inner X-ray-emitting region relative to a jet or disc [10].</w:t>
      </w:r>
    </w:p>
    <w:p>
      <w:pPr>
        <w:pStyle w:val="BodyText"/>
        <w:jc w:val="both"/>
      </w:pPr>
      <w:r>
        <w:rPr>
          <w:rFonts w:ascii="Cambria" w:hAnsi="Cambria"/>
          <w:color w:val="222222"/>
          <w:sz w:val="21"/>
        </w:rPr>
        <w:t>Polarization should nevertheless be interpreted with care. A measured azimuthal modulation is not automatically a calibrated PD. Instrument response, background, modulation factor, exposure distribution and angle conventions must be considered. Similarly, a fitted phase in a detector-coordinate modulation curve is not automatically an official sky PA. These distinctions are central to the proposed study [2], [8].</w:t>
      </w:r>
    </w:p>
    <w:p>
      <w:pPr>
        <w:pStyle w:val="Heading2"/>
      </w:pPr>
      <w:r>
        <w:rPr>
          <w:rFonts w:ascii="Cambria" w:hAnsi="Cambria"/>
          <w:color w:val="17365D"/>
        </w:rPr>
        <w:t>1.3 Existing X-Ray Missions and Context</w:t>
      </w:r>
    </w:p>
    <w:p>
      <w:pPr>
        <w:pStyle w:val="BodyText"/>
        <w:jc w:val="both"/>
      </w:pPr>
      <w:r>
        <w:rPr>
          <w:rFonts w:ascii="Cambria" w:hAnsi="Cambria"/>
          <w:color w:val="222222"/>
          <w:sz w:val="21"/>
        </w:rPr>
        <w:t>The missions relevant to this study have distinct scientific roles:</w:t>
      </w:r>
    </w:p>
    <w:tbl>
      <w:tblPr>
        <w:tblW w:type="auto" w:w="0"/>
        <w:jc w:val="center"/>
        <w:tblLayout w:type="autofit"/>
        <w:tblLook w:firstColumn="1" w:firstRow="1" w:lastColumn="0" w:lastRow="0" w:noHBand="0" w:noVBand="1" w:val="04A0"/>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Pr>
      <w:tblGrid>
        <w:gridCol w:w="3251"/>
        <w:gridCol w:w="3251"/>
        <w:gridCol w:w="3251"/>
      </w:tblGrid>
      <w:tr>
        <w:trPr>
          <w:tblHeader w:val="true"/>
        </w:trPr>
        <w:tc>
          <w:tcPr>
            <w:tcW w:type="dxa" w:w="3251"/>
            <w:shd w:fill="1F4E78"/>
            <w:tcMar>
              <w:top w:w="80" w:type="dxa"/>
              <w:start w:w="90" w:type="dxa"/>
              <w:bottom w:w="80" w:type="dxa"/>
              <w:end w:w="90" w:type="dxa"/>
            </w:tcMar>
            <w:vAlign w:val="center"/>
          </w:tcPr>
          <w:p>
            <w:pPr>
              <w:jc w:val="center"/>
            </w:pPr>
            <w:r>
              <w:rPr>
                <w:rFonts w:ascii="Cambria" w:hAnsi="Cambria"/>
                <w:b/>
                <w:color w:val="FFFFFF"/>
                <w:sz w:val="16"/>
              </w:rPr>
              <w:t>Mission or payload</w:t>
            </w:r>
          </w:p>
        </w:tc>
        <w:tc>
          <w:tcPr>
            <w:tcW w:type="dxa" w:w="3251"/>
            <w:shd w:fill="1F4E78"/>
            <w:tcMar>
              <w:top w:w="80" w:type="dxa"/>
              <w:start w:w="90" w:type="dxa"/>
              <w:bottom w:w="80" w:type="dxa"/>
              <w:end w:w="90" w:type="dxa"/>
            </w:tcMar>
            <w:vAlign w:val="center"/>
          </w:tcPr>
          <w:p>
            <w:pPr>
              <w:jc w:val="center"/>
            </w:pPr>
            <w:r>
              <w:rPr>
                <w:rFonts w:ascii="Cambria" w:hAnsi="Cambria"/>
                <w:b/>
                <w:color w:val="FFFFFF"/>
                <w:sz w:val="16"/>
              </w:rPr>
              <w:t>Primary role relevant to this study</w:t>
            </w:r>
          </w:p>
        </w:tc>
        <w:tc>
          <w:tcPr>
            <w:tcW w:type="dxa" w:w="3251"/>
            <w:shd w:fill="1F4E78"/>
            <w:tcMar>
              <w:top w:w="80" w:type="dxa"/>
              <w:start w:w="90" w:type="dxa"/>
              <w:bottom w:w="80" w:type="dxa"/>
              <w:end w:w="90" w:type="dxa"/>
            </w:tcMar>
            <w:vAlign w:val="center"/>
          </w:tcPr>
          <w:p>
            <w:pPr>
              <w:jc w:val="center"/>
            </w:pPr>
            <w:r>
              <w:rPr>
                <w:rFonts w:ascii="Cambria" w:hAnsi="Cambria"/>
                <w:b/>
                <w:color w:val="FFFFFF"/>
                <w:sz w:val="16"/>
              </w:rPr>
              <w:t>Verified operating context</w:t>
            </w:r>
          </w:p>
        </w:tc>
      </w:tr>
      <w:tr>
        <w:tc>
          <w:tcPr>
            <w:tcW w:type="dxa" w:w="3251"/>
            <w:tcMar>
              <w:top w:w="80" w:type="dxa"/>
              <w:start w:w="90" w:type="dxa"/>
              <w:bottom w:w="80" w:type="dxa"/>
              <w:end w:w="90" w:type="dxa"/>
            </w:tcMar>
            <w:vAlign w:val="top"/>
          </w:tcPr>
          <w:p>
            <w:pPr>
              <w:spacing w:after="0"/>
            </w:pPr>
            <w:r>
              <w:rPr>
                <w:rFonts w:ascii="Cambria" w:hAnsi="Cambria"/>
                <w:b/>
                <w:color w:val="222222"/>
                <w:sz w:val="17"/>
              </w:rPr>
              <w:t>Chandra X-ray Observatory</w:t>
            </w:r>
          </w:p>
        </w:tc>
        <w:tc>
          <w:tcPr>
            <w:tcW w:type="dxa" w:w="3251"/>
            <w:tcMar>
              <w:top w:w="80" w:type="dxa"/>
              <w:start w:w="90" w:type="dxa"/>
              <w:bottom w:w="80" w:type="dxa"/>
              <w:end w:w="90" w:type="dxa"/>
            </w:tcMar>
            <w:vAlign w:val="top"/>
          </w:tcPr>
          <w:p>
            <w:pPr>
              <w:spacing w:after="0"/>
            </w:pPr>
            <w:r>
              <w:rPr>
                <w:rFonts w:ascii="Cambria" w:hAnsi="Cambria"/>
                <w:color w:val="222222"/>
                <w:sz w:val="17"/>
              </w:rPr>
              <w:t>High-resolution X-ray imaging, imaging spectroscopy and dispersive spectroscopy</w:t>
            </w:r>
          </w:p>
        </w:tc>
        <w:tc>
          <w:tcPr>
            <w:tcW w:type="dxa" w:w="3251"/>
            <w:tcMar>
              <w:top w:w="80" w:type="dxa"/>
              <w:start w:w="90" w:type="dxa"/>
              <w:bottom w:w="80" w:type="dxa"/>
              <w:end w:w="90" w:type="dxa"/>
            </w:tcMar>
            <w:vAlign w:val="top"/>
          </w:tcPr>
          <w:p>
            <w:pPr>
              <w:spacing w:after="0"/>
            </w:pPr>
            <w:r>
              <w:rPr>
                <w:rFonts w:ascii="Cambria" w:hAnsi="Cambria"/>
                <w:color w:val="222222"/>
                <w:sz w:val="17"/>
              </w:rPr>
              <w:t>Chandra provides sub-arcsecond-class imaging and spectroscopic capability; it is not treated here as a dedicated polarimetry mission [5].</w:t>
            </w:r>
          </w:p>
        </w:tc>
      </w:tr>
      <w:tr>
        <w:tc>
          <w:tcPr>
            <w:tcW w:type="dxa" w:w="3251"/>
            <w:tcMar>
              <w:top w:w="80" w:type="dxa"/>
              <w:start w:w="90" w:type="dxa"/>
              <w:bottom w:w="80" w:type="dxa"/>
              <w:end w:w="90" w:type="dxa"/>
            </w:tcMar>
            <w:vAlign w:val="top"/>
            <w:shd w:fill="F2F2F2"/>
          </w:tcPr>
          <w:p>
            <w:pPr>
              <w:spacing w:after="0"/>
            </w:pPr>
            <w:r>
              <w:rPr>
                <w:rFonts w:ascii="Cambria" w:hAnsi="Cambria"/>
                <w:b/>
                <w:color w:val="222222"/>
                <w:sz w:val="17"/>
              </w:rPr>
              <w:t>Imaging X-ray Polarimetry Explorer (IXPE)</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Dedicated imaging X-ray polarimetry</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IXPE uses three telescope systems with polarization-sensitive imaging detectors and operates principally over 2–8 keV [6].</w:t>
            </w:r>
          </w:p>
        </w:tc>
      </w:tr>
      <w:tr>
        <w:tc>
          <w:tcPr>
            <w:tcW w:type="dxa" w:w="3251"/>
            <w:tcMar>
              <w:top w:w="80" w:type="dxa"/>
              <w:start w:w="90" w:type="dxa"/>
              <w:bottom w:w="80" w:type="dxa"/>
              <w:end w:w="90" w:type="dxa"/>
            </w:tcMar>
            <w:vAlign w:val="top"/>
          </w:tcPr>
          <w:p>
            <w:pPr>
              <w:spacing w:after="0"/>
            </w:pPr>
            <w:r>
              <w:rPr>
                <w:rFonts w:ascii="Cambria" w:hAnsi="Cambria"/>
                <w:b/>
                <w:color w:val="222222"/>
                <w:sz w:val="17"/>
              </w:rPr>
              <w:t>XPoSat</w:t>
            </w:r>
          </w:p>
        </w:tc>
        <w:tc>
          <w:tcPr>
            <w:tcW w:type="dxa" w:w="3251"/>
            <w:tcMar>
              <w:top w:w="80" w:type="dxa"/>
              <w:start w:w="90" w:type="dxa"/>
              <w:bottom w:w="80" w:type="dxa"/>
              <w:end w:w="90" w:type="dxa"/>
            </w:tcMar>
            <w:vAlign w:val="top"/>
          </w:tcPr>
          <w:p>
            <w:pPr>
              <w:spacing w:after="0"/>
            </w:pPr>
            <w:r>
              <w:rPr>
                <w:rFonts w:ascii="Cambria" w:hAnsi="Cambria"/>
                <w:color w:val="222222"/>
                <w:sz w:val="17"/>
              </w:rPr>
              <w:t>Indian space observatory dedicated to X-ray polarimetry with supporting spectroscopic and timing capability</w:t>
            </w:r>
          </w:p>
        </w:tc>
        <w:tc>
          <w:tcPr>
            <w:tcW w:type="dxa" w:w="3251"/>
            <w:tcMar>
              <w:top w:w="80" w:type="dxa"/>
              <w:start w:w="90" w:type="dxa"/>
              <w:bottom w:w="80" w:type="dxa"/>
              <w:end w:w="90" w:type="dxa"/>
            </w:tcMar>
            <w:vAlign w:val="top"/>
          </w:tcPr>
          <w:p>
            <w:pPr>
              <w:spacing w:after="0"/>
            </w:pPr>
            <w:r>
              <w:rPr>
                <w:rFonts w:ascii="Cambria" w:hAnsi="Cambria"/>
                <w:color w:val="222222"/>
                <w:sz w:val="17"/>
              </w:rPr>
              <w:t>XPoSat carries POLIX and XSPECT and was launched on 1 January 2024 [1], [4].</w:t>
            </w:r>
          </w:p>
        </w:tc>
      </w:tr>
      <w:tr>
        <w:tc>
          <w:tcPr>
            <w:tcW w:type="dxa" w:w="3251"/>
            <w:tcMar>
              <w:top w:w="80" w:type="dxa"/>
              <w:start w:w="90" w:type="dxa"/>
              <w:bottom w:w="80" w:type="dxa"/>
              <w:end w:w="90" w:type="dxa"/>
            </w:tcMar>
            <w:vAlign w:val="top"/>
            <w:shd w:fill="F2F2F2"/>
          </w:tcPr>
          <w:p>
            <w:pPr>
              <w:spacing w:after="0"/>
            </w:pPr>
            <w:r>
              <w:rPr>
                <w:rFonts w:ascii="Cambria" w:hAnsi="Cambria"/>
                <w:b/>
                <w:color w:val="222222"/>
                <w:sz w:val="17"/>
              </w:rPr>
              <w:t>POLIX</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Collimated medium-energy X-ray polarimetry</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POLIX measures azimuthal scattering information in the 8–30 keV band [1], [2].</w:t>
            </w:r>
          </w:p>
        </w:tc>
      </w:tr>
      <w:tr>
        <w:tc>
          <w:tcPr>
            <w:tcW w:type="dxa" w:w="3251"/>
            <w:tcMar>
              <w:top w:w="80" w:type="dxa"/>
              <w:start w:w="90" w:type="dxa"/>
              <w:bottom w:w="80" w:type="dxa"/>
              <w:end w:w="90" w:type="dxa"/>
            </w:tcMar>
            <w:vAlign w:val="top"/>
          </w:tcPr>
          <w:p>
            <w:pPr>
              <w:spacing w:after="0"/>
            </w:pPr>
            <w:r>
              <w:rPr>
                <w:rFonts w:ascii="Cambria" w:hAnsi="Cambria"/>
                <w:b/>
                <w:color w:val="222222"/>
                <w:sz w:val="17"/>
              </w:rPr>
              <w:t>XSPECT</w:t>
            </w:r>
          </w:p>
        </w:tc>
        <w:tc>
          <w:tcPr>
            <w:tcW w:type="dxa" w:w="3251"/>
            <w:tcMar>
              <w:top w:w="80" w:type="dxa"/>
              <w:start w:w="90" w:type="dxa"/>
              <w:bottom w:w="80" w:type="dxa"/>
              <w:end w:w="90" w:type="dxa"/>
            </w:tcMar>
            <w:vAlign w:val="top"/>
          </w:tcPr>
          <w:p>
            <w:pPr>
              <w:spacing w:after="0"/>
            </w:pPr>
            <w:r>
              <w:rPr>
                <w:rFonts w:ascii="Cambria" w:hAnsi="Cambria"/>
                <w:color w:val="222222"/>
                <w:sz w:val="17"/>
              </w:rPr>
              <w:t>X-ray spectroscopy and timing</w:t>
            </w:r>
          </w:p>
        </w:tc>
        <w:tc>
          <w:tcPr>
            <w:tcW w:type="dxa" w:w="3251"/>
            <w:tcMar>
              <w:top w:w="80" w:type="dxa"/>
              <w:start w:w="90" w:type="dxa"/>
              <w:bottom w:w="80" w:type="dxa"/>
              <w:end w:w="90" w:type="dxa"/>
            </w:tcMar>
            <w:vAlign w:val="top"/>
          </w:tcPr>
          <w:p>
            <w:pPr>
              <w:spacing w:after="0"/>
            </w:pPr>
            <w:r>
              <w:rPr>
                <w:rFonts w:ascii="Cambria" w:hAnsi="Cambria"/>
                <w:color w:val="222222"/>
                <w:sz w:val="17"/>
              </w:rPr>
              <w:t>XSPECT provides spectroscopic and temporal information in the 0.8–15 keV band [1], [4].</w:t>
            </w:r>
          </w:p>
        </w:tc>
      </w:tr>
    </w:tbl>
    <w:p>
      <w:pPr>
        <w:spacing w:after="20"/>
      </w:pPr>
    </w:p>
    <w:p>
      <w:pPr>
        <w:pStyle w:val="BodyText"/>
        <w:jc w:val="both"/>
      </w:pPr>
      <w:r>
        <w:rPr>
          <w:rFonts w:ascii="Cambria" w:hAnsi="Cambria"/>
          <w:color w:val="222222"/>
          <w:sz w:val="21"/>
        </w:rPr>
        <w:t>This comparison prevents two category errors. First, Chandra’s contribution is primarily its imaging and spectroscopic capability, not dedicated polarimetry. Second, IXPE and POLIX are both polarimetric instruments but use different observational and detector arrangements and cover different principal energy bands. XSPECT complements POLIX rather than duplicating its polarimetric role.</w:t>
      </w:r>
    </w:p>
    <w:p>
      <w:pPr>
        <w:pStyle w:val="Heading2"/>
      </w:pPr>
      <w:r>
        <w:rPr>
          <w:rFonts w:ascii="Cambria" w:hAnsi="Cambria"/>
          <w:color w:val="17365D"/>
        </w:rPr>
        <w:t>1.4 XPoSat Mission</w:t>
      </w:r>
    </w:p>
    <w:p>
      <w:pPr>
        <w:pStyle w:val="BodyText"/>
        <w:jc w:val="both"/>
      </w:pPr>
      <w:r>
        <w:rPr>
          <w:rFonts w:ascii="Cambria" w:hAnsi="Cambria"/>
          <w:color w:val="222222"/>
          <w:sz w:val="21"/>
        </w:rPr>
        <w:t>XPoSat is India’s first dedicated X-ray polarimetry mission. It was launched by PSLV-C58 from the Satish Dhawan Space Centre on 1 January 2024 and placed in a low-inclination, low-Earth orbit [1], [4]. Its scientific motivation is to add polarization information to the established spectral and temporal study of bright cosmic X-ray sources. The mission carries two co-aligned scientific payloads:</w:t>
      </w:r>
    </w:p>
    <w:p>
      <w:pPr>
        <w:pStyle w:val="ListBullet"/>
      </w:pPr>
      <w:r>
        <w:rPr>
          <w:rFonts w:ascii="Cambria" w:hAnsi="Cambria"/>
          <w:b/>
          <w:color w:val="222222"/>
          <w:sz w:val="20"/>
        </w:rPr>
        <w:t>POLIX (Polarimeter Instrument in X-rays)</w:t>
      </w:r>
      <w:r>
        <w:rPr>
          <w:rFonts w:ascii="Cambria" w:hAnsi="Cambria"/>
          <w:color w:val="222222"/>
          <w:sz w:val="20"/>
        </w:rPr>
        <w:t>, developed by the Raman Research Institute in collaboration with ISRO centres, is intended for polarization measurements in the 8–30 keV band.</w:t>
      </w:r>
    </w:p>
    <w:p>
      <w:pPr>
        <w:pStyle w:val="ListBullet"/>
      </w:pPr>
      <w:r>
        <w:rPr>
          <w:rFonts w:ascii="Cambria" w:hAnsi="Cambria"/>
          <w:b/>
          <w:color w:val="222222"/>
          <w:sz w:val="20"/>
        </w:rPr>
        <w:t>XSPECT (X-ray Spectroscopy and Timing)</w:t>
      </w:r>
      <w:r>
        <w:rPr>
          <w:rFonts w:ascii="Cambria" w:hAnsi="Cambria"/>
          <w:color w:val="222222"/>
          <w:sz w:val="20"/>
        </w:rPr>
        <w:t>, developed by the U R Rao Satellite Centre, provides spectroscopy and timing in the 0.8–15 keV band [1], [4].</w:t>
      </w:r>
    </w:p>
    <w:p>
      <w:pPr>
        <w:pStyle w:val="BodyText"/>
        <w:jc w:val="both"/>
      </w:pPr>
      <w:r>
        <w:rPr>
          <w:rFonts w:ascii="Cambria" w:hAnsi="Cambria"/>
          <w:color w:val="222222"/>
          <w:sz w:val="21"/>
        </w:rPr>
        <w:t>The mission is important in Indian space astronomy because it extends the country’s space-based high-energy astronomy programme from multi-wavelength observation toward dedicated X-ray polarimetry. Long source observations that are necessary for polarimetry can also support complementary spectral and timing studies. For this Review-I proposal, POLIX Level-2 data are the main computational scope; XSPECT is described to establish mission context but is not included in the primary analysis plan.</w:t>
      </w:r>
    </w:p>
    <w:p>
      <w:pPr>
        <w:pStyle w:val="Heading2"/>
      </w:pPr>
      <w:r>
        <w:rPr>
          <w:rFonts w:ascii="Cambria" w:hAnsi="Cambria"/>
          <w:color w:val="17365D"/>
        </w:rPr>
        <w:t>1.5 POLIX Instrument and Working Principle</w:t>
      </w:r>
    </w:p>
    <w:p>
      <w:pPr>
        <w:pStyle w:val="BodyText"/>
        <w:jc w:val="both"/>
      </w:pPr>
      <w:r>
        <w:rPr>
          <w:rFonts w:ascii="Cambria" w:hAnsi="Cambria"/>
          <w:color w:val="222222"/>
          <w:sz w:val="21"/>
        </w:rPr>
        <w:t xml:space="preserve">POLIX is a collimated Thomson-scattering polarimeter. The current official Level-2 handbook describes a </w:t>
      </w:r>
      <w:r>
        <w:rPr>
          <w:rFonts w:ascii="Cambria" w:hAnsi="Cambria"/>
          <w:b/>
          <w:color w:val="222222"/>
          <w:sz w:val="21"/>
        </w:rPr>
        <w:t>central beryllium scatterer</w:t>
      </w:r>
      <w:r>
        <w:rPr>
          <w:rFonts w:ascii="Cambria" w:hAnsi="Cambria"/>
          <w:color w:val="222222"/>
          <w:sz w:val="21"/>
        </w:rPr>
        <w:t xml:space="preserve"> surrounded by </w:t>
      </w:r>
      <w:r>
        <w:rPr>
          <w:rFonts w:ascii="Cambria" w:hAnsi="Cambria"/>
          <w:b/>
          <w:color w:val="222222"/>
          <w:sz w:val="21"/>
        </w:rPr>
        <w:t>four position-sensitive X-ray proportional counters</w:t>
      </w:r>
      <w:r>
        <w:rPr>
          <w:rFonts w:ascii="Cambria" w:hAnsi="Cambria"/>
          <w:color w:val="222222"/>
          <w:sz w:val="21"/>
        </w:rPr>
        <w:t xml:space="preserve">. Each counter contains 12 anode cells, giving </w:t>
      </w:r>
      <w:r>
        <w:rPr>
          <w:rFonts w:ascii="Cambria" w:hAnsi="Cambria"/>
          <w:b/>
          <w:color w:val="222222"/>
          <w:sz w:val="21"/>
        </w:rPr>
        <w:t>48 anode cells in total</w:t>
      </w:r>
      <w:r>
        <w:rPr>
          <w:rFonts w:ascii="Cambria" w:hAnsi="Cambria"/>
          <w:color w:val="222222"/>
          <w:sz w:val="21"/>
        </w:rPr>
        <w:t xml:space="preserve"> [2]. This configuration must be preserved accurately because the azimuthal distribution is directly connected to the detector geometry.</w:t>
      </w:r>
    </w:p>
    <w:p>
      <w:pPr>
        <w:pStyle w:val="BodyText"/>
        <w:jc w:val="both"/>
      </w:pPr>
      <w:r>
        <w:rPr>
          <w:rFonts w:ascii="Cambria" w:hAnsi="Cambria"/>
          <w:color w:val="222222"/>
          <w:sz w:val="21"/>
        </w:rPr>
        <w:t>The operating principle is conceptualized as follows:</w:t>
      </w:r>
    </w:p>
    <w:p>
      <w:pPr>
        <w:spacing w:after="40"/>
      </w:pPr>
      <w:r>
        <w:rPr>
          <w:rFonts w:ascii="Cambria" w:hAnsi="Cambria"/>
          <w:sz w:val="20"/>
        </w:rPr>
        <w:t xml:space="preserve">1. </w:t>
      </w:r>
      <w:r>
        <w:rPr>
          <w:rFonts w:ascii="Cambria" w:hAnsi="Cambria"/>
          <w:color w:val="222222"/>
          <w:sz w:val="20"/>
        </w:rPr>
        <w:t>The collimator restricts the instrument’s field of view toward a bright target.</w:t>
      </w:r>
    </w:p>
    <w:p>
      <w:pPr>
        <w:spacing w:after="40"/>
      </w:pPr>
      <w:r>
        <w:rPr>
          <w:rFonts w:ascii="Cambria" w:hAnsi="Cambria"/>
          <w:sz w:val="20"/>
        </w:rPr>
        <w:t xml:space="preserve">2. </w:t>
      </w:r>
      <w:r>
        <w:rPr>
          <w:rFonts w:ascii="Cambria" w:hAnsi="Cambria"/>
          <w:color w:val="222222"/>
          <w:sz w:val="20"/>
        </w:rPr>
        <w:t>Incident X-ray photons interact in the low-atomic-mass beryllium scatterer.</w:t>
      </w:r>
    </w:p>
    <w:p>
      <w:pPr>
        <w:spacing w:after="40"/>
      </w:pPr>
      <w:r>
        <w:rPr>
          <w:rFonts w:ascii="Cambria" w:hAnsi="Cambria"/>
          <w:sz w:val="20"/>
        </w:rPr>
        <w:t xml:space="preserve">3. </w:t>
      </w:r>
      <w:r>
        <w:rPr>
          <w:rFonts w:ascii="Cambria" w:hAnsi="Cambria"/>
          <w:color w:val="222222"/>
          <w:sz w:val="20"/>
        </w:rPr>
        <w:t>For linearly polarized radiation, Thomson scattering is anisotropic with respect to the incident electric-field direction.</w:t>
      </w:r>
    </w:p>
    <w:p>
      <w:pPr>
        <w:spacing w:after="40"/>
      </w:pPr>
      <w:r>
        <w:rPr>
          <w:rFonts w:ascii="Cambria" w:hAnsi="Cambria"/>
          <w:sz w:val="20"/>
        </w:rPr>
        <w:t xml:space="preserve">4. </w:t>
      </w:r>
      <w:r>
        <w:rPr>
          <w:rFonts w:ascii="Cambria" w:hAnsi="Cambria"/>
          <w:color w:val="222222"/>
          <w:sz w:val="20"/>
        </w:rPr>
        <w:t>The four surrounding proportional counters register scattered photons at different azimuths.</w:t>
      </w:r>
    </w:p>
    <w:p>
      <w:pPr>
        <w:spacing w:after="40"/>
      </w:pPr>
      <w:r>
        <w:rPr>
          <w:rFonts w:ascii="Cambria" w:hAnsi="Cambria"/>
          <w:sz w:val="20"/>
        </w:rPr>
        <w:t xml:space="preserve">5. </w:t>
      </w:r>
      <w:r>
        <w:rPr>
          <w:rFonts w:ascii="Cambria" w:hAnsi="Cambria"/>
          <w:color w:val="222222"/>
          <w:sz w:val="20"/>
        </w:rPr>
        <w:t>The spacecraft rotation and instrument geometry allow the detected counts to be accumulated as an azimuthal distribution.</w:t>
      </w:r>
    </w:p>
    <w:p>
      <w:pPr>
        <w:spacing w:after="40"/>
      </w:pPr>
      <w:r>
        <w:rPr>
          <w:rFonts w:ascii="Cambria" w:hAnsi="Cambria"/>
          <w:sz w:val="20"/>
        </w:rPr>
        <w:t xml:space="preserve">6. </w:t>
      </w:r>
      <w:r>
        <w:rPr>
          <w:rFonts w:ascii="Cambria" w:hAnsi="Cambria"/>
          <w:color w:val="222222"/>
          <w:sz w:val="20"/>
        </w:rPr>
        <w:t>A two-fold modulation in this distribution can contain polarization information, after exposure, background, response and coordinate conventions are addressed [2], [7], [8].</w:t>
      </w:r>
    </w:p>
    <w:p>
      <w:pPr>
        <w:pStyle w:val="BodyText"/>
        <w:jc w:val="both"/>
      </w:pPr>
      <w:r>
        <w:rPr>
          <w:rFonts w:ascii="Cambria" w:hAnsi="Cambria"/>
          <w:color w:val="222222"/>
          <w:sz w:val="21"/>
        </w:rPr>
        <w:t>A common conceptual curve is</w:t>
      </w:r>
    </w:p>
    <w:p>
      <w:pPr>
        <w:pStyle w:val="BodyText"/>
        <w:jc w:val="both"/>
      </w:pPr>
      <w:r>
        <w:rPr>
          <w:rFonts w:ascii="Cambria" w:hAnsi="Cambria"/>
          <w:color w:val="222222"/>
          <w:sz w:val="21"/>
        </w:rPr>
        <w:t xml:space="preserve"> C(φ)=A+Bcos[2(φ-φ_0)], </w:t>
      </w:r>
    </w:p>
    <w:p>
      <w:pPr>
        <w:pStyle w:val="BodyText"/>
        <w:jc w:val="both"/>
      </w:pPr>
      <w:r>
        <w:rPr>
          <w:rFonts w:ascii="Cambria" w:hAnsi="Cambria"/>
          <w:color w:val="222222"/>
          <w:sz w:val="21"/>
        </w:rPr>
        <w:t>where C(φ) is the count rate or intensity at azimuth φ, A is a mean level, B is a fitted modulation amplitude and φ_0 is a fitted phase under the selected convention. The raw ratio B/A is a modulation measure. A calibrated PD additionally requires an appropriate modulation factor for a fully polarized beam and valid background treatment. Conversion of a fitted phase to an official sky PA additionally requires the mission’s reference-vector, orientation and convention handling [2], [8]. The proposed study will therefore keep raw/fitted modulation diagnostics separate from calibrated polarimetric claims.</w:t>
      </w:r>
    </w:p>
    <w:p>
      <w:pPr>
        <w:pStyle w:val="Heading2"/>
      </w:pPr>
      <w:r>
        <w:rPr>
          <w:rFonts w:ascii="Cambria" w:hAnsi="Cambria"/>
          <w:color w:val="17365D"/>
        </w:rPr>
        <w:t>1.6 POLIX Level-2 Data Products</w:t>
      </w:r>
    </w:p>
    <w:p>
      <w:pPr>
        <w:pStyle w:val="BodyText"/>
        <w:jc w:val="both"/>
      </w:pPr>
      <w:r>
        <w:rPr>
          <w:rFonts w:ascii="Cambria" w:hAnsi="Cambria"/>
          <w:color w:val="222222"/>
          <w:sz w:val="21"/>
        </w:rPr>
        <w:t>The POLIX Level-2 release does not represent an observation through a single FITS file. The official handbook identifies related products created by different pipeline modules [2]. For Review-I, the main product groups are introduced conceptually:</w:t>
      </w:r>
    </w:p>
    <w:tbl>
      <w:tblPr>
        <w:tblW w:type="auto" w:w="0"/>
        <w:jc w:val="center"/>
        <w:tblLayout w:type="autofit"/>
        <w:tblLook w:firstColumn="1" w:firstRow="1" w:lastColumn="0" w:lastRow="0" w:noHBand="0" w:noVBand="1" w:val="04A0"/>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Pr>
      <w:tblGrid>
        <w:gridCol w:w="3251"/>
        <w:gridCol w:w="3251"/>
        <w:gridCol w:w="3251"/>
      </w:tblGrid>
      <w:tr>
        <w:trPr>
          <w:tblHeader w:val="true"/>
        </w:trPr>
        <w:tc>
          <w:tcPr>
            <w:tcW w:type="dxa" w:w="3251"/>
            <w:shd w:fill="1F4E78"/>
            <w:tcMar>
              <w:top w:w="80" w:type="dxa"/>
              <w:start w:w="90" w:type="dxa"/>
              <w:bottom w:w="80" w:type="dxa"/>
              <w:end w:w="90" w:type="dxa"/>
            </w:tcMar>
            <w:vAlign w:val="center"/>
          </w:tcPr>
          <w:p>
            <w:pPr>
              <w:jc w:val="center"/>
            </w:pPr>
            <w:r>
              <w:rPr>
                <w:rFonts w:ascii="Cambria" w:hAnsi="Cambria"/>
                <w:b/>
                <w:color w:val="FFFFFF"/>
                <w:sz w:val="16"/>
              </w:rPr>
              <w:t>Product group</w:t>
            </w:r>
          </w:p>
        </w:tc>
        <w:tc>
          <w:tcPr>
            <w:tcW w:type="dxa" w:w="3251"/>
            <w:shd w:fill="1F4E78"/>
            <w:tcMar>
              <w:top w:w="80" w:type="dxa"/>
              <w:start w:w="90" w:type="dxa"/>
              <w:bottom w:w="80" w:type="dxa"/>
              <w:end w:w="90" w:type="dxa"/>
            </w:tcMar>
            <w:vAlign w:val="center"/>
          </w:tcPr>
          <w:p>
            <w:pPr>
              <w:jc w:val="center"/>
            </w:pPr>
            <w:r>
              <w:rPr>
                <w:rFonts w:ascii="Cambria" w:hAnsi="Cambria"/>
                <w:b/>
                <w:color w:val="FFFFFF"/>
                <w:sz w:val="16"/>
              </w:rPr>
              <w:t>Representative content</w:t>
            </w:r>
          </w:p>
        </w:tc>
        <w:tc>
          <w:tcPr>
            <w:tcW w:type="dxa" w:w="3251"/>
            <w:shd w:fill="1F4E78"/>
            <w:tcMar>
              <w:top w:w="80" w:type="dxa"/>
              <w:start w:w="90" w:type="dxa"/>
              <w:bottom w:w="80" w:type="dxa"/>
              <w:end w:w="90" w:type="dxa"/>
            </w:tcMar>
            <w:vAlign w:val="center"/>
          </w:tcPr>
          <w:p>
            <w:pPr>
              <w:jc w:val="center"/>
            </w:pPr>
            <w:r>
              <w:rPr>
                <w:rFonts w:ascii="Cambria" w:hAnsi="Cambria"/>
                <w:b/>
                <w:color w:val="FFFFFF"/>
                <w:sz w:val="16"/>
              </w:rPr>
              <w:t>Proposed analytical role</w:t>
            </w:r>
          </w:p>
        </w:tc>
      </w:tr>
      <w:tr>
        <w:tc>
          <w:tcPr>
            <w:tcW w:type="dxa" w:w="3251"/>
            <w:tcMar>
              <w:top w:w="80" w:type="dxa"/>
              <w:start w:w="90" w:type="dxa"/>
              <w:bottom w:w="80" w:type="dxa"/>
              <w:end w:w="90" w:type="dxa"/>
            </w:tcMar>
            <w:vAlign w:val="top"/>
          </w:tcPr>
          <w:p>
            <w:pPr>
              <w:spacing w:after="0"/>
            </w:pPr>
            <w:r>
              <w:rPr>
                <w:rFonts w:ascii="Cambria" w:hAnsi="Cambria"/>
                <w:color w:val="222222"/>
                <w:sz w:val="17"/>
              </w:rPr>
              <w:t>Exposure-related products</w:t>
            </w:r>
          </w:p>
        </w:tc>
        <w:tc>
          <w:tcPr>
            <w:tcW w:type="dxa" w:w="3251"/>
            <w:tcMar>
              <w:top w:w="80" w:type="dxa"/>
              <w:start w:w="90" w:type="dxa"/>
              <w:bottom w:w="80" w:type="dxa"/>
              <w:end w:w="90" w:type="dxa"/>
            </w:tcMar>
            <w:vAlign w:val="top"/>
          </w:tcPr>
          <w:p>
            <w:pPr>
              <w:spacing w:after="0"/>
            </w:pPr>
            <w:r>
              <w:rPr>
                <w:rFonts w:ascii="Cambria" w:hAnsi="Cambria"/>
                <w:color w:val="222222"/>
                <w:sz w:val="17"/>
              </w:rPr>
              <w:t xml:space="preserve">Roll- and yaw-referenced distributions such as </w:t>
            </w:r>
            <w:r>
              <w:rPr>
                <w:rFonts w:ascii="Consolas" w:hAnsi="Consolas"/>
                <w:color w:val="0F6B78"/>
                <w:sz w:val="16"/>
              </w:rPr>
              <w:t>Exp_Azimuth_Roll_L2.fits</w:t>
            </w:r>
          </w:p>
        </w:tc>
        <w:tc>
          <w:tcPr>
            <w:tcW w:type="dxa" w:w="3251"/>
            <w:tcMar>
              <w:top w:w="80" w:type="dxa"/>
              <w:start w:w="90" w:type="dxa"/>
              <w:bottom w:w="80" w:type="dxa"/>
              <w:end w:w="90" w:type="dxa"/>
            </w:tcMar>
            <w:vAlign w:val="top"/>
          </w:tcPr>
          <w:p>
            <w:pPr>
              <w:spacing w:after="0"/>
            </w:pPr>
            <w:r>
              <w:rPr>
                <w:rFonts w:ascii="Cambria" w:hAnsi="Cambria"/>
                <w:color w:val="222222"/>
                <w:sz w:val="17"/>
              </w:rPr>
              <w:t>Examine exposure coverage, non-uniformity and validity of comparisons across azimuth.</w:t>
            </w:r>
          </w:p>
        </w:tc>
      </w:tr>
      <w:tr>
        <w:tc>
          <w:tcPr>
            <w:tcW w:type="dxa" w:w="3251"/>
            <w:tcMar>
              <w:top w:w="80" w:type="dxa"/>
              <w:start w:w="90" w:type="dxa"/>
              <w:bottom w:w="80" w:type="dxa"/>
              <w:end w:w="90" w:type="dxa"/>
            </w:tcMar>
            <w:vAlign w:val="top"/>
            <w:shd w:fill="F2F2F2"/>
          </w:tcPr>
          <w:p>
            <w:pPr>
              <w:spacing w:after="0"/>
            </w:pPr>
            <w:r>
              <w:rPr>
                <w:rFonts w:ascii="Cambria" w:hAnsi="Cambria"/>
                <w:color w:val="222222"/>
                <w:sz w:val="17"/>
              </w:rPr>
              <w:t>Energy-resolved azimuthal products</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 xml:space="preserve">A data cube such as </w:t>
            </w:r>
            <w:r>
              <w:rPr>
                <w:rFonts w:ascii="Consolas" w:hAnsi="Consolas"/>
                <w:color w:val="0F6B78"/>
                <w:sz w:val="16"/>
              </w:rPr>
              <w:t>EnergyRes_Src_Azimuth_Roll_L2.fits</w:t>
            </w:r>
            <w:r>
              <w:rPr>
                <w:rFonts w:ascii="Cambria" w:hAnsi="Cambria"/>
                <w:color w:val="222222"/>
                <w:sz w:val="17"/>
              </w:rPr>
              <w:t xml:space="preserve"> containing anode, energy-channel and azimuth information</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Represent energy-dependent count structure without claiming calibrated spectroscopy.</w:t>
            </w:r>
          </w:p>
        </w:tc>
      </w:tr>
      <w:tr>
        <w:tc>
          <w:tcPr>
            <w:tcW w:type="dxa" w:w="3251"/>
            <w:tcMar>
              <w:top w:w="80" w:type="dxa"/>
              <w:start w:w="90" w:type="dxa"/>
              <w:bottom w:w="80" w:type="dxa"/>
              <w:end w:w="90" w:type="dxa"/>
            </w:tcMar>
            <w:vAlign w:val="top"/>
          </w:tcPr>
          <w:p>
            <w:pPr>
              <w:spacing w:after="0"/>
            </w:pPr>
            <w:r>
              <w:rPr>
                <w:rFonts w:ascii="Cambria" w:hAnsi="Cambria"/>
                <w:color w:val="222222"/>
                <w:sz w:val="17"/>
              </w:rPr>
              <w:t>Source azimuthal profiles</w:t>
            </w:r>
          </w:p>
        </w:tc>
        <w:tc>
          <w:tcPr>
            <w:tcW w:type="dxa" w:w="3251"/>
            <w:tcMar>
              <w:top w:w="80" w:type="dxa"/>
              <w:start w:w="90" w:type="dxa"/>
              <w:bottom w:w="80" w:type="dxa"/>
              <w:end w:w="90" w:type="dxa"/>
            </w:tcMar>
            <w:vAlign w:val="top"/>
          </w:tcPr>
          <w:p>
            <w:pPr>
              <w:spacing w:after="0"/>
            </w:pPr>
            <w:r>
              <w:rPr>
                <w:rFonts w:ascii="Cambria" w:hAnsi="Cambria"/>
                <w:color w:val="222222"/>
                <w:sz w:val="17"/>
              </w:rPr>
              <w:t xml:space="preserve">Products such as </w:t>
            </w:r>
            <w:r>
              <w:rPr>
                <w:rFonts w:ascii="Consolas" w:hAnsi="Consolas"/>
                <w:color w:val="0F6B78"/>
                <w:sz w:val="16"/>
              </w:rPr>
              <w:t>Src_Azimuth_Roll_L2.fits</w:t>
            </w:r>
          </w:p>
        </w:tc>
        <w:tc>
          <w:tcPr>
            <w:tcW w:type="dxa" w:w="3251"/>
            <w:tcMar>
              <w:top w:w="80" w:type="dxa"/>
              <w:start w:w="90" w:type="dxa"/>
              <w:bottom w:w="80" w:type="dxa"/>
              <w:end w:w="90" w:type="dxa"/>
            </w:tcMar>
            <w:vAlign w:val="top"/>
          </w:tcPr>
          <w:p>
            <w:pPr>
              <w:spacing w:after="0"/>
            </w:pPr>
            <w:r>
              <w:rPr>
                <w:rFonts w:ascii="Cambria" w:hAnsi="Cambria"/>
                <w:color w:val="222222"/>
                <w:sz w:val="17"/>
              </w:rPr>
              <w:t>Examine detector/anode azimuthal behaviour and profile shape.</w:t>
            </w:r>
          </w:p>
        </w:tc>
      </w:tr>
      <w:tr>
        <w:tc>
          <w:tcPr>
            <w:tcW w:type="dxa" w:w="3251"/>
            <w:tcMar>
              <w:top w:w="80" w:type="dxa"/>
              <w:start w:w="90" w:type="dxa"/>
              <w:bottom w:w="80" w:type="dxa"/>
              <w:end w:w="90" w:type="dxa"/>
            </w:tcMar>
            <w:vAlign w:val="top"/>
            <w:shd w:fill="F2F2F2"/>
          </w:tcPr>
          <w:p>
            <w:pPr>
              <w:spacing w:after="0"/>
            </w:pPr>
            <w:r>
              <w:rPr>
                <w:rFonts w:ascii="Cambria" w:hAnsi="Cambria"/>
                <w:color w:val="222222"/>
                <w:sz w:val="17"/>
              </w:rPr>
              <w:t>Source light curves</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 xml:space="preserve">Event- or count-derived </w:t>
            </w:r>
            <w:r>
              <w:rPr>
                <w:rFonts w:ascii="Consolas" w:hAnsi="Consolas"/>
                <w:color w:val="0F6B78"/>
                <w:sz w:val="16"/>
              </w:rPr>
              <w:t>.lc</w:t>
            </w:r>
            <w:r>
              <w:rPr>
                <w:rFonts w:ascii="Cambria" w:hAnsi="Cambria"/>
                <w:color w:val="222222"/>
                <w:sz w:val="17"/>
              </w:rPr>
              <w:t xml:space="preserve"> products for source intervals</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Represent time variability and data quality.</w:t>
            </w:r>
          </w:p>
        </w:tc>
      </w:tr>
      <w:tr>
        <w:tc>
          <w:tcPr>
            <w:tcW w:type="dxa" w:w="3251"/>
            <w:tcMar>
              <w:top w:w="80" w:type="dxa"/>
              <w:start w:w="90" w:type="dxa"/>
              <w:bottom w:w="80" w:type="dxa"/>
              <w:end w:w="90" w:type="dxa"/>
            </w:tcMar>
            <w:vAlign w:val="top"/>
          </w:tcPr>
          <w:p>
            <w:pPr>
              <w:spacing w:after="0"/>
            </w:pPr>
            <w:r>
              <w:rPr>
                <w:rFonts w:ascii="Cambria" w:hAnsi="Cambria"/>
                <w:color w:val="222222"/>
                <w:sz w:val="17"/>
              </w:rPr>
              <w:t>Detector-wise light curves and spectra</w:t>
            </w:r>
          </w:p>
        </w:tc>
        <w:tc>
          <w:tcPr>
            <w:tcW w:type="dxa" w:w="3251"/>
            <w:tcMar>
              <w:top w:w="80" w:type="dxa"/>
              <w:start w:w="90" w:type="dxa"/>
              <w:bottom w:w="80" w:type="dxa"/>
              <w:end w:w="90" w:type="dxa"/>
            </w:tcMar>
            <w:vAlign w:val="top"/>
          </w:tcPr>
          <w:p>
            <w:pPr>
              <w:spacing w:after="0"/>
            </w:pPr>
            <w:r>
              <w:rPr>
                <w:rFonts w:ascii="Cambria" w:hAnsi="Cambria"/>
                <w:color w:val="222222"/>
                <w:sz w:val="17"/>
              </w:rPr>
              <w:t xml:space="preserve">Processed source </w:t>
            </w:r>
            <w:r>
              <w:rPr>
                <w:rFonts w:ascii="Consolas" w:hAnsi="Consolas"/>
                <w:color w:val="0F6B78"/>
                <w:sz w:val="16"/>
              </w:rPr>
              <w:t>.lc</w:t>
            </w:r>
            <w:r>
              <w:rPr>
                <w:rFonts w:ascii="Cambria" w:hAnsi="Cambria"/>
                <w:color w:val="222222"/>
                <w:sz w:val="17"/>
              </w:rPr>
              <w:t xml:space="preserve"> and </w:t>
            </w:r>
            <w:r>
              <w:rPr>
                <w:rFonts w:ascii="Consolas" w:hAnsi="Consolas"/>
                <w:color w:val="0F6B78"/>
                <w:sz w:val="16"/>
              </w:rPr>
              <w:t>.pha</w:t>
            </w:r>
            <w:r>
              <w:rPr>
                <w:rFonts w:ascii="Cambria" w:hAnsi="Cambria"/>
                <w:color w:val="222222"/>
                <w:sz w:val="17"/>
              </w:rPr>
              <w:t xml:space="preserve"> products for individual detectors</w:t>
            </w:r>
          </w:p>
        </w:tc>
        <w:tc>
          <w:tcPr>
            <w:tcW w:type="dxa" w:w="3251"/>
            <w:tcMar>
              <w:top w:w="80" w:type="dxa"/>
              <w:start w:w="90" w:type="dxa"/>
              <w:bottom w:w="80" w:type="dxa"/>
              <w:end w:w="90" w:type="dxa"/>
            </w:tcMar>
            <w:vAlign w:val="top"/>
          </w:tcPr>
          <w:p>
            <w:pPr>
              <w:spacing w:after="0"/>
            </w:pPr>
            <w:r>
              <w:rPr>
                <w:rFonts w:ascii="Cambria" w:hAnsi="Cambria"/>
                <w:color w:val="222222"/>
                <w:sz w:val="17"/>
              </w:rPr>
              <w:t>Examine detector balance and possible detector-local behaviour.</w:t>
            </w:r>
          </w:p>
        </w:tc>
      </w:tr>
      <w:tr>
        <w:tc>
          <w:tcPr>
            <w:tcW w:type="dxa" w:w="3251"/>
            <w:tcMar>
              <w:top w:w="80" w:type="dxa"/>
              <w:start w:w="90" w:type="dxa"/>
              <w:bottom w:w="80" w:type="dxa"/>
              <w:end w:w="90" w:type="dxa"/>
            </w:tcMar>
            <w:vAlign w:val="top"/>
            <w:shd w:fill="F2F2F2"/>
          </w:tcPr>
          <w:p>
            <w:pPr>
              <w:spacing w:after="0"/>
            </w:pPr>
            <w:r>
              <w:rPr>
                <w:rFonts w:ascii="Cambria" w:hAnsi="Cambria"/>
                <w:color w:val="222222"/>
                <w:sz w:val="17"/>
              </w:rPr>
              <w:t>WeightedRoll modulation product</w:t>
            </w:r>
          </w:p>
        </w:tc>
        <w:tc>
          <w:tcPr>
            <w:tcW w:type="dxa" w:w="3251"/>
            <w:tcMar>
              <w:top w:w="80" w:type="dxa"/>
              <w:start w:w="90" w:type="dxa"/>
              <w:bottom w:w="80" w:type="dxa"/>
              <w:end w:w="90" w:type="dxa"/>
            </w:tcMar>
            <w:vAlign w:val="top"/>
            <w:shd w:fill="F2F2F2"/>
          </w:tcPr>
          <w:p>
            <w:pPr>
              <w:spacing w:after="0"/>
            </w:pPr>
            <w:r>
              <w:rPr>
                <w:rFonts w:ascii="Consolas" w:hAnsi="Consolas"/>
                <w:color w:val="0F6B78"/>
                <w:sz w:val="16"/>
              </w:rPr>
              <w:t>WeightedRoll_L2.fits</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Support a separate physical modulation diagnostic. The product includes source and background count-rate modulation and is not assumed to be fully background-corrected [2].</w:t>
            </w:r>
          </w:p>
        </w:tc>
      </w:tr>
    </w:tbl>
    <w:p>
      <w:pPr>
        <w:spacing w:after="20"/>
      </w:pPr>
    </w:p>
    <w:p>
      <w:pPr>
        <w:pStyle w:val="BodyText"/>
        <w:jc w:val="both"/>
      </w:pPr>
      <w:r>
        <w:rPr>
          <w:rFonts w:ascii="Cambria" w:hAnsi="Cambria"/>
          <w:color w:val="222222"/>
          <w:sz w:val="21"/>
        </w:rPr>
        <w:t>The handbook also cautions that count-mode and event-mode light curves are not directly interchangeable and that POLIX is not a spectroscopic instrument [2]. Consequently, the planned feature representation will preserve product identity and measurement meaning.</w:t>
      </w:r>
    </w:p>
    <w:p>
      <w:pPr>
        <w:pStyle w:val="BodyText"/>
        <w:jc w:val="both"/>
      </w:pPr>
      <w:r>
        <w:rPr>
          <w:rFonts w:ascii="Cambria" w:hAnsi="Cambria"/>
          <w:color w:val="222222"/>
          <w:sz w:val="21"/>
        </w:rPr>
        <w:t>One observation requires inspection of multiple products because an unusual pattern may appear in only one domain. Exposure irregularity can affect an azimuthal profile; timing variability may not be visible in an aggregate spectrum; a detector imbalance can be hidden in an all-detector total; and a modulation-like pattern can be influenced by background. A defensible screening method must therefore combine evidence without erasing its provenance.</w:t>
      </w:r>
    </w:p>
    <w:p>
      <w:pPr>
        <w:pStyle w:val="Heading2"/>
      </w:pPr>
      <w:r>
        <w:rPr>
          <w:rFonts w:ascii="Cambria" w:hAnsi="Cambria"/>
          <w:color w:val="17365D"/>
        </w:rPr>
        <w:t>1.7 Motivation for the Project</w:t>
      </w:r>
    </w:p>
    <w:p>
      <w:pPr>
        <w:pStyle w:val="BodyText"/>
        <w:jc w:val="both"/>
      </w:pPr>
      <w:r>
        <w:rPr>
          <w:rFonts w:ascii="Cambria" w:hAnsi="Cambria"/>
          <w:color w:val="222222"/>
          <w:sz w:val="21"/>
        </w:rPr>
        <w:t>The proposed study is motivated by seven connected observations:</w:t>
      </w:r>
    </w:p>
    <w:p>
      <w:pPr>
        <w:spacing w:after="40"/>
      </w:pPr>
      <w:r>
        <w:rPr>
          <w:rFonts w:ascii="Cambria" w:hAnsi="Cambria"/>
          <w:sz w:val="20"/>
        </w:rPr>
        <w:t xml:space="preserve">1. </w:t>
      </w:r>
      <w:r>
        <w:rPr>
          <w:rFonts w:ascii="Cambria" w:hAnsi="Cambria"/>
          <w:color w:val="222222"/>
          <w:sz w:val="20"/>
        </w:rPr>
        <w:t>A single POLIX observation contains multiple heterogeneous FITS products rather than one uniform feature table [2].</w:t>
      </w:r>
    </w:p>
    <w:p>
      <w:pPr>
        <w:spacing w:after="40"/>
      </w:pPr>
      <w:r>
        <w:rPr>
          <w:rFonts w:ascii="Cambria" w:hAnsi="Cambria"/>
          <w:sz w:val="20"/>
        </w:rPr>
        <w:t xml:space="preserve">2. </w:t>
      </w:r>
      <w:r>
        <w:rPr>
          <w:rFonts w:ascii="Cambria" w:hAnsi="Cambria"/>
          <w:color w:val="222222"/>
          <w:sz w:val="20"/>
        </w:rPr>
        <w:t>Repeated manual inspection of light curves, detector products, exposure distributions and azimuthal products is time-consuming.</w:t>
      </w:r>
    </w:p>
    <w:p>
      <w:pPr>
        <w:spacing w:after="40"/>
      </w:pPr>
      <w:r>
        <w:rPr>
          <w:rFonts w:ascii="Cambria" w:hAnsi="Cambria"/>
          <w:sz w:val="20"/>
        </w:rPr>
        <w:t xml:space="preserve">3. </w:t>
      </w:r>
      <w:r>
        <w:rPr>
          <w:rFonts w:ascii="Cambria" w:hAnsi="Cambria"/>
          <w:color w:val="222222"/>
          <w:sz w:val="20"/>
        </w:rPr>
        <w:t>Manual interpretation may vary between analysts, particularly when multiple weak deviations occur together.</w:t>
      </w:r>
    </w:p>
    <w:p>
      <w:pPr>
        <w:spacing w:after="40"/>
      </w:pPr>
      <w:r>
        <w:rPr>
          <w:rFonts w:ascii="Cambria" w:hAnsi="Cambria"/>
          <w:sz w:val="20"/>
        </w:rPr>
        <w:t xml:space="preserve">4. </w:t>
      </w:r>
      <w:r>
        <w:rPr>
          <w:rFonts w:ascii="Cambria" w:hAnsi="Cambria"/>
          <w:color w:val="222222"/>
          <w:sz w:val="20"/>
        </w:rPr>
        <w:t>Trusted labels identifying scientifically meaningful POLIX anomalies are not presently assumed to exist.</w:t>
      </w:r>
    </w:p>
    <w:p>
      <w:pPr>
        <w:spacing w:after="40"/>
      </w:pPr>
      <w:r>
        <w:rPr>
          <w:rFonts w:ascii="Cambria" w:hAnsi="Cambria"/>
          <w:sz w:val="20"/>
        </w:rPr>
        <w:t xml:space="preserve">5. </w:t>
      </w:r>
      <w:r>
        <w:rPr>
          <w:rFonts w:ascii="Cambria" w:hAnsi="Cambria"/>
          <w:color w:val="222222"/>
          <w:sz w:val="20"/>
        </w:rPr>
        <w:t>Unusual observations may originate from energy-dependent structure, timing variation, exposure imbalance, detector balance or azimuthal behaviour.</w:t>
      </w:r>
    </w:p>
    <w:p>
      <w:pPr>
        <w:spacing w:after="40"/>
      </w:pPr>
      <w:r>
        <w:rPr>
          <w:rFonts w:ascii="Cambria" w:hAnsi="Cambria"/>
          <w:sz w:val="20"/>
        </w:rPr>
        <w:t xml:space="preserve">6. </w:t>
      </w:r>
      <w:r>
        <w:rPr>
          <w:rFonts w:ascii="Cambria" w:hAnsi="Cambria"/>
          <w:color w:val="222222"/>
          <w:sz w:val="20"/>
        </w:rPr>
        <w:t>A statistical outlier may represent an instrumental condition, background behaviour, a rare but valid source state, a processing issue or another contextual effect. It does not automatically establish polarization or an astrophysical discovery [15], [16], [18].</w:t>
      </w:r>
    </w:p>
    <w:p>
      <w:pPr>
        <w:spacing w:after="40"/>
      </w:pPr>
      <w:r>
        <w:rPr>
          <w:rFonts w:ascii="Cambria" w:hAnsi="Cambria"/>
          <w:sz w:val="20"/>
        </w:rPr>
        <w:t xml:space="preserve">7. </w:t>
      </w:r>
      <w:r>
        <w:rPr>
          <w:rFonts w:ascii="Cambria" w:hAnsi="Cambria"/>
          <w:color w:val="222222"/>
          <w:sz w:val="20"/>
        </w:rPr>
        <w:t>Scientific users require explanations that connect a score back to observable quantities and original data products. A black-box ranking alone is insufficient for scientific review [17], [18].</w:t>
      </w:r>
    </w:p>
    <w:p>
      <w:pPr>
        <w:pStyle w:val="BodyText"/>
        <w:jc w:val="both"/>
      </w:pPr>
      <w:r>
        <w:rPr>
          <w:rFonts w:ascii="Cambria" w:hAnsi="Cambria"/>
          <w:color w:val="222222"/>
          <w:sz w:val="21"/>
        </w:rPr>
        <w:t>The intended contribution is therefore not an automated “discovery engine.” It is a traceable screening and prioritization framework in which ML output remains subordinate to scientific evidence.</w:t>
      </w:r>
    </w:p>
    <w:p>
      <w:pPr>
        <w:pStyle w:val="Heading2"/>
      </w:pPr>
      <w:r>
        <w:rPr>
          <w:rFonts w:ascii="Cambria" w:hAnsi="Cambria"/>
          <w:color w:val="17365D"/>
        </w:rPr>
        <w:t>1.8 Research Problem</w:t>
      </w:r>
    </w:p>
    <w:p>
      <w:pPr>
        <w:pStyle w:val="BodyText"/>
        <w:jc w:val="both"/>
      </w:pPr>
      <w:r>
        <w:rPr>
          <w:rFonts w:ascii="Cambria" w:hAnsi="Cambria"/>
          <w:b/>
          <w:color w:val="222222"/>
          <w:sz w:val="21"/>
        </w:rPr>
        <w:t>Formal problem statement:</w:t>
      </w:r>
      <w:r>
        <w:rPr>
          <w:rFonts w:ascii="Cambria" w:hAnsi="Cambria"/>
          <w:color w:val="222222"/>
          <w:sz w:val="21"/>
        </w:rPr>
        <w:t xml:space="preserve"> Given a collection of source and blank-sky POLIX Level-2 observations, each represented by multiple heterogeneous FITS products and lacking trusted anomaly labels, the proposed study seeks to design an automatic multi-product analysis framework that (i) constructs scientifically meaningful observation-level features, (ii) identifies observations that are unusual relative to the available collection through justified unsupervised methods, (iii) provides feature-level and product-level explanations for each screening decision, (iv) compares selected observations cautiously with independent azimuthal-modulation and blank-sky diagnostics without claiming calibrated PD or official PA, and (v) presents the evidence in a researcher-friendly and traceable form.</w:t>
      </w:r>
    </w:p>
    <w:p>
      <w:pPr>
        <w:pStyle w:val="Heading2"/>
      </w:pPr>
      <w:r>
        <w:rPr>
          <w:rFonts w:ascii="Cambria" w:hAnsi="Cambria"/>
          <w:color w:val="17365D"/>
        </w:rPr>
        <w:t>1.9 Aim of the Project</w:t>
      </w:r>
    </w:p>
    <w:p>
      <w:pPr>
        <w:pStyle w:val="BodyText"/>
        <w:jc w:val="both"/>
      </w:pPr>
      <w:r>
        <w:rPr>
          <w:rFonts w:ascii="Cambria" w:hAnsi="Cambria"/>
          <w:color w:val="222222"/>
          <w:sz w:val="21"/>
        </w:rPr>
        <w:t>The project aims to propose and investigate an explainable, unsupervised framework for screening heterogeneous POLIX Level-2 observations and relating statistical unusualness to traceable data-product evidence and independent physical modulation diagnostics.</w:t>
      </w:r>
    </w:p>
    <w:p>
      <w:pPr>
        <w:pStyle w:val="Heading2"/>
      </w:pPr>
      <w:r>
        <w:rPr>
          <w:rFonts w:ascii="Cambria" w:hAnsi="Cambria"/>
          <w:color w:val="17365D"/>
        </w:rPr>
        <w:t>1.10 Proposed Objectives</w:t>
      </w:r>
    </w:p>
    <w:p>
      <w:pPr>
        <w:pStyle w:val="BodyText"/>
        <w:jc w:val="both"/>
      </w:pPr>
      <w:r>
        <w:rPr>
          <w:rFonts w:ascii="Cambria" w:hAnsi="Cambria"/>
          <w:color w:val="222222"/>
          <w:sz w:val="21"/>
        </w:rPr>
        <w:t>The proposed study intends to:</w:t>
      </w:r>
    </w:p>
    <w:p>
      <w:pPr>
        <w:spacing w:after="40"/>
      </w:pPr>
      <w:r>
        <w:rPr>
          <w:rFonts w:ascii="Cambria" w:hAnsi="Cambria"/>
          <w:sz w:val="20"/>
        </w:rPr>
        <w:t xml:space="preserve">1. </w:t>
      </w:r>
      <w:r>
        <w:rPr>
          <w:rFonts w:ascii="Cambria" w:hAnsi="Cambria"/>
          <w:color w:val="222222"/>
          <w:sz w:val="20"/>
        </w:rPr>
        <w:t>study the scientific purpose, payload roles and observational context of XPoSat and POLIX;</w:t>
      </w:r>
    </w:p>
    <w:p>
      <w:pPr>
        <w:spacing w:after="40"/>
      </w:pPr>
      <w:r>
        <w:rPr>
          <w:rFonts w:ascii="Cambria" w:hAnsi="Cambria"/>
          <w:sz w:val="20"/>
        </w:rPr>
        <w:t xml:space="preserve">2. </w:t>
      </w:r>
      <w:r>
        <w:rPr>
          <w:rFonts w:ascii="Cambria" w:hAnsi="Cambria"/>
          <w:color w:val="222222"/>
          <w:sz w:val="20"/>
        </w:rPr>
        <w:t>understand the structure, semantics and limitations of POLIX Level-2 FITS products;</w:t>
      </w:r>
    </w:p>
    <w:p>
      <w:pPr>
        <w:spacing w:after="40"/>
      </w:pPr>
      <w:r>
        <w:rPr>
          <w:rFonts w:ascii="Cambria" w:hAnsi="Cambria"/>
          <w:sz w:val="20"/>
        </w:rPr>
        <w:t xml:space="preserve">3. </w:t>
      </w:r>
      <w:r>
        <w:rPr>
          <w:rFonts w:ascii="Cambria" w:hAnsi="Cambria"/>
          <w:color w:val="222222"/>
          <w:sz w:val="20"/>
        </w:rPr>
        <w:t>identify scientifically meaningful, reproducible features from exposure, energy-resolved azimuthal, timing, detector-wise and source-azimuth products;</w:t>
      </w:r>
    </w:p>
    <w:p>
      <w:pPr>
        <w:spacing w:after="40"/>
      </w:pPr>
      <w:r>
        <w:rPr>
          <w:rFonts w:ascii="Cambria" w:hAnsi="Cambria"/>
          <w:sz w:val="20"/>
        </w:rPr>
        <w:t xml:space="preserve">4. </w:t>
      </w:r>
      <w:r>
        <w:rPr>
          <w:rFonts w:ascii="Cambria" w:hAnsi="Cambria"/>
          <w:color w:val="222222"/>
          <w:sz w:val="20"/>
        </w:rPr>
        <w:t>build an unsupervised observation-screening framework suitable for a dataset without trusted anomaly labels;</w:t>
      </w:r>
    </w:p>
    <w:p>
      <w:pPr>
        <w:spacing w:after="40"/>
      </w:pPr>
      <w:r>
        <w:rPr>
          <w:rFonts w:ascii="Cambria" w:hAnsi="Cambria"/>
          <w:sz w:val="20"/>
        </w:rPr>
        <w:t xml:space="preserve">5. </w:t>
      </w:r>
      <w:r>
        <w:rPr>
          <w:rFonts w:ascii="Cambria" w:hAnsi="Cambria"/>
          <w:color w:val="222222"/>
          <w:sz w:val="20"/>
        </w:rPr>
        <w:t>investigate PCA, KMeans or related clustering, and Isolation Forest where justified by dataset size, scaling and validation constraints [12]–[14];</w:t>
      </w:r>
    </w:p>
    <w:p>
      <w:pPr>
        <w:spacing w:after="40"/>
      </w:pPr>
      <w:r>
        <w:rPr>
          <w:rFonts w:ascii="Cambria" w:hAnsi="Cambria"/>
          <w:sz w:val="20"/>
        </w:rPr>
        <w:t xml:space="preserve">6. </w:t>
      </w:r>
      <w:r>
        <w:rPr>
          <w:rFonts w:ascii="Cambria" w:hAnsi="Cambria"/>
          <w:color w:val="222222"/>
          <w:sz w:val="20"/>
        </w:rPr>
        <w:t>develop product-aware explanations that connect a screening score to contributing features and their source FITS product families;</w:t>
      </w:r>
    </w:p>
    <w:p>
      <w:pPr>
        <w:spacing w:after="40"/>
      </w:pPr>
      <w:r>
        <w:rPr>
          <w:rFonts w:ascii="Cambria" w:hAnsi="Cambria"/>
          <w:sz w:val="20"/>
        </w:rPr>
        <w:t xml:space="preserve">7. </w:t>
      </w:r>
      <w:r>
        <w:rPr>
          <w:rFonts w:ascii="Cambria" w:hAnsi="Cambria"/>
          <w:color w:val="222222"/>
          <w:sz w:val="20"/>
        </w:rPr>
        <w:t xml:space="preserve">investigate </w:t>
      </w:r>
      <w:r>
        <w:rPr>
          <w:rFonts w:ascii="Consolas" w:hAnsi="Consolas"/>
          <w:color w:val="0F6B78"/>
          <w:sz w:val="19"/>
        </w:rPr>
        <w:t>WeightedRoll_L2.fits</w:t>
      </w:r>
      <w:r>
        <w:rPr>
          <w:rFonts w:ascii="Cambria" w:hAnsi="Cambria"/>
          <w:color w:val="222222"/>
          <w:sz w:val="20"/>
        </w:rPr>
        <w:t xml:space="preserve"> separately as a physical modulation diagnostic, without treating its raw modulation or fitted phase as calibrated PD or official PA;</w:t>
      </w:r>
    </w:p>
    <w:p>
      <w:pPr>
        <w:spacing w:after="40"/>
      </w:pPr>
      <w:r>
        <w:rPr>
          <w:rFonts w:ascii="Cambria" w:hAnsi="Cambria"/>
          <w:sz w:val="20"/>
        </w:rPr>
        <w:t xml:space="preserve">8. </w:t>
      </w:r>
      <w:r>
        <w:rPr>
          <w:rFonts w:ascii="Cambria" w:hAnsi="Cambria"/>
          <w:color w:val="222222"/>
          <w:sz w:val="20"/>
        </w:rPr>
        <w:t>compare source-observation diagnostics with blank-sky behaviour to expose possible background or instrument-related structure [2], [8];</w:t>
      </w:r>
    </w:p>
    <w:p>
      <w:pPr>
        <w:spacing w:after="40"/>
      </w:pPr>
      <w:r>
        <w:rPr>
          <w:rFonts w:ascii="Cambria" w:hAnsi="Cambria"/>
          <w:sz w:val="20"/>
        </w:rPr>
        <w:t xml:space="preserve">9. </w:t>
      </w:r>
      <w:r>
        <w:rPr>
          <w:rFonts w:ascii="Cambria" w:hAnsi="Cambria"/>
          <w:color w:val="222222"/>
          <w:sz w:val="20"/>
        </w:rPr>
        <w:t>provide an accessible researcher-oriented interface for observation prioritization, traceability and cautious interpretation.</w:t>
      </w:r>
    </w:p>
    <w:p>
      <w:pPr>
        <w:pStyle w:val="Heading2"/>
      </w:pPr>
      <w:r>
        <w:rPr>
          <w:rFonts w:ascii="Cambria" w:hAnsi="Cambria"/>
          <w:color w:val="17365D"/>
        </w:rPr>
        <w:t>1.11 Scope</w:t>
      </w:r>
    </w:p>
    <w:p>
      <w:pPr>
        <w:pStyle w:val="BodyText"/>
        <w:jc w:val="both"/>
      </w:pPr>
      <w:r>
        <w:rPr>
          <w:rFonts w:ascii="Cambria" w:hAnsi="Cambria"/>
          <w:color w:val="222222"/>
          <w:sz w:val="21"/>
        </w:rPr>
        <w:t>The primary scope is POLIX Level-2 data. Both source and blank-sky observations are considered because unusual source behaviour cannot be interpreted responsibly without reference to background and instrument behaviour. The purpose is observation screening and scientific interpretation support, not autonomous confirmation of astrophysical discoveries.</w:t>
      </w:r>
    </w:p>
    <w:p>
      <w:pPr>
        <w:pStyle w:val="BodyText"/>
        <w:jc w:val="both"/>
      </w:pPr>
      <w:r>
        <w:rPr>
          <w:rFonts w:ascii="Cambria" w:hAnsi="Cambria"/>
          <w:color w:val="222222"/>
          <w:sz w:val="21"/>
        </w:rPr>
        <w:t>The scope is bounded as follows:</w:t>
      </w:r>
    </w:p>
    <w:p>
      <w:pPr>
        <w:pStyle w:val="ListBullet"/>
      </w:pPr>
      <w:r>
        <w:rPr>
          <w:rFonts w:ascii="Cambria" w:hAnsi="Cambria"/>
          <w:color w:val="222222"/>
          <w:sz w:val="20"/>
        </w:rPr>
        <w:t>An ML anomaly denotes statistical unusualness relative to the available feature representation and dataset. It is not a confirmed discovery or causal explanation.</w:t>
      </w:r>
    </w:p>
    <w:p>
      <w:pPr>
        <w:pStyle w:val="ListBullet"/>
      </w:pPr>
      <w:r>
        <w:rPr>
          <w:rFonts w:ascii="Cambria" w:hAnsi="Cambria"/>
          <w:color w:val="222222"/>
          <w:sz w:val="20"/>
        </w:rPr>
        <w:t>Physical modulation analysis is treated as an independent diagnostic branch.</w:t>
      </w:r>
    </w:p>
    <w:p>
      <w:pPr>
        <w:pStyle w:val="ListBullet"/>
      </w:pPr>
      <w:r>
        <w:rPr>
          <w:rFonts w:ascii="Consolas" w:hAnsi="Consolas"/>
          <w:color w:val="0F6B78"/>
          <w:sz w:val="19"/>
        </w:rPr>
        <w:t>WeightedRoll_L2.fits</w:t>
      </w:r>
      <w:r>
        <w:rPr>
          <w:rFonts w:ascii="Cambria" w:hAnsi="Cambria"/>
          <w:color w:val="222222"/>
          <w:sz w:val="20"/>
        </w:rPr>
        <w:t xml:space="preserve"> is not assumed to be fully background-corrected [2].</w:t>
      </w:r>
    </w:p>
    <w:p>
      <w:pPr>
        <w:pStyle w:val="ListBullet"/>
      </w:pPr>
      <w:r>
        <w:rPr>
          <w:rFonts w:ascii="Cambria" w:hAnsi="Cambria"/>
          <w:color w:val="222222"/>
          <w:sz w:val="20"/>
        </w:rPr>
        <w:t>Final calibrated PD and official sky PA are outside the present claim unless the required mission-approved response, calibration and background procedure becomes available.</w:t>
      </w:r>
    </w:p>
    <w:p>
      <w:pPr>
        <w:pStyle w:val="ListBullet"/>
      </w:pPr>
      <w:r>
        <w:rPr>
          <w:rFonts w:ascii="Cambria" w:hAnsi="Cambria"/>
          <w:color w:val="222222"/>
          <w:sz w:val="20"/>
        </w:rPr>
        <w:t>The fitted phase of a two-fold curve will not be reported as official PA.</w:t>
      </w:r>
    </w:p>
    <w:p>
      <w:pPr>
        <w:pStyle w:val="ListBullet"/>
      </w:pPr>
      <w:r>
        <w:rPr>
          <w:rFonts w:ascii="Cambria" w:hAnsi="Cambria"/>
          <w:color w:val="222222"/>
          <w:sz w:val="20"/>
        </w:rPr>
        <w:t>XSPECT integration may be considered as future work, but it is not part of the present primary scope.</w:t>
      </w:r>
    </w:p>
    <w:p>
      <w:pPr>
        <w:pStyle w:val="ListBullet"/>
      </w:pPr>
      <w:r>
        <w:rPr>
          <w:rFonts w:ascii="Cambria" w:hAnsi="Cambria"/>
          <w:color w:val="222222"/>
          <w:sz w:val="20"/>
        </w:rPr>
        <w:t>Detailed architecture, software requirements, code modules, implementation, website evaluation, model results and testing belong to later project stages and are excluded from Review-I.</w:t>
      </w:r>
    </w:p>
    <w:p>
      <w:pPr>
        <w:pStyle w:val="Heading2"/>
      </w:pPr>
      <w:r>
        <w:rPr>
          <w:rFonts w:ascii="Cambria" w:hAnsi="Cambria"/>
          <w:color w:val="17365D"/>
        </w:rPr>
        <w:t>1.12 Significance of the Proposed Study</w:t>
      </w:r>
    </w:p>
    <w:p>
      <w:pPr>
        <w:pStyle w:val="BodyText"/>
        <w:jc w:val="both"/>
      </w:pPr>
      <w:r>
        <w:rPr>
          <w:rFonts w:ascii="Cambria" w:hAnsi="Cambria"/>
          <w:color w:val="222222"/>
          <w:sz w:val="21"/>
        </w:rPr>
        <w:t>If developed and validated carefully, the proposed framework could reduce repetitive multi-file inspection and prioritize observations that merit expert attention. Its main scientific value would be traceability: an observation-level score would be linked to explicit features, each feature would retain its product origin, and the user could distinguish an exposure issue from timing variability, detector imbalance or azimuthal structure.</w:t>
      </w:r>
    </w:p>
    <w:p>
      <w:pPr>
        <w:pStyle w:val="BodyText"/>
        <w:jc w:val="both"/>
      </w:pPr>
      <w:r>
        <w:rPr>
          <w:rFonts w:ascii="Cambria" w:hAnsi="Cambria"/>
          <w:color w:val="222222"/>
          <w:sz w:val="21"/>
        </w:rPr>
        <w:t xml:space="preserve">This structure could support reproducible archive screening because the same feature definitions and preprocessing decisions could be applied across observations. It could also enforce a separation between </w:t>
      </w:r>
      <w:r>
        <w:rPr>
          <w:rFonts w:ascii="Cambria" w:hAnsi="Cambria"/>
          <w:b/>
          <w:color w:val="222222"/>
          <w:sz w:val="21"/>
        </w:rPr>
        <w:t>statistical unusualness</w:t>
      </w:r>
      <w:r>
        <w:rPr>
          <w:rFonts w:ascii="Cambria" w:hAnsi="Cambria"/>
          <w:color w:val="222222"/>
          <w:sz w:val="21"/>
        </w:rPr>
        <w:t xml:space="preserve"> and </w:t>
      </w:r>
      <w:r>
        <w:rPr>
          <w:rFonts w:ascii="Cambria" w:hAnsi="Cambria"/>
          <w:b/>
          <w:color w:val="222222"/>
          <w:sz w:val="21"/>
        </w:rPr>
        <w:t>physical modulation evidence</w:t>
      </w:r>
      <w:r>
        <w:rPr>
          <w:rFonts w:ascii="Cambria" w:hAnsi="Cambria"/>
          <w:color w:val="222222"/>
          <w:sz w:val="21"/>
        </w:rPr>
        <w:t>, reducing the risk of overstating an ML result. Finally, a modular product-aware representation could be extended as future POLIX releases, calibration information or nearby blank-sky observations become available.</w:t>
      </w:r>
    </w:p>
    <w:p>
      <w:pPr>
        <w:pStyle w:val="Heading1"/>
      </w:pPr>
      <w:r>
        <w:rPr>
          <w:rFonts w:ascii="Cambria" w:hAnsi="Cambria"/>
          <w:color w:val="17365D"/>
        </w:rPr>
        <w:t>2. Base Paper and Research Foundation</w:t>
      </w:r>
    </w:p>
    <w:p>
      <w:pPr>
        <w:pStyle w:val="Heading2"/>
      </w:pPr>
      <w:r>
        <w:rPr>
          <w:rFonts w:ascii="Cambria" w:hAnsi="Cambria"/>
          <w:color w:val="17365D"/>
        </w:rPr>
        <w:t>2.1 Identification of the Base Paper</w:t>
      </w:r>
    </w:p>
    <w:p>
      <w:pPr>
        <w:pStyle w:val="BodyText"/>
        <w:jc w:val="both"/>
      </w:pPr>
      <w:r>
        <w:rPr>
          <w:rFonts w:ascii="Cambria" w:hAnsi="Cambria"/>
          <w:color w:val="222222"/>
          <w:sz w:val="21"/>
        </w:rPr>
        <w:t xml:space="preserve">No single verified paper was identified that covers the complete combination of POLIX Level-2 products, unsupervised archive screening, anomaly explanation and calibrated polarimetry. Forcing one unrelated article to serve as the sole base paper would misrepresent the project. The proposed study is therefore grounded in a </w:t>
      </w:r>
      <w:r>
        <w:rPr>
          <w:rFonts w:ascii="Cambria" w:hAnsi="Cambria"/>
          <w:b/>
          <w:color w:val="222222"/>
          <w:sz w:val="21"/>
        </w:rPr>
        <w:t>base-source set</w:t>
      </w:r>
      <w:r>
        <w:rPr>
          <w:rFonts w:ascii="Cambria" w:hAnsi="Cambria"/>
          <w:color w:val="222222"/>
          <w:sz w:val="21"/>
        </w:rPr>
        <w:t>:</w:t>
      </w:r>
    </w:p>
    <w:p>
      <w:pPr>
        <w:spacing w:after="40"/>
      </w:pPr>
      <w:r>
        <w:rPr>
          <w:rFonts w:ascii="Cambria" w:hAnsi="Cambria"/>
          <w:sz w:val="20"/>
        </w:rPr>
        <w:t xml:space="preserve">1. </w:t>
      </w:r>
      <w:r>
        <w:rPr>
          <w:rFonts w:ascii="Cambria" w:hAnsi="Cambria"/>
          <w:color w:val="222222"/>
          <w:sz w:val="20"/>
        </w:rPr>
        <w:t xml:space="preserve">the official </w:t>
      </w:r>
      <w:r>
        <w:rPr>
          <w:rFonts w:ascii="Cambria" w:hAnsi="Cambria"/>
          <w:i/>
          <w:color w:val="222222"/>
          <w:sz w:val="20"/>
        </w:rPr>
        <w:t>XPoSat-POLIX User Handbook: User Guide for Scientific Data Analysis Level2</w:t>
      </w:r>
      <w:r>
        <w:rPr>
          <w:rFonts w:ascii="Cambria" w:hAnsi="Cambria"/>
          <w:color w:val="222222"/>
          <w:sz w:val="20"/>
        </w:rPr>
        <w:t xml:space="preserve"> for the mission product and instrument foundation [2];</w:t>
      </w:r>
    </w:p>
    <w:p>
      <w:pPr>
        <w:spacing w:after="40"/>
      </w:pPr>
      <w:r>
        <w:rPr>
          <w:rFonts w:ascii="Cambria" w:hAnsi="Cambria"/>
          <w:sz w:val="20"/>
        </w:rPr>
        <w:t xml:space="preserve">2. </w:t>
      </w:r>
      <w:r>
        <w:rPr>
          <w:rFonts w:ascii="Cambria" w:hAnsi="Cambria"/>
          <w:color w:val="222222"/>
          <w:sz w:val="20"/>
        </w:rPr>
        <w:t xml:space="preserve">Kislat </w:t>
      </w:r>
      <w:r>
        <w:rPr>
          <w:rFonts w:ascii="Cambria" w:hAnsi="Cambria"/>
          <w:i/>
          <w:color w:val="222222"/>
          <w:sz w:val="20"/>
        </w:rPr>
        <w:t>et al.</w:t>
      </w:r>
      <w:r>
        <w:rPr>
          <w:rFonts w:ascii="Cambria" w:hAnsi="Cambria"/>
          <w:color w:val="222222"/>
          <w:sz w:val="20"/>
        </w:rPr>
        <w:t xml:space="preserve"> for event-level Stokes analysis and the distinction between signal, background and polarimetric inference [8];</w:t>
      </w:r>
    </w:p>
    <w:p>
      <w:pPr>
        <w:spacing w:after="40"/>
      </w:pPr>
      <w:r>
        <w:rPr>
          <w:rFonts w:ascii="Cambria" w:hAnsi="Cambria"/>
          <w:sz w:val="20"/>
        </w:rPr>
        <w:t xml:space="preserve">3. </w:t>
      </w:r>
      <w:r>
        <w:rPr>
          <w:rFonts w:ascii="Cambria" w:hAnsi="Cambria"/>
          <w:color w:val="222222"/>
          <w:sz w:val="20"/>
        </w:rPr>
        <w:t>Liu, Ting and Zhou for the Isolation Forest anomaly-detection foundation [14]; and</w:t>
      </w:r>
    </w:p>
    <w:p>
      <w:pPr>
        <w:spacing w:after="40"/>
      </w:pPr>
      <w:r>
        <w:rPr>
          <w:rFonts w:ascii="Cambria" w:hAnsi="Cambria"/>
          <w:sz w:val="20"/>
        </w:rPr>
        <w:t xml:space="preserve">4. </w:t>
      </w:r>
      <w:r>
        <w:rPr>
          <w:rFonts w:ascii="Cambria" w:hAnsi="Cambria"/>
          <w:color w:val="222222"/>
          <w:sz w:val="20"/>
        </w:rPr>
        <w:t>Yepmo, Smits and Pivert for the taxonomy and limitations of anomaly explanations [18].</w:t>
      </w:r>
    </w:p>
    <w:p>
      <w:pPr>
        <w:pStyle w:val="BodyText"/>
        <w:jc w:val="both"/>
      </w:pPr>
      <w:r>
        <w:rPr>
          <w:rFonts w:ascii="Cambria" w:hAnsi="Cambria"/>
          <w:color w:val="222222"/>
          <w:sz w:val="21"/>
        </w:rPr>
        <w:t>The handbook is the strongest verified technical base for the exact POLIX products in scope. The remaining papers supply method foundations that the handbook does not attempt to provide.</w:t>
      </w:r>
    </w:p>
    <w:p>
      <w:pPr>
        <w:pStyle w:val="Heading2"/>
      </w:pPr>
      <w:r>
        <w:rPr>
          <w:rFonts w:ascii="Cambria" w:hAnsi="Cambria"/>
          <w:color w:val="17365D"/>
        </w:rPr>
        <w:t>2.2 Base-Paper Summary</w:t>
      </w:r>
    </w:p>
    <w:tbl>
      <w:tblPr>
        <w:tblW w:type="auto" w:w="0"/>
        <w:jc w:val="center"/>
        <w:tblLayout w:type="autofit"/>
        <w:tblLook w:firstColumn="1" w:firstRow="1" w:lastColumn="0" w:lastRow="0" w:noHBand="0" w:noVBand="1" w:val="04A0"/>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Pr>
      <w:tblGrid>
        <w:gridCol w:w="1393"/>
        <w:gridCol w:w="1393"/>
        <w:gridCol w:w="1393"/>
        <w:gridCol w:w="1393"/>
        <w:gridCol w:w="1393"/>
        <w:gridCol w:w="1393"/>
        <w:gridCol w:w="1393"/>
      </w:tblGrid>
      <w:tr>
        <w:trPr>
          <w:tblHeader w:val="true"/>
        </w:trPr>
        <w:tc>
          <w:tcPr>
            <w:tcW w:type="dxa" w:w="1393"/>
            <w:shd w:fill="1F4E78"/>
            <w:tcMar>
              <w:top w:w="80" w:type="dxa"/>
              <w:start w:w="90" w:type="dxa"/>
              <w:bottom w:w="80" w:type="dxa"/>
              <w:end w:w="90" w:type="dxa"/>
            </w:tcMar>
            <w:vAlign w:val="center"/>
          </w:tcPr>
          <w:p>
            <w:pPr>
              <w:jc w:val="center"/>
            </w:pPr>
            <w:r>
              <w:rPr>
                <w:rFonts w:ascii="Cambria" w:hAnsi="Cambria"/>
                <w:b/>
                <w:color w:val="FFFFFF"/>
                <w:sz w:val="16"/>
              </w:rPr>
              <w:t>Base source</w:t>
            </w:r>
          </w:p>
        </w:tc>
        <w:tc>
          <w:tcPr>
            <w:tcW w:type="dxa" w:w="1393"/>
            <w:shd w:fill="1F4E78"/>
            <w:tcMar>
              <w:top w:w="80" w:type="dxa"/>
              <w:start w:w="90" w:type="dxa"/>
              <w:bottom w:w="80" w:type="dxa"/>
              <w:end w:w="90" w:type="dxa"/>
            </w:tcMar>
            <w:vAlign w:val="center"/>
          </w:tcPr>
          <w:p>
            <w:pPr>
              <w:jc w:val="center"/>
            </w:pPr>
            <w:r>
              <w:rPr>
                <w:rFonts w:ascii="Cambria" w:hAnsi="Cambria"/>
                <w:b/>
                <w:color w:val="FFFFFF"/>
                <w:sz w:val="16"/>
              </w:rPr>
              <w:t>Problem studied</w:t>
            </w:r>
          </w:p>
        </w:tc>
        <w:tc>
          <w:tcPr>
            <w:tcW w:type="dxa" w:w="1393"/>
            <w:shd w:fill="1F4E78"/>
            <w:tcMar>
              <w:top w:w="80" w:type="dxa"/>
              <w:start w:w="90" w:type="dxa"/>
              <w:bottom w:w="80" w:type="dxa"/>
              <w:end w:w="90" w:type="dxa"/>
            </w:tcMar>
            <w:vAlign w:val="center"/>
          </w:tcPr>
          <w:p>
            <w:pPr>
              <w:jc w:val="center"/>
            </w:pPr>
            <w:r>
              <w:rPr>
                <w:rFonts w:ascii="Cambria" w:hAnsi="Cambria"/>
                <w:b/>
                <w:color w:val="FFFFFF"/>
                <w:sz w:val="16"/>
              </w:rPr>
              <w:t>Data or instrument</w:t>
            </w:r>
          </w:p>
        </w:tc>
        <w:tc>
          <w:tcPr>
            <w:tcW w:type="dxa" w:w="1393"/>
            <w:shd w:fill="1F4E78"/>
            <w:tcMar>
              <w:top w:w="80" w:type="dxa"/>
              <w:start w:w="90" w:type="dxa"/>
              <w:bottom w:w="80" w:type="dxa"/>
              <w:end w:w="90" w:type="dxa"/>
            </w:tcMar>
            <w:vAlign w:val="center"/>
          </w:tcPr>
          <w:p>
            <w:pPr>
              <w:jc w:val="center"/>
            </w:pPr>
            <w:r>
              <w:rPr>
                <w:rFonts w:ascii="Cambria" w:hAnsi="Cambria"/>
                <w:b/>
                <w:color w:val="FFFFFF"/>
                <w:sz w:val="16"/>
              </w:rPr>
              <w:t>Methodology</w:t>
            </w:r>
          </w:p>
        </w:tc>
        <w:tc>
          <w:tcPr>
            <w:tcW w:type="dxa" w:w="1393"/>
            <w:shd w:fill="1F4E78"/>
            <w:tcMar>
              <w:top w:w="80" w:type="dxa"/>
              <w:start w:w="90" w:type="dxa"/>
              <w:bottom w:w="80" w:type="dxa"/>
              <w:end w:w="90" w:type="dxa"/>
            </w:tcMar>
            <w:vAlign w:val="center"/>
          </w:tcPr>
          <w:p>
            <w:pPr>
              <w:jc w:val="center"/>
            </w:pPr>
            <w:r>
              <w:rPr>
                <w:rFonts w:ascii="Cambria" w:hAnsi="Cambria"/>
                <w:b/>
                <w:color w:val="FFFFFF"/>
                <w:sz w:val="16"/>
              </w:rPr>
              <w:t>Main contribution</w:t>
            </w:r>
          </w:p>
        </w:tc>
        <w:tc>
          <w:tcPr>
            <w:tcW w:type="dxa" w:w="1393"/>
            <w:shd w:fill="1F4E78"/>
            <w:tcMar>
              <w:top w:w="80" w:type="dxa"/>
              <w:start w:w="90" w:type="dxa"/>
              <w:bottom w:w="80" w:type="dxa"/>
              <w:end w:w="90" w:type="dxa"/>
            </w:tcMar>
            <w:vAlign w:val="center"/>
          </w:tcPr>
          <w:p>
            <w:pPr>
              <w:jc w:val="center"/>
            </w:pPr>
            <w:r>
              <w:rPr>
                <w:rFonts w:ascii="Cambria" w:hAnsi="Cambria"/>
                <w:b/>
                <w:color w:val="FFFFFF"/>
                <w:sz w:val="16"/>
              </w:rPr>
              <w:t>Limitation</w:t>
            </w:r>
          </w:p>
        </w:tc>
        <w:tc>
          <w:tcPr>
            <w:tcW w:type="dxa" w:w="1393"/>
            <w:shd w:fill="1F4E78"/>
            <w:tcMar>
              <w:top w:w="80" w:type="dxa"/>
              <w:start w:w="90" w:type="dxa"/>
              <w:bottom w:w="80" w:type="dxa"/>
              <w:end w:w="90" w:type="dxa"/>
            </w:tcMar>
            <w:vAlign w:val="center"/>
          </w:tcPr>
          <w:p>
            <w:pPr>
              <w:jc w:val="center"/>
            </w:pPr>
            <w:r>
              <w:rPr>
                <w:rFonts w:ascii="Cambria" w:hAnsi="Cambria"/>
                <w:b/>
                <w:color w:val="FFFFFF"/>
                <w:sz w:val="16"/>
              </w:rPr>
              <w:t>Relevance to the proposed project</w:t>
            </w:r>
          </w:p>
        </w:tc>
      </w:tr>
      <w:tr>
        <w:tc>
          <w:tcPr>
            <w:tcW w:type="dxa" w:w="1393"/>
            <w:tcMar>
              <w:top w:w="80" w:type="dxa"/>
              <w:start w:w="90" w:type="dxa"/>
              <w:bottom w:w="80" w:type="dxa"/>
              <w:end w:w="90" w:type="dxa"/>
            </w:tcMar>
            <w:vAlign w:val="top"/>
          </w:tcPr>
          <w:p>
            <w:pPr>
              <w:spacing w:after="0"/>
            </w:pPr>
            <w:r>
              <w:rPr>
                <w:rFonts w:ascii="Cambria" w:hAnsi="Cambria"/>
                <w:color w:val="222222"/>
                <w:sz w:val="14"/>
              </w:rPr>
              <w:t xml:space="preserve">N. Anand, K. Rikame and K. Roy, </w:t>
            </w:r>
            <w:r>
              <w:rPr>
                <w:rFonts w:ascii="Cambria" w:hAnsi="Cambria"/>
                <w:i/>
                <w:color w:val="222222"/>
                <w:sz w:val="14"/>
              </w:rPr>
              <w:t>XPoSat-POLIX User Handbook: User Guide for Scientific Data Analysis Level2</w:t>
            </w:r>
            <w:r>
              <w:rPr>
                <w:rFonts w:ascii="Cambria" w:hAnsi="Cambria"/>
                <w:color w:val="222222"/>
                <w:sz w:val="14"/>
              </w:rPr>
              <w:t>, V1.0, 2025 [2]</w:t>
            </w:r>
          </w:p>
        </w:tc>
        <w:tc>
          <w:tcPr>
            <w:tcW w:type="dxa" w:w="1393"/>
            <w:tcMar>
              <w:top w:w="80" w:type="dxa"/>
              <w:start w:w="90" w:type="dxa"/>
              <w:bottom w:w="80" w:type="dxa"/>
              <w:end w:w="90" w:type="dxa"/>
            </w:tcMar>
            <w:vAlign w:val="top"/>
          </w:tcPr>
          <w:p>
            <w:pPr>
              <w:spacing w:after="0"/>
            </w:pPr>
            <w:r>
              <w:rPr>
                <w:rFonts w:ascii="Cambria" w:hAnsi="Cambria"/>
                <w:color w:val="222222"/>
                <w:sz w:val="14"/>
              </w:rPr>
              <w:t>How users should understand and operate the POLIX Level-2 analysis chain and products</w:t>
            </w:r>
          </w:p>
        </w:tc>
        <w:tc>
          <w:tcPr>
            <w:tcW w:type="dxa" w:w="1393"/>
            <w:tcMar>
              <w:top w:w="80" w:type="dxa"/>
              <w:start w:w="90" w:type="dxa"/>
              <w:bottom w:w="80" w:type="dxa"/>
              <w:end w:w="90" w:type="dxa"/>
            </w:tcMar>
            <w:vAlign w:val="top"/>
          </w:tcPr>
          <w:p>
            <w:pPr>
              <w:spacing w:after="0"/>
            </w:pPr>
            <w:r>
              <w:rPr>
                <w:rFonts w:ascii="Cambria" w:hAnsi="Cambria"/>
                <w:color w:val="222222"/>
                <w:sz w:val="14"/>
              </w:rPr>
              <w:t>POLIX Level-1/Level-2 files, pipeline modules and calibration context</w:t>
            </w:r>
          </w:p>
        </w:tc>
        <w:tc>
          <w:tcPr>
            <w:tcW w:type="dxa" w:w="1393"/>
            <w:tcMar>
              <w:top w:w="80" w:type="dxa"/>
              <w:start w:w="90" w:type="dxa"/>
              <w:bottom w:w="80" w:type="dxa"/>
              <w:end w:w="90" w:type="dxa"/>
            </w:tcMar>
            <w:vAlign w:val="top"/>
          </w:tcPr>
          <w:p>
            <w:pPr>
              <w:spacing w:after="0"/>
            </w:pPr>
            <w:r>
              <w:rPr>
                <w:rFonts w:ascii="Cambria" w:hAnsi="Cambria"/>
                <w:color w:val="222222"/>
                <w:sz w:val="14"/>
              </w:rPr>
              <w:t>Product definitions, processing workflow, FITS descriptions and documented limitations</w:t>
            </w:r>
          </w:p>
        </w:tc>
        <w:tc>
          <w:tcPr>
            <w:tcW w:type="dxa" w:w="1393"/>
            <w:tcMar>
              <w:top w:w="80" w:type="dxa"/>
              <w:start w:w="90" w:type="dxa"/>
              <w:bottom w:w="80" w:type="dxa"/>
              <w:end w:w="90" w:type="dxa"/>
            </w:tcMar>
            <w:vAlign w:val="top"/>
          </w:tcPr>
          <w:p>
            <w:pPr>
              <w:spacing w:after="0"/>
            </w:pPr>
            <w:r>
              <w:rPr>
                <w:rFonts w:ascii="Cambria" w:hAnsi="Cambria"/>
                <w:color w:val="222222"/>
                <w:sz w:val="14"/>
              </w:rPr>
              <w:t xml:space="preserve">Authoritative description of the beryllium scatterer, four proportional counters, 48 anodes, Level-2 product families and </w:t>
            </w:r>
            <w:r>
              <w:rPr>
                <w:rFonts w:ascii="Consolas" w:hAnsi="Consolas"/>
                <w:color w:val="0F6B78"/>
                <w:sz w:val="13"/>
              </w:rPr>
              <w:t>WeightedRoll</w:t>
            </w:r>
            <w:r>
              <w:rPr>
                <w:rFonts w:ascii="Cambria" w:hAnsi="Cambria"/>
                <w:color w:val="222222"/>
                <w:sz w:val="14"/>
              </w:rPr>
              <w:t xml:space="preserve"> background limitation</w:t>
            </w:r>
          </w:p>
        </w:tc>
        <w:tc>
          <w:tcPr>
            <w:tcW w:type="dxa" w:w="1393"/>
            <w:tcMar>
              <w:top w:w="80" w:type="dxa"/>
              <w:start w:w="90" w:type="dxa"/>
              <w:bottom w:w="80" w:type="dxa"/>
              <w:end w:w="90" w:type="dxa"/>
            </w:tcMar>
            <w:vAlign w:val="top"/>
          </w:tcPr>
          <w:p>
            <w:pPr>
              <w:spacing w:after="0"/>
            </w:pPr>
            <w:r>
              <w:rPr>
                <w:rFonts w:ascii="Cambria" w:hAnsi="Cambria"/>
                <w:color w:val="222222"/>
                <w:sz w:val="14"/>
              </w:rPr>
              <w:t>It is an operational handbook rather than an archive-level ML study; future background methodology is explicitly anticipated</w:t>
            </w:r>
          </w:p>
        </w:tc>
        <w:tc>
          <w:tcPr>
            <w:tcW w:type="dxa" w:w="1393"/>
            <w:tcMar>
              <w:top w:w="80" w:type="dxa"/>
              <w:start w:w="90" w:type="dxa"/>
              <w:bottom w:w="80" w:type="dxa"/>
              <w:end w:w="90" w:type="dxa"/>
            </w:tcMar>
            <w:vAlign w:val="top"/>
          </w:tcPr>
          <w:p>
            <w:pPr>
              <w:spacing w:after="0"/>
            </w:pPr>
            <w:r>
              <w:rPr>
                <w:rFonts w:ascii="Cambria" w:hAnsi="Cambria"/>
                <w:color w:val="222222"/>
                <w:sz w:val="14"/>
              </w:rPr>
              <w:t>Defines the instrument truth, data semantics and scientific boundary conditions</w:t>
            </w:r>
          </w:p>
        </w:tc>
      </w:tr>
      <w:tr>
        <w:tc>
          <w:tcPr>
            <w:tcW w:type="dxa" w:w="1393"/>
            <w:tcMar>
              <w:top w:w="80" w:type="dxa"/>
              <w:start w:w="90" w:type="dxa"/>
              <w:bottom w:w="80" w:type="dxa"/>
              <w:end w:w="90" w:type="dxa"/>
            </w:tcMar>
            <w:vAlign w:val="top"/>
            <w:shd w:fill="F2F2F2"/>
          </w:tcPr>
          <w:p>
            <w:pPr>
              <w:spacing w:after="0"/>
            </w:pPr>
            <w:r>
              <w:rPr>
                <w:rFonts w:ascii="Cambria" w:hAnsi="Cambria"/>
                <w:color w:val="222222"/>
                <w:sz w:val="14"/>
              </w:rPr>
              <w:t xml:space="preserve">F. Kislat </w:t>
            </w:r>
            <w:r>
              <w:rPr>
                <w:rFonts w:ascii="Cambria" w:hAnsi="Cambria"/>
                <w:i/>
                <w:color w:val="222222"/>
                <w:sz w:val="14"/>
              </w:rPr>
              <w:t>et al.</w:t>
            </w:r>
            <w:r>
              <w:rPr>
                <w:rFonts w:ascii="Cambria" w:hAnsi="Cambria"/>
                <w:color w:val="222222"/>
                <w:sz w:val="14"/>
              </w:rPr>
              <w:t>, “Analyzing the data from X-ray polarimeters with Stokes parameters,” 2015 [8]</w:t>
            </w:r>
          </w:p>
        </w:tc>
        <w:tc>
          <w:tcPr>
            <w:tcW w:type="dxa" w:w="1393"/>
            <w:tcMar>
              <w:top w:w="80" w:type="dxa"/>
              <w:start w:w="90" w:type="dxa"/>
              <w:bottom w:w="80" w:type="dxa"/>
              <w:end w:w="90" w:type="dxa"/>
            </w:tcMar>
            <w:vAlign w:val="top"/>
            <w:shd w:fill="F2F2F2"/>
          </w:tcPr>
          <w:p>
            <w:pPr>
              <w:spacing w:after="0"/>
            </w:pPr>
            <w:r>
              <w:rPr>
                <w:rFonts w:ascii="Cambria" w:hAnsi="Cambria"/>
                <w:color w:val="222222"/>
                <w:sz w:val="14"/>
              </w:rPr>
              <w:t>How to estimate linear polarization from scattering or photoelectric polarimeter events with tractable statistics</w:t>
            </w:r>
          </w:p>
        </w:tc>
        <w:tc>
          <w:tcPr>
            <w:tcW w:type="dxa" w:w="1393"/>
            <w:tcMar>
              <w:top w:w="80" w:type="dxa"/>
              <w:start w:w="90" w:type="dxa"/>
              <w:bottom w:w="80" w:type="dxa"/>
              <w:end w:w="90" w:type="dxa"/>
            </w:tcMar>
            <w:vAlign w:val="top"/>
            <w:shd w:fill="F2F2F2"/>
          </w:tcPr>
          <w:p>
            <w:pPr>
              <w:spacing w:after="0"/>
            </w:pPr>
            <w:r>
              <w:rPr>
                <w:rFonts w:ascii="Cambria" w:hAnsi="Cambria"/>
                <w:color w:val="222222"/>
                <w:sz w:val="14"/>
              </w:rPr>
              <w:t>Generic X-ray polarimeter events including signal and background</w:t>
            </w:r>
          </w:p>
        </w:tc>
        <w:tc>
          <w:tcPr>
            <w:tcW w:type="dxa" w:w="1393"/>
            <w:tcMar>
              <w:top w:w="80" w:type="dxa"/>
              <w:start w:w="90" w:type="dxa"/>
              <w:bottom w:w="80" w:type="dxa"/>
              <w:end w:w="90" w:type="dxa"/>
            </w:tcMar>
            <w:vAlign w:val="top"/>
            <w:shd w:fill="F2F2F2"/>
          </w:tcPr>
          <w:p>
            <w:pPr>
              <w:spacing w:after="0"/>
            </w:pPr>
            <w:r>
              <w:rPr>
                <w:rFonts w:ascii="Cambria" w:hAnsi="Cambria"/>
                <w:color w:val="222222"/>
                <w:sz w:val="14"/>
              </w:rPr>
              <w:t>Additive Stokes Q/U treatment, uncertainty derivation, background subtraction and MDP relations</w:t>
            </w:r>
          </w:p>
        </w:tc>
        <w:tc>
          <w:tcPr>
            <w:tcW w:type="dxa" w:w="1393"/>
            <w:tcMar>
              <w:top w:w="80" w:type="dxa"/>
              <w:start w:w="90" w:type="dxa"/>
              <w:bottom w:w="80" w:type="dxa"/>
              <w:end w:w="90" w:type="dxa"/>
            </w:tcMar>
            <w:vAlign w:val="top"/>
            <w:shd w:fill="F2F2F2"/>
          </w:tcPr>
          <w:p>
            <w:pPr>
              <w:spacing w:after="0"/>
            </w:pPr>
            <w:r>
              <w:rPr>
                <w:rFonts w:ascii="Cambria" w:hAnsi="Cambria"/>
                <w:color w:val="222222"/>
                <w:sz w:val="14"/>
              </w:rPr>
              <w:t>Provides a rigorous bridge from azimuthal event directions to polarization statistics</w:t>
            </w:r>
          </w:p>
        </w:tc>
        <w:tc>
          <w:tcPr>
            <w:tcW w:type="dxa" w:w="1393"/>
            <w:tcMar>
              <w:top w:w="80" w:type="dxa"/>
              <w:start w:w="90" w:type="dxa"/>
              <w:bottom w:w="80" w:type="dxa"/>
              <w:end w:w="90" w:type="dxa"/>
            </w:tcMar>
            <w:vAlign w:val="top"/>
            <w:shd w:fill="F2F2F2"/>
          </w:tcPr>
          <w:p>
            <w:pPr>
              <w:spacing w:after="0"/>
            </w:pPr>
            <w:r>
              <w:rPr>
                <w:rFonts w:ascii="Cambria" w:hAnsi="Cambria"/>
                <w:color w:val="222222"/>
                <w:sz w:val="14"/>
              </w:rPr>
              <w:t>It is not specific to POLIX Level-2 archive products or the current POLIX background condition</w:t>
            </w:r>
          </w:p>
        </w:tc>
        <w:tc>
          <w:tcPr>
            <w:tcW w:type="dxa" w:w="1393"/>
            <w:tcMar>
              <w:top w:w="80" w:type="dxa"/>
              <w:start w:w="90" w:type="dxa"/>
              <w:bottom w:w="80" w:type="dxa"/>
              <w:end w:w="90" w:type="dxa"/>
            </w:tcMar>
            <w:vAlign w:val="top"/>
            <w:shd w:fill="F2F2F2"/>
          </w:tcPr>
          <w:p>
            <w:pPr>
              <w:spacing w:after="0"/>
            </w:pPr>
            <w:r>
              <w:rPr>
                <w:rFonts w:ascii="Cambria" w:hAnsi="Cambria"/>
                <w:color w:val="222222"/>
                <w:sz w:val="14"/>
              </w:rPr>
              <w:t>Supports the independent physical diagnostic and the separation of raw modulation from calibrated inference</w:t>
            </w:r>
          </w:p>
        </w:tc>
      </w:tr>
      <w:tr>
        <w:tc>
          <w:tcPr>
            <w:tcW w:type="dxa" w:w="1393"/>
            <w:tcMar>
              <w:top w:w="80" w:type="dxa"/>
              <w:start w:w="90" w:type="dxa"/>
              <w:bottom w:w="80" w:type="dxa"/>
              <w:end w:w="90" w:type="dxa"/>
            </w:tcMar>
            <w:vAlign w:val="top"/>
          </w:tcPr>
          <w:p>
            <w:pPr>
              <w:spacing w:after="0"/>
            </w:pPr>
            <w:r>
              <w:rPr>
                <w:rFonts w:ascii="Cambria" w:hAnsi="Cambria"/>
                <w:color w:val="222222"/>
                <w:sz w:val="14"/>
              </w:rPr>
              <w:t>F. T. Liu, K. M. Ting and Z.-H. Zhou, “Isolation Forest,” 2008 [14]</w:t>
            </w:r>
          </w:p>
        </w:tc>
        <w:tc>
          <w:tcPr>
            <w:tcW w:type="dxa" w:w="1393"/>
            <w:tcMar>
              <w:top w:w="80" w:type="dxa"/>
              <w:start w:w="90" w:type="dxa"/>
              <w:bottom w:w="80" w:type="dxa"/>
              <w:end w:w="90" w:type="dxa"/>
            </w:tcMar>
            <w:vAlign w:val="top"/>
          </w:tcPr>
          <w:p>
            <w:pPr>
              <w:spacing w:after="0"/>
            </w:pPr>
            <w:r>
              <w:rPr>
                <w:rFonts w:ascii="Cambria" w:hAnsi="Cambria"/>
                <w:color w:val="222222"/>
                <w:sz w:val="14"/>
              </w:rPr>
              <w:t>Detect anomalies without constructing a full model of normal data</w:t>
            </w:r>
          </w:p>
        </w:tc>
        <w:tc>
          <w:tcPr>
            <w:tcW w:type="dxa" w:w="1393"/>
            <w:tcMar>
              <w:top w:w="80" w:type="dxa"/>
              <w:start w:w="90" w:type="dxa"/>
              <w:bottom w:w="80" w:type="dxa"/>
              <w:end w:w="90" w:type="dxa"/>
            </w:tcMar>
            <w:vAlign w:val="top"/>
          </w:tcPr>
          <w:p>
            <w:pPr>
              <w:spacing w:after="0"/>
            </w:pPr>
            <w:r>
              <w:rPr>
                <w:rFonts w:ascii="Cambria" w:hAnsi="Cambria"/>
                <w:color w:val="222222"/>
                <w:sz w:val="14"/>
              </w:rPr>
              <w:t>General high-dimensional benchmark datasets</w:t>
            </w:r>
          </w:p>
        </w:tc>
        <w:tc>
          <w:tcPr>
            <w:tcW w:type="dxa" w:w="1393"/>
            <w:tcMar>
              <w:top w:w="80" w:type="dxa"/>
              <w:start w:w="90" w:type="dxa"/>
              <w:bottom w:w="80" w:type="dxa"/>
              <w:end w:w="90" w:type="dxa"/>
            </w:tcMar>
            <w:vAlign w:val="top"/>
          </w:tcPr>
          <w:p>
            <w:pPr>
              <w:spacing w:after="0"/>
            </w:pPr>
            <w:r>
              <w:rPr>
                <w:rFonts w:ascii="Cambria" w:hAnsi="Cambria"/>
                <w:color w:val="222222"/>
                <w:sz w:val="14"/>
              </w:rPr>
              <w:t>Random partition trees isolate rare points with short expected path lengths</w:t>
            </w:r>
          </w:p>
        </w:tc>
        <w:tc>
          <w:tcPr>
            <w:tcW w:type="dxa" w:w="1393"/>
            <w:tcMar>
              <w:top w:w="80" w:type="dxa"/>
              <w:start w:w="90" w:type="dxa"/>
              <w:bottom w:w="80" w:type="dxa"/>
              <w:end w:w="90" w:type="dxa"/>
            </w:tcMar>
            <w:vAlign w:val="top"/>
          </w:tcPr>
          <w:p>
            <w:pPr>
              <w:spacing w:after="0"/>
            </w:pPr>
            <w:r>
              <w:rPr>
                <w:rFonts w:ascii="Cambria" w:hAnsi="Cambria"/>
                <w:color w:val="222222"/>
                <w:sz w:val="14"/>
              </w:rPr>
              <w:t>Introduces a scalable unsupervised anomaly score suitable for multivariate data</w:t>
            </w:r>
          </w:p>
        </w:tc>
        <w:tc>
          <w:tcPr>
            <w:tcW w:type="dxa" w:w="1393"/>
            <w:tcMar>
              <w:top w:w="80" w:type="dxa"/>
              <w:start w:w="90" w:type="dxa"/>
              <w:bottom w:w="80" w:type="dxa"/>
              <w:end w:w="90" w:type="dxa"/>
            </w:tcMar>
            <w:vAlign w:val="top"/>
          </w:tcPr>
          <w:p>
            <w:pPr>
              <w:spacing w:after="0"/>
            </w:pPr>
            <w:r>
              <w:rPr>
                <w:rFonts w:ascii="Cambria" w:hAnsi="Cambria"/>
                <w:color w:val="222222"/>
                <w:sz w:val="14"/>
              </w:rPr>
              <w:t>An anomaly score is model- and sample-dependent and has no intrinsic scientific meaning or causal explanation</w:t>
            </w:r>
          </w:p>
        </w:tc>
        <w:tc>
          <w:tcPr>
            <w:tcW w:type="dxa" w:w="1393"/>
            <w:tcMar>
              <w:top w:w="80" w:type="dxa"/>
              <w:start w:w="90" w:type="dxa"/>
              <w:bottom w:w="80" w:type="dxa"/>
              <w:end w:w="90" w:type="dxa"/>
            </w:tcMar>
            <w:vAlign w:val="top"/>
          </w:tcPr>
          <w:p>
            <w:pPr>
              <w:spacing w:after="0"/>
            </w:pPr>
            <w:r>
              <w:rPr>
                <w:rFonts w:ascii="Cambria" w:hAnsi="Cambria"/>
                <w:color w:val="222222"/>
                <w:sz w:val="14"/>
              </w:rPr>
              <w:t>Supplies one candidate screening method, subject to small-sample and stability checks</w:t>
            </w:r>
          </w:p>
        </w:tc>
      </w:tr>
      <w:tr>
        <w:tc>
          <w:tcPr>
            <w:tcW w:type="dxa" w:w="1393"/>
            <w:tcMar>
              <w:top w:w="80" w:type="dxa"/>
              <w:start w:w="90" w:type="dxa"/>
              <w:bottom w:w="80" w:type="dxa"/>
              <w:end w:w="90" w:type="dxa"/>
            </w:tcMar>
            <w:vAlign w:val="top"/>
            <w:shd w:fill="F2F2F2"/>
          </w:tcPr>
          <w:p>
            <w:pPr>
              <w:spacing w:after="0"/>
            </w:pPr>
            <w:r>
              <w:rPr>
                <w:rFonts w:ascii="Cambria" w:hAnsi="Cambria"/>
                <w:color w:val="222222"/>
                <w:sz w:val="14"/>
              </w:rPr>
              <w:t>V. Yepmo, G. Smits and O. Pivert, “Anomaly explanation: A review,” 2022 [18]</w:t>
            </w:r>
          </w:p>
        </w:tc>
        <w:tc>
          <w:tcPr>
            <w:tcW w:type="dxa" w:w="1393"/>
            <w:tcMar>
              <w:top w:w="80" w:type="dxa"/>
              <w:start w:w="90" w:type="dxa"/>
              <w:bottom w:w="80" w:type="dxa"/>
              <w:end w:w="90" w:type="dxa"/>
            </w:tcMar>
            <w:vAlign w:val="top"/>
            <w:shd w:fill="F2F2F2"/>
          </w:tcPr>
          <w:p>
            <w:pPr>
              <w:spacing w:after="0"/>
            </w:pPr>
            <w:r>
              <w:rPr>
                <w:rFonts w:ascii="Cambria" w:hAnsi="Cambria"/>
                <w:color w:val="222222"/>
                <w:sz w:val="14"/>
              </w:rPr>
              <w:t>How anomaly-detection outputs can be explained to users</w:t>
            </w:r>
          </w:p>
        </w:tc>
        <w:tc>
          <w:tcPr>
            <w:tcW w:type="dxa" w:w="1393"/>
            <w:tcMar>
              <w:top w:w="80" w:type="dxa"/>
              <w:start w:w="90" w:type="dxa"/>
              <w:bottom w:w="80" w:type="dxa"/>
              <w:end w:w="90" w:type="dxa"/>
            </w:tcMar>
            <w:vAlign w:val="top"/>
            <w:shd w:fill="F2F2F2"/>
          </w:tcPr>
          <w:p>
            <w:pPr>
              <w:spacing w:after="0"/>
            </w:pPr>
            <w:r>
              <w:rPr>
                <w:rFonts w:ascii="Cambria" w:hAnsi="Cambria"/>
                <w:color w:val="222222"/>
                <w:sz w:val="14"/>
              </w:rPr>
              <w:t>Cross-domain anomaly-detection literature</w:t>
            </w:r>
          </w:p>
        </w:tc>
        <w:tc>
          <w:tcPr>
            <w:tcW w:type="dxa" w:w="1393"/>
            <w:tcMar>
              <w:top w:w="80" w:type="dxa"/>
              <w:start w:w="90" w:type="dxa"/>
              <w:bottom w:w="80" w:type="dxa"/>
              <w:end w:w="90" w:type="dxa"/>
            </w:tcMar>
            <w:vAlign w:val="top"/>
            <w:shd w:fill="F2F2F2"/>
          </w:tcPr>
          <w:p>
            <w:pPr>
              <w:spacing w:after="0"/>
            </w:pPr>
            <w:r>
              <w:rPr>
                <w:rFonts w:ascii="Cambria" w:hAnsi="Cambria"/>
                <w:color w:val="222222"/>
                <w:sz w:val="14"/>
              </w:rPr>
              <w:t>Taxonomy of explanation by feature importance, feature values, reference points and structure</w:t>
            </w:r>
          </w:p>
        </w:tc>
        <w:tc>
          <w:tcPr>
            <w:tcW w:type="dxa" w:w="1393"/>
            <w:tcMar>
              <w:top w:w="80" w:type="dxa"/>
              <w:start w:w="90" w:type="dxa"/>
              <w:bottom w:w="80" w:type="dxa"/>
              <w:end w:w="90" w:type="dxa"/>
            </w:tcMar>
            <w:vAlign w:val="top"/>
            <w:shd w:fill="F2F2F2"/>
          </w:tcPr>
          <w:p>
            <w:pPr>
              <w:spacing w:after="0"/>
            </w:pPr>
            <w:r>
              <w:rPr>
                <w:rFonts w:ascii="Cambria" w:hAnsi="Cambria"/>
                <w:color w:val="222222"/>
                <w:sz w:val="14"/>
              </w:rPr>
              <w:t>Shows that anomaly explanation is distinct from classification explanation and is necessary for contextual trust</w:t>
            </w:r>
          </w:p>
        </w:tc>
        <w:tc>
          <w:tcPr>
            <w:tcW w:type="dxa" w:w="1393"/>
            <w:tcMar>
              <w:top w:w="80" w:type="dxa"/>
              <w:start w:w="90" w:type="dxa"/>
              <w:bottom w:w="80" w:type="dxa"/>
              <w:end w:w="90" w:type="dxa"/>
            </w:tcMar>
            <w:vAlign w:val="top"/>
            <w:shd w:fill="F2F2F2"/>
          </w:tcPr>
          <w:p>
            <w:pPr>
              <w:spacing w:after="0"/>
            </w:pPr>
            <w:r>
              <w:rPr>
                <w:rFonts w:ascii="Cambria" w:hAnsi="Cambria"/>
                <w:color w:val="222222"/>
                <w:sz w:val="14"/>
              </w:rPr>
              <w:t>The reviewed techniques are general and do not supply POLIX product semantics</w:t>
            </w:r>
          </w:p>
        </w:tc>
        <w:tc>
          <w:tcPr>
            <w:tcW w:type="dxa" w:w="1393"/>
            <w:tcMar>
              <w:top w:w="80" w:type="dxa"/>
              <w:start w:w="90" w:type="dxa"/>
              <w:bottom w:w="80" w:type="dxa"/>
              <w:end w:w="90" w:type="dxa"/>
            </w:tcMar>
            <w:vAlign w:val="top"/>
            <w:shd w:fill="F2F2F2"/>
          </w:tcPr>
          <w:p>
            <w:pPr>
              <w:spacing w:after="0"/>
            </w:pPr>
            <w:r>
              <w:rPr>
                <w:rFonts w:ascii="Cambria" w:hAnsi="Cambria"/>
                <w:color w:val="222222"/>
                <w:sz w:val="14"/>
              </w:rPr>
              <w:t>Motivates feature-level and product-level explanations tied to scientific provenance</w:t>
            </w:r>
          </w:p>
        </w:tc>
      </w:tr>
    </w:tbl>
    <w:p>
      <w:pPr>
        <w:spacing w:after="20"/>
      </w:pPr>
    </w:p>
    <w:p>
      <w:pPr>
        <w:pStyle w:val="Heading2"/>
      </w:pPr>
      <w:r>
        <w:rPr>
          <w:rFonts w:ascii="Cambria" w:hAnsi="Cambria"/>
          <w:color w:val="17365D"/>
        </w:rPr>
        <w:t>2.3 Extension Beyond the Base Paper</w:t>
      </w:r>
    </w:p>
    <w:p>
      <w:pPr>
        <w:pStyle w:val="BodyText"/>
        <w:jc w:val="both"/>
      </w:pPr>
      <w:r>
        <w:rPr>
          <w:rFonts w:ascii="Cambria" w:hAnsi="Cambria"/>
          <w:color w:val="222222"/>
          <w:sz w:val="21"/>
        </w:rPr>
        <w:t>The planned methodology intends to connect these otherwise separate foundations. The official POLIX handbook describes the files but does not provide unsupervised archive-level screening. Isolation Forest provides a general anomaly score but does not know whether a feature represents exposure, time variability or a detector imbalance. General anomaly-explanation literature categorizes explanation forms but does not map them to POLIX products. Stokes analysis explains how polarimetric evidence should be handled but does not establish that an archive outlier is polarized.</w:t>
      </w:r>
    </w:p>
    <w:p>
      <w:pPr>
        <w:pStyle w:val="BodyText"/>
        <w:jc w:val="both"/>
      </w:pPr>
      <w:r>
        <w:rPr>
          <w:rFonts w:ascii="Cambria" w:hAnsi="Cambria"/>
          <w:color w:val="222222"/>
          <w:sz w:val="21"/>
        </w:rPr>
        <w:t>The proposed extension is therefore to investigate:</w:t>
      </w:r>
    </w:p>
    <w:p>
      <w:pPr>
        <w:pStyle w:val="ListBullet"/>
      </w:pPr>
      <w:r>
        <w:rPr>
          <w:rFonts w:ascii="Cambria" w:hAnsi="Cambria"/>
          <w:color w:val="222222"/>
          <w:sz w:val="20"/>
        </w:rPr>
        <w:t>a multi-product POLIX feature representation;</w:t>
      </w:r>
    </w:p>
    <w:p>
      <w:pPr>
        <w:pStyle w:val="ListBullet"/>
      </w:pPr>
      <w:r>
        <w:rPr>
          <w:rFonts w:ascii="Cambria" w:hAnsi="Cambria"/>
          <w:color w:val="222222"/>
          <w:sz w:val="20"/>
        </w:rPr>
        <w:t>unsupervised observation-level screening rather than target-specific final inference;</w:t>
      </w:r>
    </w:p>
    <w:p>
      <w:pPr>
        <w:pStyle w:val="ListBullet"/>
      </w:pPr>
      <w:r>
        <w:rPr>
          <w:rFonts w:ascii="Cambria" w:hAnsi="Cambria"/>
          <w:color w:val="222222"/>
          <w:sz w:val="20"/>
        </w:rPr>
        <w:t>explanations organized by feature and source-product family;</w:t>
      </w:r>
    </w:p>
    <w:p>
      <w:pPr>
        <w:pStyle w:val="ListBullet"/>
      </w:pPr>
      <w:r>
        <w:rPr>
          <w:rFonts w:ascii="Cambria" w:hAnsi="Cambria"/>
          <w:color w:val="222222"/>
          <w:sz w:val="20"/>
        </w:rPr>
        <w:t xml:space="preserve">an independent </w:t>
      </w:r>
      <w:r>
        <w:rPr>
          <w:rFonts w:ascii="Consolas" w:hAnsi="Consolas"/>
          <w:color w:val="0F6B78"/>
          <w:sz w:val="19"/>
        </w:rPr>
        <w:t>WeightedRoll</w:t>
      </w:r>
      <w:r>
        <w:rPr>
          <w:rFonts w:ascii="Cambria" w:hAnsi="Cambria"/>
          <w:color w:val="222222"/>
          <w:sz w:val="20"/>
        </w:rPr>
        <w:t xml:space="preserve"> diagnostic kept outside the primary anomaly feature set;</w:t>
      </w:r>
    </w:p>
    <w:p>
      <w:pPr>
        <w:pStyle w:val="ListBullet"/>
      </w:pPr>
      <w:r>
        <w:rPr>
          <w:rFonts w:ascii="Cambria" w:hAnsi="Cambria"/>
          <w:color w:val="222222"/>
          <w:sz w:val="20"/>
        </w:rPr>
        <w:t>source-versus-blank-sky comparison;</w:t>
      </w:r>
    </w:p>
    <w:p>
      <w:pPr>
        <w:pStyle w:val="ListBullet"/>
      </w:pPr>
      <w:r>
        <w:rPr>
          <w:rFonts w:ascii="Cambria" w:hAnsi="Cambria"/>
          <w:color w:val="222222"/>
          <w:sz w:val="20"/>
        </w:rPr>
        <w:t>and a researcher-facing presentation layer that preserves evidence and limitations.</w:t>
      </w:r>
    </w:p>
    <w:p>
      <w:pPr>
        <w:pStyle w:val="BodyText"/>
        <w:jc w:val="both"/>
      </w:pPr>
      <w:r>
        <w:rPr>
          <w:rFonts w:ascii="Cambria" w:hAnsi="Cambria"/>
          <w:color w:val="222222"/>
          <w:sz w:val="21"/>
        </w:rPr>
        <w:t>These are intended research directions, not claims of completed improvement or superiority.</w:t>
      </w:r>
    </w:p>
    <w:p>
      <w:pPr>
        <w:pStyle w:val="Heading2"/>
      </w:pPr>
      <w:r>
        <w:rPr>
          <w:rFonts w:ascii="Cambria" w:hAnsi="Cambria"/>
          <w:color w:val="17365D"/>
        </w:rPr>
        <w:t>2.4 Evolution from the Initial Chandra Base-Paper Idea</w:t>
      </w:r>
    </w:p>
    <w:p>
      <w:pPr>
        <w:pStyle w:val="BodyText"/>
        <w:jc w:val="both"/>
      </w:pPr>
      <w:r>
        <w:rPr>
          <w:rFonts w:ascii="Cambria" w:hAnsi="Cambria"/>
          <w:color w:val="222222"/>
          <w:sz w:val="21"/>
        </w:rPr>
        <w:t>The project began with an interest in two Chandra-source machine-learning studies. Their value was conceptual: they demonstrated that X-ray data can be represented computationally and that an ML output needs an interpretable scientific explanation. As the project was refined around the available XPoSat/POLIX data, the research task changed substantially.</w:t>
      </w:r>
    </w:p>
    <w:p>
      <w:pPr>
        <w:pStyle w:val="BodyText"/>
        <w:jc w:val="both"/>
      </w:pPr>
      <w:r>
        <w:rPr>
          <w:rFonts w:ascii="Cambria" w:hAnsi="Cambria"/>
          <w:color w:val="222222"/>
          <w:sz w:val="21"/>
        </w:rPr>
        <w:t xml:space="preserve">The first initial paper, Kumaran, Mandal and Bhattacharyya, </w:t>
      </w:r>
      <w:r>
        <w:rPr>
          <w:rFonts w:ascii="Cambria" w:hAnsi="Cambria"/>
          <w:b/>
          <w:color w:val="222222"/>
          <w:sz w:val="21"/>
        </w:rPr>
        <w:t>“Explainable machine learning classification of Chandra X-ray sources: SHAP analysis of multi-wavelength features,”</w:t>
      </w:r>
      <w:r>
        <w:rPr>
          <w:rFonts w:ascii="Cambria" w:hAnsi="Cambria"/>
          <w:color w:val="222222"/>
          <w:sz w:val="21"/>
        </w:rPr>
        <w:t xml:space="preserve"> applies supervised LightGBM classification and SHAP explanations to labelled source classes and multi-wavelength features [19]. The proposed POLIX study does not adopt that classification objective, does not use LightGBM, and does not use SHAP as its operative explanation method. The transferable idea is narrower: scientific ML should expose which measured variables influenced an output and should permit domain review.</w:t>
      </w:r>
    </w:p>
    <w:p>
      <w:pPr>
        <w:pStyle w:val="BodyText"/>
        <w:jc w:val="both"/>
      </w:pPr>
      <w:r>
        <w:rPr>
          <w:rFonts w:ascii="Cambria" w:hAnsi="Cambria"/>
          <w:color w:val="222222"/>
          <w:sz w:val="21"/>
        </w:rPr>
        <w:t xml:space="preserve">The second paper, Pérez-Díaz </w:t>
      </w:r>
      <w:r>
        <w:rPr>
          <w:rFonts w:ascii="Cambria" w:hAnsi="Cambria"/>
          <w:i/>
          <w:color w:val="222222"/>
          <w:sz w:val="21"/>
        </w:rPr>
        <w:t>et al.</w:t>
      </w:r>
      <w:r>
        <w:rPr>
          <w:rFonts w:ascii="Cambria" w:hAnsi="Cambria"/>
          <w:color w:val="222222"/>
          <w:sz w:val="21"/>
        </w:rPr>
        <w:t xml:space="preserve">, </w:t>
      </w:r>
      <w:r>
        <w:rPr>
          <w:rFonts w:ascii="Cambria" w:hAnsi="Cambria"/>
          <w:b/>
          <w:color w:val="222222"/>
          <w:sz w:val="21"/>
        </w:rPr>
        <w:t>“Unsupervised machine learning for the classification of astrophysical X-ray sources,”</w:t>
      </w:r>
      <w:r>
        <w:rPr>
          <w:rFonts w:ascii="Cambria" w:hAnsi="Cambria"/>
          <w:color w:val="222222"/>
          <w:sz w:val="21"/>
        </w:rPr>
        <w:t xml:space="preserve"> investigates unsupervised learning for probabilistic source classification using astrophysical X-ray-source data [20]. It influenced the move away from assuming reliable labels. However, its output remains related to source classes. The proposed project instead treats each POLIX observation as a multi-product record and asks whether its behaviour is unusual relative to other observations. Its output is therefore an observation-priority score or category for review, not an astrophysical class label.</w:t>
      </w:r>
    </w:p>
    <w:tbl>
      <w:tblPr>
        <w:tblW w:type="auto" w:w="0"/>
        <w:jc w:val="center"/>
        <w:tblLayout w:type="autofit"/>
        <w:tblLook w:firstColumn="1" w:firstRow="1" w:lastColumn="0" w:lastRow="0" w:noHBand="0" w:noVBand="1" w:val="04A0"/>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Pr>
      <w:tblGrid>
        <w:gridCol w:w="3251"/>
        <w:gridCol w:w="3251"/>
        <w:gridCol w:w="3251"/>
      </w:tblGrid>
      <w:tr>
        <w:trPr>
          <w:tblHeader w:val="true"/>
        </w:trPr>
        <w:tc>
          <w:tcPr>
            <w:tcW w:type="dxa" w:w="3251"/>
            <w:shd w:fill="1F4E78"/>
            <w:tcMar>
              <w:top w:w="80" w:type="dxa"/>
              <w:start w:w="90" w:type="dxa"/>
              <w:bottom w:w="80" w:type="dxa"/>
              <w:end w:w="90" w:type="dxa"/>
            </w:tcMar>
            <w:vAlign w:val="center"/>
          </w:tcPr>
          <w:p>
            <w:pPr>
              <w:jc w:val="center"/>
            </w:pPr>
            <w:r>
              <w:rPr>
                <w:rFonts w:ascii="Cambria" w:hAnsi="Cambria"/>
                <w:b/>
                <w:color w:val="FFFFFF"/>
                <w:sz w:val="16"/>
              </w:rPr>
              <w:t>Aspect</w:t>
            </w:r>
          </w:p>
        </w:tc>
        <w:tc>
          <w:tcPr>
            <w:tcW w:type="dxa" w:w="3251"/>
            <w:shd w:fill="1F4E78"/>
            <w:tcMar>
              <w:top w:w="80" w:type="dxa"/>
              <w:start w:w="90" w:type="dxa"/>
              <w:bottom w:w="80" w:type="dxa"/>
              <w:end w:w="90" w:type="dxa"/>
            </w:tcMar>
            <w:vAlign w:val="center"/>
          </w:tcPr>
          <w:p>
            <w:pPr>
              <w:jc w:val="center"/>
            </w:pPr>
            <w:r>
              <w:rPr>
                <w:rFonts w:ascii="Cambria" w:hAnsi="Cambria"/>
                <w:b/>
                <w:color w:val="FFFFFF"/>
                <w:sz w:val="16"/>
              </w:rPr>
              <w:t>Initial Chandra-paper direction</w:t>
            </w:r>
          </w:p>
        </w:tc>
        <w:tc>
          <w:tcPr>
            <w:tcW w:type="dxa" w:w="3251"/>
            <w:shd w:fill="1F4E78"/>
            <w:tcMar>
              <w:top w:w="80" w:type="dxa"/>
              <w:start w:w="90" w:type="dxa"/>
              <w:bottom w:w="80" w:type="dxa"/>
              <w:end w:w="90" w:type="dxa"/>
            </w:tcMar>
            <w:vAlign w:val="center"/>
          </w:tcPr>
          <w:p>
            <w:pPr>
              <w:jc w:val="center"/>
            </w:pPr>
            <w:r>
              <w:rPr>
                <w:rFonts w:ascii="Cambria" w:hAnsi="Cambria"/>
                <w:b/>
                <w:color w:val="FFFFFF"/>
                <w:sz w:val="16"/>
              </w:rPr>
              <w:t>Evolved POLIX project direction</w:t>
            </w:r>
          </w:p>
        </w:tc>
      </w:tr>
      <w:tr>
        <w:tc>
          <w:tcPr>
            <w:tcW w:type="dxa" w:w="3251"/>
            <w:tcMar>
              <w:top w:w="80" w:type="dxa"/>
              <w:start w:w="90" w:type="dxa"/>
              <w:bottom w:w="80" w:type="dxa"/>
              <w:end w:w="90" w:type="dxa"/>
            </w:tcMar>
            <w:vAlign w:val="top"/>
          </w:tcPr>
          <w:p>
            <w:pPr>
              <w:spacing w:after="0"/>
            </w:pPr>
            <w:r>
              <w:rPr>
                <w:rFonts w:ascii="Cambria" w:hAnsi="Cambria"/>
                <w:color w:val="222222"/>
                <w:sz w:val="17"/>
              </w:rPr>
              <w:t>Scientific object</w:t>
            </w:r>
          </w:p>
        </w:tc>
        <w:tc>
          <w:tcPr>
            <w:tcW w:type="dxa" w:w="3251"/>
            <w:tcMar>
              <w:top w:w="80" w:type="dxa"/>
              <w:start w:w="90" w:type="dxa"/>
              <w:bottom w:w="80" w:type="dxa"/>
              <w:end w:w="90" w:type="dxa"/>
            </w:tcMar>
            <w:vAlign w:val="top"/>
          </w:tcPr>
          <w:p>
            <w:pPr>
              <w:spacing w:after="0"/>
            </w:pPr>
            <w:r>
              <w:rPr>
                <w:rFonts w:ascii="Cambria" w:hAnsi="Cambria"/>
                <w:color w:val="222222"/>
                <w:sz w:val="17"/>
              </w:rPr>
              <w:t>Chandra X-ray sources</w:t>
            </w:r>
          </w:p>
        </w:tc>
        <w:tc>
          <w:tcPr>
            <w:tcW w:type="dxa" w:w="3251"/>
            <w:tcMar>
              <w:top w:w="80" w:type="dxa"/>
              <w:start w:w="90" w:type="dxa"/>
              <w:bottom w:w="80" w:type="dxa"/>
              <w:end w:w="90" w:type="dxa"/>
            </w:tcMar>
            <w:vAlign w:val="top"/>
          </w:tcPr>
          <w:p>
            <w:pPr>
              <w:spacing w:after="0"/>
            </w:pPr>
            <w:r>
              <w:rPr>
                <w:rFonts w:ascii="Cambria" w:hAnsi="Cambria"/>
                <w:color w:val="222222"/>
                <w:sz w:val="17"/>
              </w:rPr>
              <w:t>POLIX Level-2 observation bundles</w:t>
            </w:r>
          </w:p>
        </w:tc>
      </w:tr>
      <w:tr>
        <w:tc>
          <w:tcPr>
            <w:tcW w:type="dxa" w:w="3251"/>
            <w:tcMar>
              <w:top w:w="80" w:type="dxa"/>
              <w:start w:w="90" w:type="dxa"/>
              <w:bottom w:w="80" w:type="dxa"/>
              <w:end w:w="90" w:type="dxa"/>
            </w:tcMar>
            <w:vAlign w:val="top"/>
            <w:shd w:fill="F2F2F2"/>
          </w:tcPr>
          <w:p>
            <w:pPr>
              <w:spacing w:after="0"/>
            </w:pPr>
            <w:r>
              <w:rPr>
                <w:rFonts w:ascii="Cambria" w:hAnsi="Cambria"/>
                <w:color w:val="222222"/>
                <w:sz w:val="17"/>
              </w:rPr>
              <w:t>Primary task</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Source classification</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Unsupervised observation screening</w:t>
            </w:r>
          </w:p>
        </w:tc>
      </w:tr>
      <w:tr>
        <w:tc>
          <w:tcPr>
            <w:tcW w:type="dxa" w:w="3251"/>
            <w:tcMar>
              <w:top w:w="80" w:type="dxa"/>
              <w:start w:w="90" w:type="dxa"/>
              <w:bottom w:w="80" w:type="dxa"/>
              <w:end w:w="90" w:type="dxa"/>
            </w:tcMar>
            <w:vAlign w:val="top"/>
          </w:tcPr>
          <w:p>
            <w:pPr>
              <w:spacing w:after="0"/>
            </w:pPr>
            <w:r>
              <w:rPr>
                <w:rFonts w:ascii="Cambria" w:hAnsi="Cambria"/>
                <w:color w:val="222222"/>
                <w:sz w:val="17"/>
              </w:rPr>
              <w:t>Labels</w:t>
            </w:r>
          </w:p>
        </w:tc>
        <w:tc>
          <w:tcPr>
            <w:tcW w:type="dxa" w:w="3251"/>
            <w:tcMar>
              <w:top w:w="80" w:type="dxa"/>
              <w:start w:w="90" w:type="dxa"/>
              <w:bottom w:w="80" w:type="dxa"/>
              <w:end w:w="90" w:type="dxa"/>
            </w:tcMar>
            <w:vAlign w:val="top"/>
          </w:tcPr>
          <w:p>
            <w:pPr>
              <w:spacing w:after="0"/>
            </w:pPr>
            <w:r>
              <w:rPr>
                <w:rFonts w:ascii="Cambria" w:hAnsi="Cambria"/>
                <w:color w:val="222222"/>
                <w:sz w:val="17"/>
              </w:rPr>
              <w:t>Known or inferred astrophysical classes</w:t>
            </w:r>
          </w:p>
        </w:tc>
        <w:tc>
          <w:tcPr>
            <w:tcW w:type="dxa" w:w="3251"/>
            <w:tcMar>
              <w:top w:w="80" w:type="dxa"/>
              <w:start w:w="90" w:type="dxa"/>
              <w:bottom w:w="80" w:type="dxa"/>
              <w:end w:w="90" w:type="dxa"/>
            </w:tcMar>
            <w:vAlign w:val="top"/>
          </w:tcPr>
          <w:p>
            <w:pPr>
              <w:spacing w:after="0"/>
            </w:pPr>
            <w:r>
              <w:rPr>
                <w:rFonts w:ascii="Cambria" w:hAnsi="Cambria"/>
                <w:color w:val="222222"/>
                <w:sz w:val="17"/>
              </w:rPr>
              <w:t>No trusted anomaly labels assumed</w:t>
            </w:r>
          </w:p>
        </w:tc>
      </w:tr>
      <w:tr>
        <w:tc>
          <w:tcPr>
            <w:tcW w:type="dxa" w:w="3251"/>
            <w:tcMar>
              <w:top w:w="80" w:type="dxa"/>
              <w:start w:w="90" w:type="dxa"/>
              <w:bottom w:w="80" w:type="dxa"/>
              <w:end w:w="90" w:type="dxa"/>
            </w:tcMar>
            <w:vAlign w:val="top"/>
            <w:shd w:fill="F2F2F2"/>
          </w:tcPr>
          <w:p>
            <w:pPr>
              <w:spacing w:after="0"/>
            </w:pPr>
            <w:r>
              <w:rPr>
                <w:rFonts w:ascii="Cambria" w:hAnsi="Cambria"/>
                <w:color w:val="222222"/>
                <w:sz w:val="17"/>
              </w:rPr>
              <w:t>Main model idea</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LightGBM or classification-oriented unsupervised models</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PCA and clustering for structure; Isolation Forest or another justified detector for anomaly ranking</w:t>
            </w:r>
          </w:p>
        </w:tc>
      </w:tr>
      <w:tr>
        <w:tc>
          <w:tcPr>
            <w:tcW w:type="dxa" w:w="3251"/>
            <w:tcMar>
              <w:top w:w="80" w:type="dxa"/>
              <w:start w:w="90" w:type="dxa"/>
              <w:bottom w:w="80" w:type="dxa"/>
              <w:end w:w="90" w:type="dxa"/>
            </w:tcMar>
            <w:vAlign w:val="top"/>
          </w:tcPr>
          <w:p>
            <w:pPr>
              <w:spacing w:after="0"/>
            </w:pPr>
            <w:r>
              <w:rPr>
                <w:rFonts w:ascii="Cambria" w:hAnsi="Cambria"/>
                <w:color w:val="222222"/>
                <w:sz w:val="17"/>
              </w:rPr>
              <w:t>Explanation idea</w:t>
            </w:r>
          </w:p>
        </w:tc>
        <w:tc>
          <w:tcPr>
            <w:tcW w:type="dxa" w:w="3251"/>
            <w:tcMar>
              <w:top w:w="80" w:type="dxa"/>
              <w:start w:w="90" w:type="dxa"/>
              <w:bottom w:w="80" w:type="dxa"/>
              <w:end w:w="90" w:type="dxa"/>
            </w:tcMar>
            <w:vAlign w:val="top"/>
          </w:tcPr>
          <w:p>
            <w:pPr>
              <w:spacing w:after="0"/>
            </w:pPr>
            <w:r>
              <w:rPr>
                <w:rFonts w:ascii="Cambria" w:hAnsi="Cambria"/>
                <w:color w:val="222222"/>
                <w:sz w:val="17"/>
              </w:rPr>
              <w:t>SHAP attribution for a predictive classifier</w:t>
            </w:r>
          </w:p>
        </w:tc>
        <w:tc>
          <w:tcPr>
            <w:tcW w:type="dxa" w:w="3251"/>
            <w:tcMar>
              <w:top w:w="80" w:type="dxa"/>
              <w:start w:w="90" w:type="dxa"/>
              <w:bottom w:w="80" w:type="dxa"/>
              <w:end w:w="90" w:type="dxa"/>
            </w:tcMar>
            <w:vAlign w:val="top"/>
          </w:tcPr>
          <w:p>
            <w:pPr>
              <w:spacing w:after="0"/>
            </w:pPr>
            <w:r>
              <w:rPr>
                <w:rFonts w:ascii="Cambria" w:hAnsi="Cambria"/>
                <w:color w:val="222222"/>
                <w:sz w:val="17"/>
              </w:rPr>
              <w:t>Product-aware, detector-compatible evidence tied to original FITS products</w:t>
            </w:r>
          </w:p>
        </w:tc>
      </w:tr>
      <w:tr>
        <w:tc>
          <w:tcPr>
            <w:tcW w:type="dxa" w:w="3251"/>
            <w:tcMar>
              <w:top w:w="80" w:type="dxa"/>
              <w:start w:w="90" w:type="dxa"/>
              <w:bottom w:w="80" w:type="dxa"/>
              <w:end w:w="90" w:type="dxa"/>
            </w:tcMar>
            <w:vAlign w:val="top"/>
            <w:shd w:fill="F2F2F2"/>
          </w:tcPr>
          <w:p>
            <w:pPr>
              <w:spacing w:after="0"/>
            </w:pPr>
            <w:r>
              <w:rPr>
                <w:rFonts w:ascii="Cambria" w:hAnsi="Cambria"/>
                <w:color w:val="222222"/>
                <w:sz w:val="17"/>
              </w:rPr>
              <w:t>Data</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Chandra and multi-wavelength features</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POLIX exposure, azimuth, timing, detector-wise and related Level-2 products</w:t>
            </w:r>
          </w:p>
        </w:tc>
      </w:tr>
      <w:tr>
        <w:tc>
          <w:tcPr>
            <w:tcW w:type="dxa" w:w="3251"/>
            <w:tcMar>
              <w:top w:w="80" w:type="dxa"/>
              <w:start w:w="90" w:type="dxa"/>
              <w:bottom w:w="80" w:type="dxa"/>
              <w:end w:w="90" w:type="dxa"/>
            </w:tcMar>
            <w:vAlign w:val="top"/>
          </w:tcPr>
          <w:p>
            <w:pPr>
              <w:spacing w:after="0"/>
            </w:pPr>
            <w:r>
              <w:rPr>
                <w:rFonts w:ascii="Cambria" w:hAnsi="Cambria"/>
                <w:color w:val="222222"/>
                <w:sz w:val="17"/>
              </w:rPr>
              <w:t>Physical interpretation</w:t>
            </w:r>
          </w:p>
        </w:tc>
        <w:tc>
          <w:tcPr>
            <w:tcW w:type="dxa" w:w="3251"/>
            <w:tcMar>
              <w:top w:w="80" w:type="dxa"/>
              <w:start w:w="90" w:type="dxa"/>
              <w:bottom w:w="80" w:type="dxa"/>
              <w:end w:w="90" w:type="dxa"/>
            </w:tcMar>
            <w:vAlign w:val="top"/>
          </w:tcPr>
          <w:p>
            <w:pPr>
              <w:spacing w:after="0"/>
            </w:pPr>
            <w:r>
              <w:rPr>
                <w:rFonts w:ascii="Cambria" w:hAnsi="Cambria"/>
                <w:color w:val="222222"/>
                <w:sz w:val="17"/>
              </w:rPr>
              <w:t>Predicted source class</w:t>
            </w:r>
          </w:p>
        </w:tc>
        <w:tc>
          <w:tcPr>
            <w:tcW w:type="dxa" w:w="3251"/>
            <w:tcMar>
              <w:top w:w="80" w:type="dxa"/>
              <w:start w:w="90" w:type="dxa"/>
              <w:bottom w:w="80" w:type="dxa"/>
              <w:end w:w="90" w:type="dxa"/>
            </w:tcMar>
            <w:vAlign w:val="top"/>
          </w:tcPr>
          <w:p>
            <w:pPr>
              <w:spacing w:after="0"/>
            </w:pPr>
            <w:r>
              <w:rPr>
                <w:rFonts w:ascii="Cambria" w:hAnsi="Cambria"/>
                <w:color w:val="222222"/>
                <w:sz w:val="17"/>
              </w:rPr>
              <w:t>Cautious review of unusual observation behaviour</w:t>
            </w:r>
          </w:p>
        </w:tc>
      </w:tr>
      <w:tr>
        <w:tc>
          <w:tcPr>
            <w:tcW w:type="dxa" w:w="3251"/>
            <w:tcMar>
              <w:top w:w="80" w:type="dxa"/>
              <w:start w:w="90" w:type="dxa"/>
              <w:bottom w:w="80" w:type="dxa"/>
              <w:end w:w="90" w:type="dxa"/>
            </w:tcMar>
            <w:vAlign w:val="top"/>
            <w:shd w:fill="F2F2F2"/>
          </w:tcPr>
          <w:p>
            <w:pPr>
              <w:spacing w:after="0"/>
            </w:pPr>
            <w:r>
              <w:rPr>
                <w:rFonts w:ascii="Cambria" w:hAnsi="Cambria"/>
                <w:color w:val="222222"/>
                <w:sz w:val="17"/>
              </w:rPr>
              <w:t>Polarimetry branch</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Not the central task</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Independent WeightedRoll/blank-sky diagnostic</w:t>
            </w:r>
          </w:p>
        </w:tc>
      </w:tr>
    </w:tbl>
    <w:p>
      <w:pPr>
        <w:spacing w:after="20"/>
      </w:pPr>
    </w:p>
    <w:p>
      <w:pPr>
        <w:pStyle w:val="Heading3"/>
      </w:pPr>
      <w:r>
        <w:rPr>
          <w:rFonts w:ascii="Cambria" w:hAnsi="Cambria"/>
          <w:color w:val="0F6B78"/>
        </w:rPr>
        <w:t>2.4.1 Ideas Adapted</w:t>
      </w:r>
    </w:p>
    <w:p>
      <w:pPr>
        <w:pStyle w:val="ListBullet"/>
      </w:pPr>
      <w:r>
        <w:rPr>
          <w:rFonts w:ascii="Cambria" w:hAnsi="Cambria"/>
          <w:color w:val="222222"/>
          <w:sz w:val="20"/>
        </w:rPr>
        <w:t>represent complex X-ray observations through interpretable numerical features;</w:t>
      </w:r>
    </w:p>
    <w:p>
      <w:pPr>
        <w:pStyle w:val="ListBullet"/>
      </w:pPr>
      <w:r>
        <w:rPr>
          <w:rFonts w:ascii="Cambria" w:hAnsi="Cambria"/>
          <w:color w:val="222222"/>
          <w:sz w:val="20"/>
        </w:rPr>
        <w:t>use ML to prioritize scientific review rather than replace domain expertise;</w:t>
      </w:r>
    </w:p>
    <w:p>
      <w:pPr>
        <w:pStyle w:val="ListBullet"/>
      </w:pPr>
      <w:r>
        <w:rPr>
          <w:rFonts w:ascii="Cambria" w:hAnsi="Cambria"/>
          <w:color w:val="222222"/>
          <w:sz w:val="20"/>
        </w:rPr>
        <w:t>make the reason for an ML output visible;</w:t>
      </w:r>
    </w:p>
    <w:p>
      <w:pPr>
        <w:pStyle w:val="ListBullet"/>
      </w:pPr>
      <w:r>
        <w:rPr>
          <w:rFonts w:ascii="Cambria" w:hAnsi="Cambria"/>
          <w:color w:val="222222"/>
          <w:sz w:val="20"/>
        </w:rPr>
        <w:t>connect explanations to the meaning and provenance of the input data;</w:t>
      </w:r>
    </w:p>
    <w:p>
      <w:pPr>
        <w:pStyle w:val="ListBullet"/>
      </w:pPr>
      <w:r>
        <w:rPr>
          <w:rFonts w:ascii="Cambria" w:hAnsi="Cambria"/>
          <w:color w:val="222222"/>
          <w:sz w:val="20"/>
        </w:rPr>
        <w:t>treat missing or weak labels as a methodological constraint.</w:t>
      </w:r>
    </w:p>
    <w:p>
      <w:pPr>
        <w:pStyle w:val="Heading3"/>
      </w:pPr>
      <w:r>
        <w:rPr>
          <w:rFonts w:ascii="Cambria" w:hAnsi="Cambria"/>
          <w:color w:val="0F6B78"/>
        </w:rPr>
        <w:t>2.4.2 Ideas Not Adopted</w:t>
      </w:r>
    </w:p>
    <w:p>
      <w:pPr>
        <w:pStyle w:val="ListBullet"/>
      </w:pPr>
      <w:r>
        <w:rPr>
          <w:rFonts w:ascii="Cambria" w:hAnsi="Cambria"/>
          <w:color w:val="222222"/>
          <w:sz w:val="20"/>
        </w:rPr>
        <w:t>Chandra source classes are not used as target labels;</w:t>
      </w:r>
    </w:p>
    <w:p>
      <w:pPr>
        <w:pStyle w:val="ListBullet"/>
      </w:pPr>
      <w:r>
        <w:rPr>
          <w:rFonts w:ascii="Cambria" w:hAnsi="Cambria"/>
          <w:color w:val="222222"/>
          <w:sz w:val="20"/>
        </w:rPr>
        <w:t>the project is not a supervised classifier;</w:t>
      </w:r>
    </w:p>
    <w:p>
      <w:pPr>
        <w:pStyle w:val="ListBullet"/>
      </w:pPr>
      <w:r>
        <w:rPr>
          <w:rFonts w:ascii="Cambria" w:hAnsi="Cambria"/>
          <w:color w:val="222222"/>
          <w:sz w:val="20"/>
        </w:rPr>
        <w:t>LightGBM is not part of the proposed POLIX screening pipeline;</w:t>
      </w:r>
    </w:p>
    <w:p>
      <w:pPr>
        <w:pStyle w:val="ListBullet"/>
      </w:pPr>
      <w:r>
        <w:rPr>
          <w:rFonts w:ascii="Cambria" w:hAnsi="Cambria"/>
          <w:color w:val="222222"/>
          <w:sz w:val="20"/>
        </w:rPr>
        <w:t>SHAP is reviewed as an important XAI reference but is not claimed as the project’s operative explanation method;</w:t>
      </w:r>
    </w:p>
    <w:p>
      <w:pPr>
        <w:pStyle w:val="ListBullet"/>
      </w:pPr>
      <w:r>
        <w:rPr>
          <w:rFonts w:ascii="Cambria" w:hAnsi="Cambria"/>
          <w:color w:val="222222"/>
          <w:sz w:val="20"/>
        </w:rPr>
        <w:t>a predicted class probability is not used as evidence of polarization;</w:t>
      </w:r>
    </w:p>
    <w:p>
      <w:pPr>
        <w:pStyle w:val="ListBullet"/>
      </w:pPr>
      <w:r>
        <w:rPr>
          <w:rFonts w:ascii="Cambria" w:hAnsi="Cambria"/>
          <w:color w:val="222222"/>
          <w:sz w:val="20"/>
        </w:rPr>
        <w:t>multi-wavelength source classification is outside the primary Review-I scope.</w:t>
      </w:r>
    </w:p>
    <w:p>
      <w:pPr>
        <w:pStyle w:val="Heading3"/>
      </w:pPr>
      <w:r>
        <w:rPr>
          <w:rFonts w:ascii="Cambria" w:hAnsi="Cambria"/>
          <w:color w:val="0F6B78"/>
        </w:rPr>
        <w:t>2.4.3 Current Base-Source Set</w:t>
      </w:r>
    </w:p>
    <w:p>
      <w:pPr>
        <w:pStyle w:val="BodyText"/>
        <w:jc w:val="both"/>
      </w:pPr>
      <w:r>
        <w:rPr>
          <w:rFonts w:ascii="Cambria" w:hAnsi="Cambria"/>
          <w:color w:val="222222"/>
          <w:sz w:val="21"/>
        </w:rPr>
        <w:t xml:space="preserve">No single publication covers the complete project. The defensible base is a set: the official POLIX Level-2 handbook for instrument and data semantics [2], Kislat </w:t>
      </w:r>
      <w:r>
        <w:rPr>
          <w:rFonts w:ascii="Cambria" w:hAnsi="Cambria"/>
          <w:i/>
          <w:color w:val="222222"/>
          <w:sz w:val="21"/>
        </w:rPr>
        <w:t>et al.</w:t>
      </w:r>
      <w:r>
        <w:rPr>
          <w:rFonts w:ascii="Cambria" w:hAnsi="Cambria"/>
          <w:color w:val="222222"/>
          <w:sz w:val="21"/>
        </w:rPr>
        <w:t xml:space="preserve"> for polarimetric statistics [8], Liu </w:t>
      </w:r>
      <w:r>
        <w:rPr>
          <w:rFonts w:ascii="Cambria" w:hAnsi="Cambria"/>
          <w:i/>
          <w:color w:val="222222"/>
          <w:sz w:val="21"/>
        </w:rPr>
        <w:t>et al.</w:t>
      </w:r>
      <w:r>
        <w:rPr>
          <w:rFonts w:ascii="Cambria" w:hAnsi="Cambria"/>
          <w:color w:val="222222"/>
          <w:sz w:val="21"/>
        </w:rPr>
        <w:t xml:space="preserve"> for Isolation Forest [14], and Yepmo </w:t>
      </w:r>
      <w:r>
        <w:rPr>
          <w:rFonts w:ascii="Cambria" w:hAnsi="Cambria"/>
          <w:i/>
          <w:color w:val="222222"/>
          <w:sz w:val="21"/>
        </w:rPr>
        <w:t>et al.</w:t>
      </w:r>
      <w:r>
        <w:rPr>
          <w:rFonts w:ascii="Cambria" w:hAnsi="Cambria"/>
          <w:color w:val="222222"/>
          <w:sz w:val="21"/>
        </w:rPr>
        <w:t xml:space="preserve"> for anomaly-explanation principles [18]. The Chandra papers [19], [20] should be introduced as </w:t>
      </w:r>
      <w:r>
        <w:rPr>
          <w:rFonts w:ascii="Cambria" w:hAnsi="Cambria"/>
          <w:b/>
          <w:color w:val="222222"/>
          <w:sz w:val="21"/>
        </w:rPr>
        <w:t>initial conceptual influences</w:t>
      </w:r>
      <w:r>
        <w:rPr>
          <w:rFonts w:ascii="Cambria" w:hAnsi="Cambria"/>
          <w:color w:val="222222"/>
          <w:sz w:val="21"/>
        </w:rPr>
        <w:t>, not as the methods finally adopted.</w:t>
      </w:r>
    </w:p>
    <w:p>
      <w:pPr>
        <w:pStyle w:val="Heading1"/>
      </w:pPr>
      <w:r>
        <w:rPr>
          <w:rFonts w:ascii="Cambria" w:hAnsi="Cambria"/>
          <w:color w:val="17365D"/>
        </w:rPr>
        <w:t>3. Literature Survey</w:t>
      </w:r>
    </w:p>
    <w:p>
      <w:pPr>
        <w:pStyle w:val="Heading2"/>
      </w:pPr>
      <w:r>
        <w:rPr>
          <w:rFonts w:ascii="Cambria" w:hAnsi="Cambria"/>
          <w:color w:val="17365D"/>
        </w:rPr>
        <w:t>3.1 Foundations of X-Ray Polarimetry</w:t>
      </w:r>
    </w:p>
    <w:p>
      <w:pPr>
        <w:pStyle w:val="BodyText"/>
        <w:jc w:val="both"/>
      </w:pPr>
      <w:r>
        <w:rPr>
          <w:rFonts w:ascii="Cambria" w:hAnsi="Cambria"/>
          <w:color w:val="222222"/>
          <w:sz w:val="21"/>
        </w:rPr>
        <w:t>Fabiani reviews the physical and instrumental foundations of X-ray polarimetry and emphasizes that polarization adds degree and angle to the better-established observables of imaging, spectroscopy and timing [7]. The literature identifies several energy-dependent polarimetric mechanisms, including Bragg diffraction, photoelectric absorption and scattering. For a scattering polarimeter, the relevant observable is an azimuthal distribution whose two-fold modulation is related to the incident linear polarization.</w:t>
      </w:r>
    </w:p>
    <w:p>
      <w:pPr>
        <w:pStyle w:val="BodyText"/>
        <w:jc w:val="both"/>
      </w:pPr>
      <w:r>
        <w:rPr>
          <w:rFonts w:ascii="Cambria" w:hAnsi="Cambria"/>
          <w:color w:val="222222"/>
          <w:sz w:val="21"/>
        </w:rPr>
        <w:t xml:space="preserve">Kislat </w:t>
      </w:r>
      <w:r>
        <w:rPr>
          <w:rFonts w:ascii="Cambria" w:hAnsi="Cambria"/>
          <w:i/>
          <w:color w:val="222222"/>
          <w:sz w:val="21"/>
        </w:rPr>
        <w:t>et al.</w:t>
      </w:r>
      <w:r>
        <w:rPr>
          <w:rFonts w:ascii="Cambria" w:hAnsi="Cambria"/>
          <w:color w:val="222222"/>
          <w:sz w:val="21"/>
        </w:rPr>
        <w:t xml:space="preserve"> formulate linear X-ray polarimetry through Stokes parameters [8]. For each event with azimuth φ_i, quantities proportional to cos 2φ_i and sin 2φ_i contribute to Q and U. Their additive structure supports combination of events and subtraction of background Stokes contributions. This is methodologically important because PD and PA are nonlinear functions of Q and U; their uncertainties can behave differently from those of the underlying Stokes quantities.</w:t>
      </w:r>
    </w:p>
    <w:p>
      <w:pPr>
        <w:pStyle w:val="BodyText"/>
        <w:jc w:val="both"/>
      </w:pPr>
      <w:r>
        <w:rPr>
          <w:rFonts w:ascii="Cambria" w:hAnsi="Cambria"/>
          <w:color w:val="222222"/>
          <w:sz w:val="21"/>
        </w:rPr>
        <w:t>Together, these works establish four principles relevant to the proposed study:</w:t>
      </w:r>
    </w:p>
    <w:p>
      <w:pPr>
        <w:pStyle w:val="ListBullet"/>
      </w:pPr>
      <w:r>
        <w:rPr>
          <w:rFonts w:ascii="Cambria" w:hAnsi="Cambria"/>
          <w:color w:val="222222"/>
          <w:sz w:val="20"/>
        </w:rPr>
        <w:t>polarization provides geometrical and magnetic information not contained completely in flux alone;</w:t>
      </w:r>
    </w:p>
    <w:p>
      <w:pPr>
        <w:pStyle w:val="ListBullet"/>
      </w:pPr>
      <w:r>
        <w:rPr>
          <w:rFonts w:ascii="Cambria" w:hAnsi="Cambria"/>
          <w:color w:val="222222"/>
          <w:sz w:val="20"/>
        </w:rPr>
        <w:t>the measured azimuthal pattern depends on instrument response and exposure;</w:t>
      </w:r>
    </w:p>
    <w:p>
      <w:pPr>
        <w:pStyle w:val="ListBullet"/>
      </w:pPr>
      <w:r>
        <w:rPr>
          <w:rFonts w:ascii="Cambria" w:hAnsi="Cambria"/>
          <w:color w:val="222222"/>
          <w:sz w:val="20"/>
        </w:rPr>
        <w:t>background must be represented explicitly;</w:t>
      </w:r>
    </w:p>
    <w:p>
      <w:pPr>
        <w:pStyle w:val="ListBullet"/>
      </w:pPr>
      <w:r>
        <w:rPr>
          <w:rFonts w:ascii="Cambria" w:hAnsi="Cambria"/>
          <w:color w:val="222222"/>
          <w:sz w:val="20"/>
        </w:rPr>
        <w:t>and derived PD/PA require calibrated conventions rather than a direct reading of raw curve amplitude and phase.</w:t>
      </w:r>
    </w:p>
    <w:p>
      <w:pPr>
        <w:pStyle w:val="BodyText"/>
        <w:jc w:val="both"/>
      </w:pPr>
      <w:r>
        <w:rPr>
          <w:rFonts w:ascii="Cambria" w:hAnsi="Cambria"/>
          <w:color w:val="222222"/>
          <w:sz w:val="21"/>
        </w:rPr>
        <w:t>This foundation supports keeping the physical diagnostic separate from unsupervised anomaly features. If the same modulation estimate were included in the anomaly model and later used as “independent” physical confirmation, the reasoning would be circular.</w:t>
      </w:r>
    </w:p>
    <w:p>
      <w:pPr>
        <w:pStyle w:val="Heading2"/>
      </w:pPr>
      <w:r>
        <w:rPr>
          <w:rFonts w:ascii="Cambria" w:hAnsi="Cambria"/>
          <w:color w:val="17365D"/>
        </w:rPr>
        <w:t>3.2 X-Ray Astronomy Missions and Instruments</w:t>
      </w:r>
    </w:p>
    <w:p>
      <w:pPr>
        <w:pStyle w:val="BodyText"/>
        <w:jc w:val="both"/>
      </w:pPr>
      <w:r>
        <w:rPr>
          <w:rFonts w:ascii="Cambria" w:hAnsi="Cambria"/>
          <w:color w:val="222222"/>
          <w:sz w:val="21"/>
        </w:rPr>
        <w:t>Chandra demonstrates the scientific value of high-resolution imaging and spectroscopy. Its mirror and detector systems provide detailed images and spectra across a broad soft X-ray band [5]. Chandra is relevant to source context and to examples such as the Crab and Cassiopeia A, but it is not a dedicated X-ray polarimetry mission.</w:t>
      </w:r>
    </w:p>
    <w:p>
      <w:pPr>
        <w:pStyle w:val="BodyText"/>
        <w:jc w:val="both"/>
      </w:pPr>
      <w:r>
        <w:rPr>
          <w:rFonts w:ascii="Cambria" w:hAnsi="Cambria"/>
          <w:color w:val="222222"/>
          <w:sz w:val="21"/>
        </w:rPr>
        <w:t>IXPE represents dedicated imaging X-ray polarimetry. Its three telescope systems focus X-rays onto gas pixel detectors that preserve polarization-sensitive photoelectron-direction information in the 2–8 keV operational band [6]. IXPE literature shows how calibrated imaging polarimetry can connect polarization maps or phase dependence to source geometry [9]–[11].</w:t>
      </w:r>
    </w:p>
    <w:p>
      <w:pPr>
        <w:pStyle w:val="BodyText"/>
        <w:jc w:val="both"/>
      </w:pPr>
      <w:r>
        <w:rPr>
          <w:rFonts w:ascii="Cambria" w:hAnsi="Cambria"/>
          <w:color w:val="222222"/>
          <w:sz w:val="21"/>
        </w:rPr>
        <w:t xml:space="preserve">XPoSat occupies a different but complementary mission space. POLIX is a collimated Thomson-scattering polarimeter in 8–30 keV, while XSPECT provides 0.8–15 keV spectroscopy and timing [1], [4]. The Saini </w:t>
      </w:r>
      <w:r>
        <w:rPr>
          <w:rFonts w:ascii="Cambria" w:hAnsi="Cambria"/>
          <w:i/>
          <w:color w:val="222222"/>
          <w:sz w:val="21"/>
        </w:rPr>
        <w:t>et al.</w:t>
      </w:r>
      <w:r>
        <w:rPr>
          <w:rFonts w:ascii="Cambria" w:hAnsi="Cambria"/>
          <w:color w:val="222222"/>
          <w:sz w:val="21"/>
        </w:rPr>
        <w:t xml:space="preserve"> mission paper describes the spacecraft, payload roles, operations and launch context [4]. The comparison indicates that results or procedures cannot be transferred between missions without considering detector principle, energy range, imaging capability, response and background.</w:t>
      </w:r>
    </w:p>
    <w:p>
      <w:pPr>
        <w:pStyle w:val="Heading2"/>
      </w:pPr>
      <w:r>
        <w:rPr>
          <w:rFonts w:ascii="Cambria" w:hAnsi="Cambria"/>
          <w:color w:val="17365D"/>
        </w:rPr>
        <w:t>3.3 XPoSat and POLIX Instrument Literature</w:t>
      </w:r>
    </w:p>
    <w:p>
      <w:pPr>
        <w:pStyle w:val="BodyText"/>
        <w:jc w:val="both"/>
      </w:pPr>
      <w:r>
        <w:rPr>
          <w:rFonts w:ascii="Cambria" w:hAnsi="Cambria"/>
          <w:color w:val="222222"/>
          <w:sz w:val="21"/>
        </w:rPr>
        <w:t>The most directly relevant technical source is the official POLIX Level-2 handbook [2]. It provides the verified detector description, pipeline workflow, file naming, Level-2 FITS structures and limitations of the current release. In particular, it confirms:</w:t>
      </w:r>
    </w:p>
    <w:p>
      <w:pPr>
        <w:pStyle w:val="ListBullet"/>
      </w:pPr>
      <w:r>
        <w:rPr>
          <w:rFonts w:ascii="Cambria" w:hAnsi="Cambria"/>
          <w:color w:val="222222"/>
          <w:sz w:val="20"/>
        </w:rPr>
        <w:t>a central beryllium scatterer;</w:t>
      </w:r>
    </w:p>
    <w:p>
      <w:pPr>
        <w:pStyle w:val="ListBullet"/>
      </w:pPr>
      <w:r>
        <w:rPr>
          <w:rFonts w:ascii="Cambria" w:hAnsi="Cambria"/>
          <w:color w:val="222222"/>
          <w:sz w:val="20"/>
        </w:rPr>
        <w:t>four surrounding position-sensitive proportional counters;</w:t>
      </w:r>
    </w:p>
    <w:p>
      <w:pPr>
        <w:pStyle w:val="ListBullet"/>
      </w:pPr>
      <w:r>
        <w:rPr>
          <w:rFonts w:ascii="Cambria" w:hAnsi="Cambria"/>
          <w:color w:val="222222"/>
          <w:sz w:val="20"/>
        </w:rPr>
        <w:t>12 anode cells per detector and 48 in total;</w:t>
      </w:r>
    </w:p>
    <w:p>
      <w:pPr>
        <w:pStyle w:val="ListBullet"/>
      </w:pPr>
      <w:r>
        <w:rPr>
          <w:rFonts w:ascii="Cambria" w:hAnsi="Cambria"/>
          <w:color w:val="222222"/>
          <w:sz w:val="20"/>
        </w:rPr>
        <w:t xml:space="preserve">exposure, source-azimuth, energy-resolved azimuth, light-curve, spectrum and </w:t>
      </w:r>
      <w:r>
        <w:rPr>
          <w:rFonts w:ascii="Consolas" w:hAnsi="Consolas"/>
          <w:color w:val="0F6B78"/>
          <w:sz w:val="19"/>
        </w:rPr>
        <w:t>WeightedRoll</w:t>
      </w:r>
      <w:r>
        <w:rPr>
          <w:rFonts w:ascii="Cambria" w:hAnsi="Cambria"/>
          <w:color w:val="222222"/>
          <w:sz w:val="20"/>
        </w:rPr>
        <w:t xml:space="preserve"> product families;</w:t>
      </w:r>
    </w:p>
    <w:p>
      <w:pPr>
        <w:pStyle w:val="ListBullet"/>
      </w:pPr>
      <w:r>
        <w:rPr>
          <w:rFonts w:ascii="Cambria" w:hAnsi="Cambria"/>
          <w:color w:val="222222"/>
          <w:sz w:val="20"/>
        </w:rPr>
        <w:t xml:space="preserve">and the presence of both source and background modulation in </w:t>
      </w:r>
      <w:r>
        <w:rPr>
          <w:rFonts w:ascii="Consolas" w:hAnsi="Consolas"/>
          <w:color w:val="0F6B78"/>
          <w:sz w:val="19"/>
        </w:rPr>
        <w:t>WeightedRoll_L2.fits</w:t>
      </w:r>
      <w:r>
        <w:rPr>
          <w:rFonts w:ascii="Cambria" w:hAnsi="Cambria"/>
          <w:color w:val="222222"/>
          <w:sz w:val="20"/>
        </w:rPr>
        <w:t>.</w:t>
      </w:r>
    </w:p>
    <w:p>
      <w:pPr>
        <w:pStyle w:val="BodyText"/>
        <w:jc w:val="both"/>
      </w:pPr>
      <w:r>
        <w:rPr>
          <w:rFonts w:ascii="Cambria" w:hAnsi="Cambria"/>
          <w:color w:val="222222"/>
          <w:sz w:val="21"/>
        </w:rPr>
        <w:t>The handbook further notes that POLIX background modulation can vary and that some azimuthal distributions contain narrow structures. It describes a future observation strategy involving a bright source and nearby blank-sky regions for polarization measurement [2]. This is not a minor implementation detail; it constrains the scientific claims that can be made from the currently released products.</w:t>
      </w:r>
    </w:p>
    <w:p>
      <w:pPr>
        <w:pStyle w:val="BodyText"/>
        <w:jc w:val="both"/>
      </w:pPr>
      <w:r>
        <w:rPr>
          <w:rFonts w:ascii="Cambria" w:hAnsi="Cambria"/>
          <w:color w:val="222222"/>
          <w:sz w:val="21"/>
        </w:rPr>
        <w:t xml:space="preserve">The official ISRO mission page and PRADAN archive establish payload roles, energy ranges and data-service context [1], [3]. The mission paper by Saini </w:t>
      </w:r>
      <w:r>
        <w:rPr>
          <w:rFonts w:ascii="Cambria" w:hAnsi="Cambria"/>
          <w:i/>
          <w:color w:val="222222"/>
          <w:sz w:val="21"/>
        </w:rPr>
        <w:t>et al.</w:t>
      </w:r>
      <w:r>
        <w:rPr>
          <w:rFonts w:ascii="Cambria" w:hAnsi="Cambria"/>
          <w:color w:val="222222"/>
          <w:sz w:val="21"/>
        </w:rPr>
        <w:t xml:space="preserve"> adds peer-reviewed discussion of the spacecraft and operational design [4]. These sources are complementary: the mission paper explains the observatory, while the handbook governs product-level interpretation.</w:t>
      </w:r>
    </w:p>
    <w:p>
      <w:pPr>
        <w:pStyle w:val="BodyText"/>
        <w:jc w:val="both"/>
      </w:pPr>
      <w:r>
        <w:rPr>
          <w:rFonts w:ascii="Cambria" w:hAnsi="Cambria"/>
          <w:color w:val="222222"/>
          <w:sz w:val="21"/>
        </w:rPr>
        <w:t xml:space="preserve">For the proposed project, the literature implies that feature engineering must be </w:t>
      </w:r>
      <w:r>
        <w:rPr>
          <w:rFonts w:ascii="Cambria" w:hAnsi="Cambria"/>
          <w:b/>
          <w:color w:val="222222"/>
          <w:sz w:val="21"/>
        </w:rPr>
        <w:t>product-aware</w:t>
      </w:r>
      <w:r>
        <w:rPr>
          <w:rFonts w:ascii="Cambria" w:hAnsi="Cambria"/>
          <w:color w:val="222222"/>
          <w:sz w:val="21"/>
        </w:rPr>
        <w:t>. A light-curve statistic, an exposure statistic and an anode-balance statistic may all be numerical, but they do not share the same physical meaning. It also implies that missing calibration cannot be repaired by an ML model; calibration uncertainty must remain visible as a limitation.</w:t>
      </w:r>
    </w:p>
    <w:p>
      <w:pPr>
        <w:pStyle w:val="Heading2"/>
      </w:pPr>
      <w:r>
        <w:rPr>
          <w:rFonts w:ascii="Cambria" w:hAnsi="Cambria"/>
          <w:color w:val="17365D"/>
        </w:rPr>
        <w:t>3.4 Literature on Relevant Astronomical Sources</w:t>
      </w:r>
    </w:p>
    <w:p>
      <w:pPr>
        <w:pStyle w:val="BodyText"/>
        <w:jc w:val="both"/>
      </w:pPr>
      <w:r>
        <w:rPr>
          <w:rFonts w:ascii="Cambria" w:hAnsi="Cambria"/>
          <w:color w:val="222222"/>
          <w:sz w:val="21"/>
        </w:rPr>
        <w:t>The local source collection did not contain a uniformly verified paper set for every target named in the project material. The survey therefore prioritizes three strong, directly relevant polarimetric studies rather than increasing the reference count with weak or indirect sources.</w:t>
      </w:r>
    </w:p>
    <w:p>
      <w:pPr>
        <w:pStyle w:val="Heading3"/>
      </w:pPr>
      <w:r>
        <w:rPr>
          <w:rFonts w:ascii="Cambria" w:hAnsi="Cambria"/>
          <w:color w:val="0F6B78"/>
        </w:rPr>
        <w:t>Crab pulsar and nebula</w:t>
      </w:r>
    </w:p>
    <w:p>
      <w:pPr>
        <w:pStyle w:val="BodyText"/>
        <w:jc w:val="both"/>
      </w:pPr>
      <w:r>
        <w:rPr>
          <w:rFonts w:ascii="Cambria" w:hAnsi="Cambria"/>
          <w:color w:val="222222"/>
          <w:sz w:val="21"/>
        </w:rPr>
        <w:t xml:space="preserve">Bucciantini </w:t>
      </w:r>
      <w:r>
        <w:rPr>
          <w:rFonts w:ascii="Cambria" w:hAnsi="Cambria"/>
          <w:i/>
          <w:color w:val="222222"/>
          <w:sz w:val="21"/>
        </w:rPr>
        <w:t>et al.</w:t>
      </w:r>
      <w:r>
        <w:rPr>
          <w:rFonts w:ascii="Cambria" w:hAnsi="Cambria"/>
          <w:color w:val="222222"/>
          <w:sz w:val="21"/>
        </w:rPr>
        <w:t xml:space="preserve"> used IXPE imaging and pulse-phase information to separate spatial and rotationally dependent polarization behaviour in the Crab pulsar–nebula system [11]. The study demonstrates that polarization can vary across a source and with pulse phase, and that polarized structure can constrain magnetic-field organization and emission location. Its relevance to POLIX is conceptual rather than directly transferable: IXPE is an imaging photoelectric polarimeter in a different band, while POLIX is collimated and scattering-based. The paper therefore supports the importance of geometry and phase dependence, but not a direct POLIX calibration.</w:t>
      </w:r>
    </w:p>
    <w:p>
      <w:pPr>
        <w:pStyle w:val="Heading3"/>
      </w:pPr>
      <w:r>
        <w:rPr>
          <w:rFonts w:ascii="Cambria" w:hAnsi="Cambria"/>
          <w:color w:val="0F6B78"/>
        </w:rPr>
        <w:t>Cygnus X-1</w:t>
      </w:r>
    </w:p>
    <w:p>
      <w:pPr>
        <w:pStyle w:val="BodyText"/>
        <w:jc w:val="both"/>
      </w:pPr>
      <w:r>
        <w:rPr>
          <w:rFonts w:ascii="Cambria" w:hAnsi="Cambria"/>
          <w:color w:val="222222"/>
          <w:sz w:val="21"/>
        </w:rPr>
        <w:t xml:space="preserve">Krawczynski </w:t>
      </w:r>
      <w:r>
        <w:rPr>
          <w:rFonts w:ascii="Cambria" w:hAnsi="Cambria"/>
          <w:i/>
          <w:color w:val="222222"/>
          <w:sz w:val="21"/>
        </w:rPr>
        <w:t>et al.</w:t>
      </w:r>
      <w:r>
        <w:rPr>
          <w:rFonts w:ascii="Cambria" w:hAnsi="Cambria"/>
          <w:color w:val="222222"/>
          <w:sz w:val="21"/>
        </w:rPr>
        <w:t xml:space="preserve"> combined IXPE polarimetry with multi-wavelength context to constrain the relation among the accretion disc, hot X-ray-emitting plasma and radio jet in Cyg X-1 [10]. The result illustrates why spectra alone may leave multiple coronal geometries plausible and why polarization orientation and energy dependence add discriminatory power. For the proposed study, Cyg X-1 motivates retaining energy- and azimuth-related information. It does not justify inferring the same geometry from a POLIX anomaly score.</w:t>
      </w:r>
    </w:p>
    <w:p>
      <w:pPr>
        <w:pStyle w:val="Heading3"/>
      </w:pPr>
      <w:r>
        <w:rPr>
          <w:rFonts w:ascii="Cambria" w:hAnsi="Cambria"/>
          <w:color w:val="0F6B78"/>
        </w:rPr>
        <w:t>Hercules X-1</w:t>
      </w:r>
    </w:p>
    <w:p>
      <w:pPr>
        <w:pStyle w:val="BodyText"/>
        <w:jc w:val="both"/>
      </w:pPr>
      <w:r>
        <w:rPr>
          <w:rFonts w:ascii="Cambria" w:hAnsi="Cambria"/>
          <w:color w:val="222222"/>
          <w:sz w:val="21"/>
        </w:rPr>
        <w:t xml:space="preserve">Doroshenko </w:t>
      </w:r>
      <w:r>
        <w:rPr>
          <w:rFonts w:ascii="Cambria" w:hAnsi="Cambria"/>
          <w:i/>
          <w:color w:val="222222"/>
          <w:sz w:val="21"/>
        </w:rPr>
        <w:t>et al.</w:t>
      </w:r>
      <w:r>
        <w:rPr>
          <w:rFonts w:ascii="Cambria" w:hAnsi="Cambria"/>
          <w:color w:val="222222"/>
          <w:sz w:val="21"/>
        </w:rPr>
        <w:t xml:space="preserve"> used phase-resolved IXPE polarimetry of Her X-1 to constrain the neutron-star spin and magnetic geometry [9]. The study shows that PD and PA can vary with pulse phase and that time-resolved polarimetric analysis can be more informative than a single observation-average quantity. This supports retaining timing features and cautions against interpreting an aggregate modulation without considering source state and temporal structure.</w:t>
      </w:r>
    </w:p>
    <w:p>
      <w:pPr>
        <w:pStyle w:val="Heading3"/>
      </w:pPr>
      <w:r>
        <w:rPr>
          <w:rFonts w:ascii="Cambria" w:hAnsi="Cambria"/>
          <w:color w:val="0F6B78"/>
        </w:rPr>
        <w:t>Evidence boundary for other targets</w:t>
      </w:r>
    </w:p>
    <w:p>
      <w:pPr>
        <w:pStyle w:val="BodyText"/>
        <w:jc w:val="both"/>
      </w:pPr>
      <w:r>
        <w:rPr>
          <w:rFonts w:ascii="Cambria" w:hAnsi="Cambria"/>
          <w:color w:val="222222"/>
          <w:sz w:val="21"/>
        </w:rPr>
        <w:t>Sco X-1, GX 301-2, Cen X-3, 4U 1700-37 and Cassiopeia A are scientifically relevant source classes, but the verified reference set assembled for this Review-I document was not sufficient to make detailed source-specific polarization claims for each. They may be described in a later targeted bibliography after full-text source verification. Their absence from the present synthesis is an evidence-control decision, not a statement that relevant literature does not exist.</w:t>
      </w:r>
    </w:p>
    <w:p>
      <w:pPr>
        <w:pStyle w:val="Heading2"/>
      </w:pPr>
      <w:r>
        <w:rPr>
          <w:rFonts w:ascii="Cambria" w:hAnsi="Cambria"/>
          <w:color w:val="17365D"/>
        </w:rPr>
        <w:t>3.5 Machine Learning in Astronomy</w:t>
      </w:r>
    </w:p>
    <w:p>
      <w:pPr>
        <w:pStyle w:val="BodyText"/>
        <w:jc w:val="both"/>
      </w:pPr>
      <w:r>
        <w:rPr>
          <w:rFonts w:ascii="Cambria" w:hAnsi="Cambria"/>
          <w:color w:val="222222"/>
          <w:sz w:val="21"/>
        </w:rPr>
        <w:t>Astronomical archives contain high-dimensional images, spectra and time series in which rare objects are difficult to label in advance. This has encouraged unsupervised and human-in-the-loop anomaly detection.</w:t>
      </w:r>
    </w:p>
    <w:p>
      <w:pPr>
        <w:pStyle w:val="BodyText"/>
        <w:jc w:val="both"/>
      </w:pPr>
      <w:r>
        <w:rPr>
          <w:rFonts w:ascii="Cambria" w:hAnsi="Cambria"/>
          <w:color w:val="222222"/>
          <w:sz w:val="21"/>
        </w:rPr>
        <w:t>Baron and Poznanski applied an unsupervised random-forest-based outlier method to more than two million Sloan Digital Sky Survey galaxy spectra and examined the highest-scoring objects [15]. The study demonstrates that archive-scale ranking can focus expert attention on a manageable subset. Its limitation for the proposed project is the difference in scale and data type: millions of spectra provide a statistical regime unlike a small collection of heterogeneous POLIX observations. The paper supports prioritization, not the assumption that an outlier is a discovery.</w:t>
      </w:r>
    </w:p>
    <w:p>
      <w:pPr>
        <w:pStyle w:val="BodyText"/>
        <w:jc w:val="both"/>
      </w:pPr>
      <w:r>
        <w:rPr>
          <w:rFonts w:ascii="Cambria" w:hAnsi="Cambria"/>
          <w:color w:val="222222"/>
          <w:sz w:val="21"/>
        </w:rPr>
        <w:t>Lochner and Bassett introduced Astronomaly, a modular framework combining feature extraction, anomaly detection and active learning for astronomical data [16]. Using Galaxy Zoo and simulations, they showed that expert relevance feedback could increase the number of interesting anomalies found near the top of a ranked list. The main lesson is that “interesting” is contextual and cannot always be learned from an initial unsupervised score. The limitation is that Astronomaly is a general framework; it does not encode POLIX product semantics or solve the calibration problem.</w:t>
      </w:r>
    </w:p>
    <w:p>
      <w:pPr>
        <w:pStyle w:val="BodyText"/>
        <w:jc w:val="both"/>
      </w:pPr>
      <w:r>
        <w:rPr>
          <w:rFonts w:ascii="Cambria" w:hAnsi="Cambria"/>
          <w:color w:val="222222"/>
          <w:sz w:val="21"/>
        </w:rPr>
        <w:t>The primary statistical methods considered for the planned methodology have different roles:</w:t>
      </w:r>
    </w:p>
    <w:p>
      <w:pPr>
        <w:pStyle w:val="ListBullet"/>
      </w:pPr>
      <w:r>
        <w:rPr>
          <w:rFonts w:ascii="Cambria" w:hAnsi="Cambria"/>
          <w:b/>
          <w:color w:val="222222"/>
          <w:sz w:val="20"/>
        </w:rPr>
        <w:t>PCA</w:t>
      </w:r>
      <w:r>
        <w:rPr>
          <w:rFonts w:ascii="Cambria" w:hAnsi="Cambria"/>
          <w:color w:val="222222"/>
          <w:sz w:val="20"/>
        </w:rPr>
        <w:t xml:space="preserve"> represents correlated variables through orthogonal directions of variance [12]. It can support visualization, compression and multicollinearity analysis. However, high variance is not identical to scientific importance, and PCA loadings may change strongly in a small dataset.</w:t>
      </w:r>
    </w:p>
    <w:p>
      <w:pPr>
        <w:pStyle w:val="ListBullet"/>
      </w:pPr>
      <w:r>
        <w:rPr>
          <w:rFonts w:ascii="Cambria" w:hAnsi="Cambria"/>
          <w:b/>
          <w:color w:val="222222"/>
          <w:sz w:val="20"/>
        </w:rPr>
        <w:t>KMeans</w:t>
      </w:r>
      <w:r>
        <w:rPr>
          <w:rFonts w:ascii="Cambria" w:hAnsi="Cambria"/>
          <w:color w:val="222222"/>
          <w:sz w:val="20"/>
        </w:rPr>
        <w:t xml:space="preserve"> partitions points by distance to cluster centroids and seeks low within-cluster variation [13]. It may expose broad observation groupings, but requires scaling choices and a selected number of clusters; non-spherical or very small groups can be unstable.</w:t>
      </w:r>
    </w:p>
    <w:p>
      <w:pPr>
        <w:pStyle w:val="ListBullet"/>
      </w:pPr>
      <w:r>
        <w:rPr>
          <w:rFonts w:ascii="Cambria" w:hAnsi="Cambria"/>
          <w:b/>
          <w:color w:val="222222"/>
          <w:sz w:val="20"/>
        </w:rPr>
        <w:t>Isolation Forest</w:t>
      </w:r>
      <w:r>
        <w:rPr>
          <w:rFonts w:ascii="Cambria" w:hAnsi="Cambria"/>
          <w:color w:val="222222"/>
          <w:sz w:val="20"/>
        </w:rPr>
        <w:t xml:space="preserve"> isolates points through random recursive partitions; shorter average path lengths correspond to more readily isolated observations [14]. It does not require labelled anomalies, but contamination settings, random seeds and small-sample variation can affect rankings.</w:t>
      </w:r>
    </w:p>
    <w:p>
      <w:pPr>
        <w:pStyle w:val="BodyText"/>
        <w:jc w:val="both"/>
      </w:pPr>
      <w:r>
        <w:rPr>
          <w:rFonts w:ascii="Cambria" w:hAnsi="Cambria"/>
          <w:color w:val="222222"/>
          <w:sz w:val="21"/>
        </w:rPr>
        <w:t>The literature therefore supports a cautious multi-method plan. PCA and clustering are useful for structure and diagnostics; an anomaly detector may provide a ranking; and stability analysis or expert review is necessary because no trusted labels are available.</w:t>
      </w:r>
    </w:p>
    <w:p>
      <w:pPr>
        <w:pStyle w:val="Heading3"/>
      </w:pPr>
      <w:r>
        <w:rPr>
          <w:rFonts w:ascii="Cambria" w:hAnsi="Cambria"/>
          <w:color w:val="0F6B78"/>
        </w:rPr>
        <w:t>Classification versus the proposed screening problem</w:t>
      </w:r>
    </w:p>
    <w:p>
      <w:pPr>
        <w:pStyle w:val="BodyText"/>
        <w:jc w:val="both"/>
      </w:pPr>
      <w:r>
        <w:rPr>
          <w:rFonts w:ascii="Cambria" w:hAnsi="Cambria"/>
          <w:color w:val="222222"/>
          <w:sz w:val="21"/>
        </w:rPr>
        <w:t xml:space="preserve">The distinction between </w:t>
      </w:r>
      <w:r>
        <w:rPr>
          <w:rFonts w:ascii="Cambria" w:hAnsi="Cambria"/>
          <w:b/>
          <w:color w:val="222222"/>
          <w:sz w:val="21"/>
        </w:rPr>
        <w:t>classification</w:t>
      </w:r>
      <w:r>
        <w:rPr>
          <w:rFonts w:ascii="Cambria" w:hAnsi="Cambria"/>
          <w:color w:val="222222"/>
          <w:sz w:val="21"/>
        </w:rPr>
        <w:t xml:space="preserve"> and </w:t>
      </w:r>
      <w:r>
        <w:rPr>
          <w:rFonts w:ascii="Cambria" w:hAnsi="Cambria"/>
          <w:b/>
          <w:color w:val="222222"/>
          <w:sz w:val="21"/>
        </w:rPr>
        <w:t>anomaly screening</w:t>
      </w:r>
      <w:r>
        <w:rPr>
          <w:rFonts w:ascii="Cambria" w:hAnsi="Cambria"/>
          <w:color w:val="222222"/>
          <w:sz w:val="21"/>
        </w:rPr>
        <w:t xml:space="preserve"> is central. Classification asks, “To which predefined source class does this object belong?” The proposed POLIX task asks, “Which observation differs sufficiently from the available reference set to deserve expert inspection, and which product families create that difference?” An anomaly score does not identify the source type, physical cause or polarization state. This distinction is why the project moved away from LightGBM/SHAP classification and toward transparent unsupervised screening with product-aware explanation.</w:t>
      </w:r>
    </w:p>
    <w:p>
      <w:pPr>
        <w:pStyle w:val="Heading2"/>
      </w:pPr>
      <w:r>
        <w:rPr>
          <w:rFonts w:ascii="Cambria" w:hAnsi="Cambria"/>
          <w:color w:val="17365D"/>
        </w:rPr>
        <w:t>3.6 Explainable AI in Scientific Applications</w:t>
      </w:r>
    </w:p>
    <w:p>
      <w:pPr>
        <w:pStyle w:val="BodyText"/>
        <w:jc w:val="both"/>
      </w:pPr>
      <w:r>
        <w:rPr>
          <w:rFonts w:ascii="Cambria" w:hAnsi="Cambria"/>
          <w:color w:val="222222"/>
          <w:sz w:val="21"/>
        </w:rPr>
        <w:t>Lundberg and Lee introduced SHAP as an additive feature-attribution framework for model predictions [17]. SHAP provides a principled way to distribute the difference between a prediction and a reference expectation among input features for compatible predictive models. It is influential, but it does not automatically make a feature scientifically causal, nor is every unsupervised detector naturally represented by a supervised prediction explanation.</w:t>
      </w:r>
    </w:p>
    <w:p>
      <w:pPr>
        <w:pStyle w:val="BodyText"/>
        <w:jc w:val="both"/>
      </w:pPr>
      <w:r>
        <w:rPr>
          <w:rFonts w:ascii="Cambria" w:hAnsi="Cambria"/>
          <w:color w:val="222222"/>
          <w:sz w:val="21"/>
        </w:rPr>
        <w:t xml:space="preserve">Yepmo </w:t>
      </w:r>
      <w:r>
        <w:rPr>
          <w:rFonts w:ascii="Cambria" w:hAnsi="Cambria"/>
          <w:i/>
          <w:color w:val="222222"/>
          <w:sz w:val="21"/>
        </w:rPr>
        <w:t>et al.</w:t>
      </w:r>
      <w:r>
        <w:rPr>
          <w:rFonts w:ascii="Cambria" w:hAnsi="Cambria"/>
          <w:color w:val="222222"/>
          <w:sz w:val="21"/>
        </w:rPr>
        <w:t xml:space="preserve"> distinguish several families of anomaly explanation: feature importance, feature values, comparison with reference data points and structural explanations [18]. This distinction is valuable for scientific screening. A useful POLIX explanation may need to state not only that “feature x was important,” but also that the feature came from an exposure product, differed from a transparent reference distribution and should be checked in a specified FITS file.</w:t>
      </w:r>
    </w:p>
    <w:p>
      <w:pPr>
        <w:pStyle w:val="BodyText"/>
        <w:jc w:val="both"/>
      </w:pPr>
      <w:r>
        <w:rPr>
          <w:rFonts w:ascii="Cambria" w:hAnsi="Cambria"/>
          <w:color w:val="222222"/>
          <w:sz w:val="21"/>
        </w:rPr>
        <w:t>Scientific interpretability requires:</w:t>
      </w:r>
    </w:p>
    <w:p>
      <w:pPr>
        <w:pStyle w:val="ListBullet"/>
      </w:pPr>
      <w:r>
        <w:rPr>
          <w:rFonts w:ascii="Cambria" w:hAnsi="Cambria"/>
          <w:color w:val="222222"/>
          <w:sz w:val="20"/>
        </w:rPr>
        <w:t>a clear definition of the quantity being explained;</w:t>
      </w:r>
    </w:p>
    <w:p>
      <w:pPr>
        <w:pStyle w:val="ListBullet"/>
      </w:pPr>
      <w:r>
        <w:rPr>
          <w:rFonts w:ascii="Cambria" w:hAnsi="Cambria"/>
          <w:color w:val="222222"/>
          <w:sz w:val="20"/>
        </w:rPr>
        <w:t>preservation of feature units and product provenance;</w:t>
      </w:r>
    </w:p>
    <w:p>
      <w:pPr>
        <w:pStyle w:val="ListBullet"/>
      </w:pPr>
      <w:r>
        <w:rPr>
          <w:rFonts w:ascii="Cambria" w:hAnsi="Cambria"/>
          <w:color w:val="222222"/>
          <w:sz w:val="20"/>
        </w:rPr>
        <w:t>local explanations for individual observations and global descriptions of model behaviour;</w:t>
      </w:r>
    </w:p>
    <w:p>
      <w:pPr>
        <w:pStyle w:val="ListBullet"/>
      </w:pPr>
      <w:r>
        <w:rPr>
          <w:rFonts w:ascii="Cambria" w:hAnsi="Cambria"/>
          <w:color w:val="222222"/>
          <w:sz w:val="20"/>
        </w:rPr>
        <w:t>stability checks when the sample is small;</w:t>
      </w:r>
    </w:p>
    <w:p>
      <w:pPr>
        <w:pStyle w:val="ListBullet"/>
      </w:pPr>
      <w:r>
        <w:rPr>
          <w:rFonts w:ascii="Cambria" w:hAnsi="Cambria"/>
          <w:color w:val="222222"/>
          <w:sz w:val="20"/>
        </w:rPr>
        <w:t>and language that distinguishes association from physical causation.</w:t>
      </w:r>
    </w:p>
    <w:p>
      <w:pPr>
        <w:pStyle w:val="BodyText"/>
        <w:jc w:val="both"/>
      </w:pPr>
      <w:r>
        <w:rPr>
          <w:rFonts w:ascii="Cambria" w:hAnsi="Cambria"/>
          <w:color w:val="222222"/>
          <w:sz w:val="21"/>
        </w:rPr>
        <w:t>Small datasets create additional challenges. Feature rankings can change after one observation is added, a scaler can be influenced by an extreme value, and a post-hoc explainer may be less stable than the detector itself. The planned methodology should therefore prefer transparent transformations and detector-specific or distance-based contributions where defensible, while treating generic XAI outputs as evidence requiring validation. The project does not claim that a custom explanation is already superior to SHAP or other methods.</w:t>
      </w:r>
    </w:p>
    <w:p>
      <w:pPr>
        <w:pStyle w:val="Heading2"/>
      </w:pPr>
      <w:r>
        <w:rPr>
          <w:rFonts w:ascii="Cambria" w:hAnsi="Cambria"/>
          <w:color w:val="17365D"/>
        </w:rPr>
        <w:t>3.7 Physical Modulation and Blank-Sky Analysis</w:t>
      </w:r>
    </w:p>
    <w:p>
      <w:pPr>
        <w:pStyle w:val="BodyText"/>
        <w:jc w:val="both"/>
      </w:pPr>
      <w:r>
        <w:rPr>
          <w:rFonts w:ascii="Cambria" w:hAnsi="Cambria"/>
          <w:color w:val="222222"/>
          <w:sz w:val="21"/>
        </w:rPr>
        <w:t>A polarization-sensitive azimuthal distribution is commonly represented through a two-fold sinusoid or through Stokes Q/U quantities [7], [8]. These descriptions are related, but several levels of inference must be kept distinct:</w:t>
      </w:r>
    </w:p>
    <w:p>
      <w:pPr>
        <w:spacing w:after="40"/>
      </w:pPr>
      <w:r>
        <w:rPr>
          <w:rFonts w:ascii="Cambria" w:hAnsi="Cambria"/>
          <w:sz w:val="20"/>
        </w:rPr>
        <w:t xml:space="preserve">1. </w:t>
      </w:r>
      <w:r>
        <w:rPr>
          <w:rFonts w:ascii="Cambria" w:hAnsi="Cambria"/>
          <w:b/>
          <w:color w:val="222222"/>
          <w:sz w:val="20"/>
        </w:rPr>
        <w:t>Raw modulation:</w:t>
      </w:r>
      <w:r>
        <w:rPr>
          <w:rFonts w:ascii="Cambria" w:hAnsi="Cambria"/>
          <w:color w:val="222222"/>
          <w:sz w:val="20"/>
        </w:rPr>
        <w:t xml:space="preserve"> variation of counts or rates with azimuth in a released product.</w:t>
      </w:r>
    </w:p>
    <w:p>
      <w:pPr>
        <w:spacing w:after="40"/>
      </w:pPr>
      <w:r>
        <w:rPr>
          <w:rFonts w:ascii="Cambria" w:hAnsi="Cambria"/>
          <w:sz w:val="20"/>
        </w:rPr>
        <w:t xml:space="preserve">2. </w:t>
      </w:r>
      <w:r>
        <w:rPr>
          <w:rFonts w:ascii="Cambria" w:hAnsi="Cambria"/>
          <w:b/>
          <w:color w:val="222222"/>
          <w:sz w:val="20"/>
        </w:rPr>
        <w:t>Fitted modulation amplitude and phase:</w:t>
      </w:r>
      <w:r>
        <w:rPr>
          <w:rFonts w:ascii="Cambria" w:hAnsi="Cambria"/>
          <w:color w:val="222222"/>
          <w:sz w:val="20"/>
        </w:rPr>
        <w:t xml:space="preserve"> parameters of a selected model fitted to the distribution.</w:t>
      </w:r>
    </w:p>
    <w:p>
      <w:pPr>
        <w:spacing w:after="40"/>
      </w:pPr>
      <w:r>
        <w:rPr>
          <w:rFonts w:ascii="Cambria" w:hAnsi="Cambria"/>
          <w:sz w:val="20"/>
        </w:rPr>
        <w:t xml:space="preserve">3. </w:t>
      </w:r>
      <w:r>
        <w:rPr>
          <w:rFonts w:ascii="Cambria" w:hAnsi="Cambria"/>
          <w:b/>
          <w:color w:val="222222"/>
          <w:sz w:val="20"/>
        </w:rPr>
        <w:t>Calibrated polarization degree:</w:t>
      </w:r>
      <w:r>
        <w:rPr>
          <w:rFonts w:ascii="Cambria" w:hAnsi="Cambria"/>
          <w:color w:val="222222"/>
          <w:sz w:val="20"/>
        </w:rPr>
        <w:t xml:space="preserve"> a background-corrected modulation normalized by an appropriate response or modulation factor.</w:t>
      </w:r>
    </w:p>
    <w:p>
      <w:pPr>
        <w:spacing w:after="40"/>
      </w:pPr>
      <w:r>
        <w:rPr>
          <w:rFonts w:ascii="Cambria" w:hAnsi="Cambria"/>
          <w:sz w:val="20"/>
        </w:rPr>
        <w:t xml:space="preserve">4. </w:t>
      </w:r>
      <w:r>
        <w:rPr>
          <w:rFonts w:ascii="Cambria" w:hAnsi="Cambria"/>
          <w:b/>
          <w:color w:val="222222"/>
          <w:sz w:val="20"/>
        </w:rPr>
        <w:t>Official sky polarization angle:</w:t>
      </w:r>
      <w:r>
        <w:rPr>
          <w:rFonts w:ascii="Cambria" w:hAnsi="Cambria"/>
          <w:color w:val="222222"/>
          <w:sz w:val="20"/>
        </w:rPr>
        <w:t xml:space="preserve"> an angle derived using the mission’s detector-to-sky convention, attitude and calibration.</w:t>
      </w:r>
    </w:p>
    <w:p>
      <w:pPr>
        <w:pStyle w:val="BodyText"/>
        <w:jc w:val="both"/>
      </w:pPr>
      <w:r>
        <w:rPr>
          <w:rFonts w:ascii="Cambria" w:hAnsi="Cambria"/>
          <w:color w:val="222222"/>
          <w:sz w:val="21"/>
        </w:rPr>
        <w:t xml:space="preserve">The handbook states that the </w:t>
      </w:r>
      <w:r>
        <w:rPr>
          <w:rFonts w:ascii="Consolas" w:hAnsi="Consolas"/>
          <w:color w:val="0F6B78"/>
          <w:sz w:val="20"/>
        </w:rPr>
        <w:t>WeightedRoll</w:t>
      </w:r>
      <w:r>
        <w:rPr>
          <w:rFonts w:ascii="Cambria" w:hAnsi="Cambria"/>
          <w:color w:val="222222"/>
          <w:sz w:val="21"/>
        </w:rPr>
        <w:t xml:space="preserve"> product contains the azimuthal modulation of both source and background count rates [2]. It also documents variable background modulation and other azimuthal structures in currently released observations. Therefore, a visually sinusoidal or statistically strong fit is not enough to establish source polarization.</w:t>
      </w:r>
    </w:p>
    <w:p>
      <w:pPr>
        <w:pStyle w:val="BodyText"/>
        <w:jc w:val="both"/>
      </w:pPr>
      <w:r>
        <w:rPr>
          <w:rFonts w:ascii="Cambria" w:hAnsi="Cambria"/>
          <w:color w:val="222222"/>
          <w:sz w:val="21"/>
        </w:rPr>
        <w:t>Blank-sky observations can help characterize background and instrument behaviour, but their use is also contextual. A blank field observed at a different time or geometry may not be an exact background for a source observation. The planned study will treat blank sky as a reference distribution for diagnostic comparison, not as an automatically valid subtraction. Where possible, Stokes-space comparison is attractive because signal and background terms are additive [8]. Final PD/PA claims remain outside scope until suitable calibration and background procedures are available.</w:t>
      </w:r>
    </w:p>
    <w:p>
      <w:pPr>
        <w:pStyle w:val="Heading2"/>
      </w:pPr>
      <w:r>
        <w:rPr>
          <w:rFonts w:ascii="Cambria" w:hAnsi="Cambria"/>
          <w:color w:val="17365D"/>
        </w:rPr>
        <w:t>3.8 Literature Synthesis</w:t>
      </w:r>
    </w:p>
    <w:p>
      <w:pPr>
        <w:pStyle w:val="Heading3"/>
      </w:pPr>
      <w:r>
        <w:rPr>
          <w:rFonts w:ascii="Cambria" w:hAnsi="Cambria"/>
          <w:color w:val="0F6B78"/>
        </w:rPr>
        <w:t>What is already well established?</w:t>
      </w:r>
    </w:p>
    <w:p>
      <w:pPr>
        <w:pStyle w:val="BodyText"/>
        <w:jc w:val="both"/>
      </w:pPr>
      <w:r>
        <w:rPr>
          <w:rFonts w:ascii="Cambria" w:hAnsi="Cambria"/>
          <w:color w:val="222222"/>
          <w:sz w:val="21"/>
        </w:rPr>
        <w:t>The physical value of X-ray polarization, the two-fold nature of linear-polarization modulation, Stokes-based analysis, and the need for response and background calibration are well established [7], [8]. The roles of Chandra, IXPE, XPoSat, POLIX and XSPECT are documented [1], [4]–[6]. POLIX Level-2 product structure and present background limitations are explicitly described in the official handbook [2].</w:t>
      </w:r>
    </w:p>
    <w:p>
      <w:pPr>
        <w:pStyle w:val="Heading3"/>
      </w:pPr>
      <w:r>
        <w:rPr>
          <w:rFonts w:ascii="Cambria" w:hAnsi="Cambria"/>
          <w:color w:val="0F6B78"/>
        </w:rPr>
        <w:t>What methods are commonly used?</w:t>
      </w:r>
    </w:p>
    <w:p>
      <w:pPr>
        <w:pStyle w:val="BodyText"/>
        <w:jc w:val="both"/>
      </w:pPr>
      <w:r>
        <w:rPr>
          <w:rFonts w:ascii="Cambria" w:hAnsi="Cambria"/>
          <w:color w:val="222222"/>
          <w:sz w:val="21"/>
        </w:rPr>
        <w:t>In polarimetry, modulation-curve fitting and Stokes Q/U analysis are common. In astronomical anomaly detection, feature extraction, unsupervised ranking and expert-in-the-loop review recur [15], [16]. PCA, centroid-based clustering and Isolation Forest are established generic tools for multivariate structure and anomaly detection [12]–[14]. Feature attribution and reference-based comparison are common explanation forms [17], [18].</w:t>
      </w:r>
    </w:p>
    <w:p>
      <w:pPr>
        <w:pStyle w:val="Heading3"/>
      </w:pPr>
      <w:r>
        <w:rPr>
          <w:rFonts w:ascii="Cambria" w:hAnsi="Cambria"/>
          <w:color w:val="0F6B78"/>
        </w:rPr>
        <w:t>What limitations recur across the literature?</w:t>
      </w:r>
    </w:p>
    <w:p>
      <w:pPr>
        <w:pStyle w:val="BodyText"/>
        <w:jc w:val="both"/>
      </w:pPr>
      <w:r>
        <w:rPr>
          <w:rFonts w:ascii="Cambria" w:hAnsi="Cambria"/>
          <w:color w:val="222222"/>
          <w:sz w:val="21"/>
        </w:rPr>
        <w:t>Recurring limitations include instrument-specific calibration, background contamination, data heterogeneity, weak or missing labels, context-dependent definitions of “interesting,” unstable inference in small samples and the gap between a numerical explanation and a physical explanation.</w:t>
      </w:r>
    </w:p>
    <w:p>
      <w:pPr>
        <w:pStyle w:val="Heading3"/>
      </w:pPr>
      <w:r>
        <w:rPr>
          <w:rFonts w:ascii="Cambria" w:hAnsi="Cambria"/>
          <w:color w:val="0F6B78"/>
        </w:rPr>
        <w:t>What is missing for POLIX Level-2 archive screening?</w:t>
      </w:r>
    </w:p>
    <w:p>
      <w:pPr>
        <w:pStyle w:val="BodyText"/>
        <w:jc w:val="both"/>
      </w:pPr>
      <w:r>
        <w:rPr>
          <w:rFonts w:ascii="Cambria" w:hAnsi="Cambria"/>
          <w:color w:val="222222"/>
          <w:sz w:val="21"/>
        </w:rPr>
        <w:t>The reviewed mission and handbook sources define the instrument and products but do not supply an integrated, product-aware unsupervised archive-screening framework. General astronomy anomaly systems do not encode POLIX product semantics. General XAI methods do not automatically trace an explanation to a Level-2 FITS product.</w:t>
      </w:r>
    </w:p>
    <w:p>
      <w:pPr>
        <w:pStyle w:val="Heading3"/>
      </w:pPr>
      <w:r>
        <w:rPr>
          <w:rFonts w:ascii="Cambria" w:hAnsi="Cambria"/>
          <w:color w:val="0F6B78"/>
        </w:rPr>
        <w:t>Why is explainability required?</w:t>
      </w:r>
    </w:p>
    <w:p>
      <w:pPr>
        <w:pStyle w:val="BodyText"/>
        <w:jc w:val="both"/>
      </w:pPr>
      <w:r>
        <w:rPr>
          <w:rFonts w:ascii="Cambria" w:hAnsi="Cambria"/>
          <w:color w:val="222222"/>
          <w:sz w:val="21"/>
        </w:rPr>
        <w:t>Scientists must determine whether a high score is driven by exposure, time variability, detector imbalance, azimuthal shape or a preprocessing choice. Product-aware explanations make this check possible and reduce the risk that a score is interpreted as physical evidence without inspection [18].</w:t>
      </w:r>
    </w:p>
    <w:p>
      <w:pPr>
        <w:pStyle w:val="Heading3"/>
      </w:pPr>
      <w:r>
        <w:rPr>
          <w:rFonts w:ascii="Cambria" w:hAnsi="Cambria"/>
          <w:color w:val="0F6B78"/>
        </w:rPr>
        <w:t>Why should physical modulation diagnostics remain independent?</w:t>
      </w:r>
    </w:p>
    <w:p>
      <w:pPr>
        <w:pStyle w:val="BodyText"/>
        <w:jc w:val="both"/>
      </w:pPr>
      <w:r>
        <w:rPr>
          <w:rFonts w:ascii="Cambria" w:hAnsi="Cambria"/>
          <w:color w:val="222222"/>
          <w:sz w:val="21"/>
        </w:rPr>
        <w:t xml:space="preserve">Independence prevents circular confirmation. If modulation amplitude were a primary anomaly feature and the same amplitude were later presented as physical support, the two branches would not be independent. Keeping </w:t>
      </w:r>
      <w:r>
        <w:rPr>
          <w:rFonts w:ascii="Consolas" w:hAnsi="Consolas"/>
          <w:color w:val="0F6B78"/>
          <w:sz w:val="20"/>
        </w:rPr>
        <w:t>WeightedRoll</w:t>
      </w:r>
      <w:r>
        <w:rPr>
          <w:rFonts w:ascii="Cambria" w:hAnsi="Cambria"/>
          <w:color w:val="222222"/>
          <w:sz w:val="21"/>
        </w:rPr>
        <w:t xml:space="preserve"> outside the primary screening features enables a cautious comparison between statistical unusualness and physical modulation evidence, while retaining the calibration boundary [2], [8].</w:t>
      </w:r>
    </w:p>
    <w:p>
      <w:pPr>
        <w:pStyle w:val="Heading2"/>
      </w:pPr>
      <w:r>
        <w:rPr>
          <w:rFonts w:ascii="Cambria" w:hAnsi="Cambria"/>
          <w:color w:val="17365D"/>
        </w:rPr>
        <w:t>3.9 Research Gap</w:t>
      </w:r>
    </w:p>
    <w:p>
      <w:pPr>
        <w:pStyle w:val="BodyText"/>
        <w:jc w:val="both"/>
      </w:pPr>
      <w:r>
        <w:rPr>
          <w:rFonts w:ascii="Cambria" w:hAnsi="Cambria"/>
          <w:color w:val="222222"/>
          <w:sz w:val="21"/>
        </w:rPr>
        <w:t>Mission papers and official documents explain XPoSat, POLIX and their data products [1]–[4]. Source studies demonstrate how polarimetry can constrain individual compact-object or nebular geometries [9]–[11]. ML papers provide general anomaly-detection and archive-ranking techniques [14]–[16]. XAI literature provides feature-attribution and anomaly-explanation frameworks [17], [18]. Polarimetry literature explains modulation, Stokes analysis, background treatment and calibration [7], [8].</w:t>
      </w:r>
    </w:p>
    <w:p>
      <w:pPr>
        <w:pStyle w:val="BodyText"/>
        <w:jc w:val="both"/>
      </w:pPr>
      <w:r>
        <w:rPr>
          <w:rFonts w:ascii="Cambria" w:hAnsi="Cambria"/>
          <w:color w:val="222222"/>
          <w:sz w:val="21"/>
        </w:rPr>
        <w:t xml:space="preserve">However, </w:t>
      </w:r>
      <w:r>
        <w:rPr>
          <w:rFonts w:ascii="Cambria" w:hAnsi="Cambria"/>
          <w:b/>
          <w:color w:val="222222"/>
          <w:sz w:val="21"/>
        </w:rPr>
        <w:t>limited published work was identified</w:t>
      </w:r>
      <w:r>
        <w:rPr>
          <w:rFonts w:ascii="Cambria" w:hAnsi="Cambria"/>
          <w:color w:val="222222"/>
          <w:sz w:val="21"/>
        </w:rPr>
        <w:t xml:space="preserve"> that integrates:</w:t>
      </w:r>
    </w:p>
    <w:p>
      <w:pPr>
        <w:pStyle w:val="ListBullet"/>
      </w:pPr>
      <w:r>
        <w:rPr>
          <w:rFonts w:ascii="Cambria" w:hAnsi="Cambria"/>
          <w:color w:val="222222"/>
          <w:sz w:val="20"/>
        </w:rPr>
        <w:t>multiple POLIX Level-2 product families;</w:t>
      </w:r>
    </w:p>
    <w:p>
      <w:pPr>
        <w:pStyle w:val="ListBullet"/>
      </w:pPr>
      <w:r>
        <w:rPr>
          <w:rFonts w:ascii="Cambria" w:hAnsi="Cambria"/>
          <w:color w:val="222222"/>
          <w:sz w:val="20"/>
        </w:rPr>
        <w:t>scientifically interpretable feature engineering;</w:t>
      </w:r>
    </w:p>
    <w:p>
      <w:pPr>
        <w:pStyle w:val="ListBullet"/>
      </w:pPr>
      <w:r>
        <w:rPr>
          <w:rFonts w:ascii="Cambria" w:hAnsi="Cambria"/>
          <w:color w:val="222222"/>
          <w:sz w:val="20"/>
        </w:rPr>
        <w:t>unsupervised observation-level screening;</w:t>
      </w:r>
    </w:p>
    <w:p>
      <w:pPr>
        <w:pStyle w:val="ListBullet"/>
      </w:pPr>
      <w:r>
        <w:rPr>
          <w:rFonts w:ascii="Cambria" w:hAnsi="Cambria"/>
          <w:color w:val="222222"/>
          <w:sz w:val="20"/>
        </w:rPr>
        <w:t>product-aware anomaly explanations;</w:t>
      </w:r>
    </w:p>
    <w:p>
      <w:pPr>
        <w:pStyle w:val="ListBullet"/>
      </w:pPr>
      <w:r>
        <w:rPr>
          <w:rFonts w:ascii="Cambria" w:hAnsi="Cambria"/>
          <w:color w:val="222222"/>
          <w:sz w:val="20"/>
        </w:rPr>
        <w:t>blank-sky-referenced physical modulation diagnostics;</w:t>
      </w:r>
    </w:p>
    <w:p>
      <w:pPr>
        <w:pStyle w:val="ListBullet"/>
      </w:pPr>
      <w:r>
        <w:rPr>
          <w:rFonts w:ascii="Cambria" w:hAnsi="Cambria"/>
          <w:color w:val="222222"/>
          <w:sz w:val="20"/>
        </w:rPr>
        <w:t>and a unified researcher-facing analysis framework.</w:t>
      </w:r>
    </w:p>
    <w:p>
      <w:pPr>
        <w:pStyle w:val="BodyText"/>
        <w:jc w:val="both"/>
      </w:pPr>
      <w:r>
        <w:rPr>
          <w:rFonts w:ascii="Cambria" w:hAnsi="Cambria"/>
          <w:color w:val="222222"/>
          <w:sz w:val="21"/>
        </w:rPr>
        <w:t>The reviewed literature does not provide a directly comparable integrated framework for this specific POLIX Level-2 problem. An opportunity remains to investigate whether transparent multi-product features, cautious unsupervised ranking and an independent physical diagnostic can support reproducible expert screening. This is a proposed research opportunity, not a claim that no related work exists.</w:t>
      </w:r>
    </w:p>
    <w:p>
      <w:pPr>
        <w:pStyle w:val="Heading2"/>
      </w:pPr>
      <w:r>
        <w:rPr>
          <w:rFonts w:ascii="Cambria" w:hAnsi="Cambria"/>
          <w:color w:val="17365D"/>
        </w:rPr>
        <w:t>3.10 Literature Survey Conclusion</w:t>
      </w:r>
    </w:p>
    <w:p>
      <w:pPr>
        <w:pStyle w:val="BodyText"/>
        <w:jc w:val="both"/>
      </w:pPr>
      <w:r>
        <w:rPr>
          <w:rFonts w:ascii="Cambria" w:hAnsi="Cambria"/>
          <w:color w:val="222222"/>
          <w:sz w:val="21"/>
        </w:rPr>
        <w:t>The literature provides a strong foundation but in separate layers. Mission and handbook sources define what the POLIX products contain and what they do not yet justify. Polarimetry research explains how azimuthal information, Stokes parameters, background and calibration relate. Source studies demonstrate the diagnostic power of polarization. Astronomy ML research shows that unsupervised ranking can prioritize rare objects, while XAI research shows why anomaly scores require contextual explanation.</w:t>
      </w:r>
    </w:p>
    <w:p>
      <w:pPr>
        <w:pStyle w:val="BodyText"/>
        <w:jc w:val="both"/>
      </w:pPr>
      <w:r>
        <w:rPr>
          <w:rFonts w:ascii="Cambria" w:hAnsi="Cambria"/>
          <w:color w:val="222222"/>
          <w:sz w:val="21"/>
        </w:rPr>
        <w:t>The remaining limitation is integration at the POLIX observation level. The proposed study is positioned as a cautious bridge among these layers: a product-aware feature representation, unsupervised screening, traceable explanations and a separate modulation diagnostic. Its relevance lies in supporting expert review without converting statistical unusualness into an unsupported astrophysical or polarimetric claim.</w:t>
      </w:r>
    </w:p>
    <w:p>
      <w:pPr>
        <w:pStyle w:val="Heading1"/>
      </w:pPr>
      <w:r>
        <w:rPr>
          <w:rFonts w:ascii="Cambria" w:hAnsi="Cambria"/>
          <w:color w:val="17365D"/>
        </w:rPr>
        <w:t>4. Existing System / Existing Approaches</w:t>
      </w:r>
    </w:p>
    <w:p>
      <w:pPr>
        <w:pStyle w:val="BodyText"/>
        <w:jc w:val="both"/>
      </w:pPr>
      <w:r>
        <w:rPr>
          <w:rFonts w:ascii="Cambria" w:hAnsi="Cambria"/>
          <w:color w:val="222222"/>
          <w:sz w:val="21"/>
        </w:rPr>
        <w:t>Existing practice is best understood as a combination of approaches rather than a single “existing system”:</w:t>
      </w:r>
    </w:p>
    <w:p>
      <w:pPr>
        <w:pStyle w:val="ListBullet"/>
      </w:pPr>
      <w:r>
        <w:rPr>
          <w:rFonts w:ascii="Cambria" w:hAnsi="Cambria"/>
          <w:color w:val="222222"/>
          <w:sz w:val="20"/>
        </w:rPr>
        <w:t>manual inspection of separate FITS light curves, spectra, exposure distributions and azimuthal products;</w:t>
      </w:r>
    </w:p>
    <w:p>
      <w:pPr>
        <w:pStyle w:val="ListBullet"/>
      </w:pPr>
      <w:r>
        <w:rPr>
          <w:rFonts w:ascii="Cambria" w:hAnsi="Cambria"/>
          <w:color w:val="222222"/>
          <w:sz w:val="20"/>
        </w:rPr>
        <w:t>mission-provided standard products and Level-2 utilities [2];</w:t>
      </w:r>
    </w:p>
    <w:p>
      <w:pPr>
        <w:pStyle w:val="ListBullet"/>
      </w:pPr>
      <w:r>
        <w:rPr>
          <w:rFonts w:ascii="Cambria" w:hAnsi="Cambria"/>
          <w:color w:val="222222"/>
          <w:sz w:val="20"/>
        </w:rPr>
        <w:t>target-specific spectral, timing or polarimetric studies [9]–[11];</w:t>
      </w:r>
    </w:p>
    <w:p>
      <w:pPr>
        <w:pStyle w:val="ListBullet"/>
      </w:pPr>
      <w:r>
        <w:rPr>
          <w:rFonts w:ascii="Cambria" w:hAnsi="Cambria"/>
          <w:color w:val="222222"/>
          <w:sz w:val="20"/>
        </w:rPr>
        <w:t>general-purpose unsupervised anomaly-detection algorithms [14]–[16];</w:t>
      </w:r>
    </w:p>
    <w:p>
      <w:pPr>
        <w:pStyle w:val="ListBullet"/>
      </w:pPr>
      <w:r>
        <w:rPr>
          <w:rFonts w:ascii="Cambria" w:hAnsi="Cambria"/>
          <w:color w:val="222222"/>
          <w:sz w:val="20"/>
        </w:rPr>
        <w:t>and generic XAI or anomaly-explanation techniques [17], [18].</w:t>
      </w:r>
    </w:p>
    <w:p>
      <w:pPr>
        <w:pStyle w:val="Heading2"/>
      </w:pPr>
      <w:r>
        <w:rPr>
          <w:rFonts w:ascii="Cambria" w:hAnsi="Cambria"/>
          <w:color w:val="17365D"/>
        </w:rPr>
        <w:t>4.1 Advantages of the Existing System</w:t>
      </w:r>
    </w:p>
    <w:p>
      <w:pPr>
        <w:pStyle w:val="ListBullet"/>
      </w:pPr>
      <w:r>
        <w:rPr>
          <w:rFonts w:ascii="Cambria" w:hAnsi="Cambria"/>
          <w:color w:val="222222"/>
          <w:sz w:val="20"/>
        </w:rPr>
        <w:t>Mission products preserve direct access to original measurements and processing context.</w:t>
      </w:r>
    </w:p>
    <w:p>
      <w:pPr>
        <w:pStyle w:val="ListBullet"/>
      </w:pPr>
      <w:r>
        <w:rPr>
          <w:rFonts w:ascii="Cambria" w:hAnsi="Cambria"/>
          <w:color w:val="222222"/>
          <w:sz w:val="20"/>
        </w:rPr>
        <w:t>Expert-controlled inspection supports physically informed interpretation.</w:t>
      </w:r>
    </w:p>
    <w:p>
      <w:pPr>
        <w:pStyle w:val="ListBullet"/>
      </w:pPr>
      <w:r>
        <w:rPr>
          <w:rFonts w:ascii="Cambria" w:hAnsi="Cambria"/>
          <w:color w:val="222222"/>
          <w:sz w:val="20"/>
        </w:rPr>
        <w:t>Standard polarimetric methods have explicit statistical foundations.</w:t>
      </w:r>
    </w:p>
    <w:p>
      <w:pPr>
        <w:pStyle w:val="ListBullet"/>
      </w:pPr>
      <w:r>
        <w:rPr>
          <w:rFonts w:ascii="Cambria" w:hAnsi="Cambria"/>
          <w:color w:val="222222"/>
          <w:sz w:val="20"/>
        </w:rPr>
        <w:t>Official documentation defines instrument limitations and data semantics.</w:t>
      </w:r>
    </w:p>
    <w:p>
      <w:pPr>
        <w:pStyle w:val="ListBullet"/>
      </w:pPr>
      <w:r>
        <w:rPr>
          <w:rFonts w:ascii="Cambria" w:hAnsi="Cambria"/>
          <w:color w:val="222222"/>
          <w:sz w:val="20"/>
        </w:rPr>
        <w:t>PCA, clustering and Isolation Forest are mature, widely examined statistical techniques.</w:t>
      </w:r>
    </w:p>
    <w:p>
      <w:pPr>
        <w:pStyle w:val="ListBullet"/>
      </w:pPr>
      <w:r>
        <w:rPr>
          <w:rFonts w:ascii="Cambria" w:hAnsi="Cambria"/>
          <w:color w:val="222222"/>
          <w:sz w:val="20"/>
        </w:rPr>
        <w:t>Generic XAI methods provide established vocabulary for local feature attribution and reference-based explanation.</w:t>
      </w:r>
    </w:p>
    <w:p>
      <w:pPr>
        <w:pStyle w:val="Heading2"/>
      </w:pPr>
      <w:r>
        <w:rPr>
          <w:rFonts w:ascii="Cambria" w:hAnsi="Cambria"/>
          <w:color w:val="17365D"/>
        </w:rPr>
        <w:t>4.2 Disadvantages / Limitations of the Existing System</w:t>
      </w:r>
    </w:p>
    <w:p>
      <w:pPr>
        <w:pStyle w:val="ListBullet"/>
      </w:pPr>
      <w:r>
        <w:rPr>
          <w:rFonts w:ascii="Cambria" w:hAnsi="Cambria"/>
          <w:color w:val="222222"/>
          <w:sz w:val="20"/>
        </w:rPr>
        <w:t>Multi-file inspection is repetitive and difficult to scale across an archive.</w:t>
      </w:r>
    </w:p>
    <w:p>
      <w:pPr>
        <w:pStyle w:val="ListBullet"/>
      </w:pPr>
      <w:r>
        <w:rPr>
          <w:rFonts w:ascii="Cambria" w:hAnsi="Cambria"/>
          <w:color w:val="222222"/>
          <w:sz w:val="20"/>
        </w:rPr>
        <w:t>Standard products do not themselves provide archive-level observation prioritization.</w:t>
      </w:r>
    </w:p>
    <w:p>
      <w:pPr>
        <w:pStyle w:val="ListBullet"/>
      </w:pPr>
      <w:r>
        <w:rPr>
          <w:rFonts w:ascii="Cambria" w:hAnsi="Cambria"/>
          <w:color w:val="222222"/>
          <w:sz w:val="20"/>
        </w:rPr>
        <w:t>Trusted anomaly labels are absent or expensive to construct.</w:t>
      </w:r>
    </w:p>
    <w:p>
      <w:pPr>
        <w:pStyle w:val="ListBullet"/>
      </w:pPr>
      <w:r>
        <w:rPr>
          <w:rFonts w:ascii="Cambria" w:hAnsi="Cambria"/>
          <w:color w:val="222222"/>
          <w:sz w:val="20"/>
        </w:rPr>
        <w:t>General anomaly scores can be opaque and dependent on preprocessing.</w:t>
      </w:r>
    </w:p>
    <w:p>
      <w:pPr>
        <w:pStyle w:val="ListBullet"/>
      </w:pPr>
      <w:r>
        <w:rPr>
          <w:rFonts w:ascii="Cambria" w:hAnsi="Cambria"/>
          <w:color w:val="222222"/>
          <w:sz w:val="20"/>
        </w:rPr>
        <w:t>Generic explanations may have a weak connection to the original science product.</w:t>
      </w:r>
    </w:p>
    <w:p>
      <w:pPr>
        <w:pStyle w:val="ListBullet"/>
      </w:pPr>
      <w:r>
        <w:rPr>
          <w:rFonts w:ascii="Cambria" w:hAnsi="Cambria"/>
          <w:color w:val="222222"/>
          <w:sz w:val="20"/>
        </w:rPr>
        <w:t>A statistical anomaly can be confused with polarization evidence if the analysis branches are not separated.</w:t>
      </w:r>
    </w:p>
    <w:p>
      <w:pPr>
        <w:pStyle w:val="ListBullet"/>
      </w:pPr>
      <w:r>
        <w:rPr>
          <w:rFonts w:ascii="Cambria" w:hAnsi="Cambria"/>
          <w:color w:val="222222"/>
          <w:sz w:val="20"/>
        </w:rPr>
        <w:t>Final PD and PA interpretation depends on valid background subtraction, response calibration and angle conventions [2], [8].</w:t>
      </w:r>
    </w:p>
    <w:p>
      <w:pPr>
        <w:pStyle w:val="Heading1"/>
      </w:pPr>
      <w:r>
        <w:rPr>
          <w:rFonts w:ascii="Cambria" w:hAnsi="Cambria"/>
          <w:color w:val="17365D"/>
        </w:rPr>
        <w:t>5. Proposed System / Proposed Concept</w:t>
      </w:r>
    </w:p>
    <w:p>
      <w:pPr>
        <w:pStyle w:val="BodyText"/>
        <w:jc w:val="both"/>
      </w:pPr>
      <w:r>
        <w:rPr>
          <w:rFonts w:ascii="Cambria" w:hAnsi="Cambria"/>
          <w:color w:val="222222"/>
          <w:sz w:val="21"/>
        </w:rPr>
        <w:t>The proposed concept is:</w:t>
      </w:r>
    </w:p>
    <w:p>
      <w:pPr>
        <w:pStyle w:val="BodyText"/>
        <w:jc w:val="both"/>
      </w:pPr>
      <w:r>
        <w:rPr>
          <w:rFonts w:ascii="Consolas" w:hAnsi="Consolas"/>
          <w:color w:val="0F6B78"/>
          <w:sz w:val="20"/>
        </w:rPr>
        <w:t>POLIX Level-2 observations → multi-product understanding → interpretable feature representation → unsupervised observation screening → product-aware explanation → independent physical modulation diagnostic → cautious scientific interpretation</w:t>
      </w:r>
    </w:p>
    <w:p>
      <w:pPr>
        <w:pStyle w:val="BodyText"/>
        <w:jc w:val="both"/>
      </w:pPr>
      <w:r>
        <w:rPr>
          <w:rFonts w:ascii="Cambria" w:hAnsi="Cambria"/>
          <w:color w:val="222222"/>
          <w:sz w:val="21"/>
        </w:rPr>
        <w:t xml:space="preserve">At the first stage, the project aims to catalogue product families and define features whose scientific meaning can be stated concisely. At the second stage, scaled observation-level features are intended to support PCA, clustering and anomaly ranking where stability checks justify them. At the third stage, each high-ranked observation is intended to receive feature-level and product-level evidence rather than only a scalar score. Finally, </w:t>
      </w:r>
      <w:r>
        <w:rPr>
          <w:rFonts w:ascii="Consolas" w:hAnsi="Consolas"/>
          <w:color w:val="0F6B78"/>
          <w:sz w:val="20"/>
        </w:rPr>
        <w:t>WeightedRoll</w:t>
      </w:r>
      <w:r>
        <w:rPr>
          <w:rFonts w:ascii="Cambria" w:hAnsi="Cambria"/>
          <w:color w:val="222222"/>
          <w:sz w:val="21"/>
        </w:rPr>
        <w:t xml:space="preserve"> and blank-sky behaviour are intended to be inspected through an independent physical diagnostic. The combined interpretation will retain separate labels for statistical unusualness and modulation evidence.</w:t>
      </w:r>
    </w:p>
    <w:p>
      <w:pPr>
        <w:pStyle w:val="BodyText"/>
        <w:jc w:val="both"/>
      </w:pPr>
      <w:r>
        <w:rPr>
          <w:rFonts w:ascii="Cambria" w:hAnsi="Cambria"/>
          <w:color w:val="222222"/>
          <w:sz w:val="21"/>
        </w:rPr>
        <w:t>This is a conceptual research pipeline. It does not specify software architecture, routes, modules, database design, completed algorithms, interfaces or results.</w:t>
      </w:r>
    </w:p>
    <w:p>
      <w:pPr>
        <w:pStyle w:val="Heading2"/>
      </w:pPr>
      <w:r>
        <w:rPr>
          <w:rFonts w:ascii="Cambria" w:hAnsi="Cambria"/>
          <w:color w:val="17365D"/>
        </w:rPr>
        <w:t>5.1 Advantages of the Proposed System</w:t>
      </w:r>
    </w:p>
    <w:p>
      <w:pPr>
        <w:pStyle w:val="ListBullet"/>
      </w:pPr>
      <w:r>
        <w:rPr>
          <w:rFonts w:ascii="Cambria" w:hAnsi="Cambria"/>
          <w:color w:val="222222"/>
          <w:sz w:val="20"/>
        </w:rPr>
        <w:t>automated screening across multiple POLIX product families;</w:t>
      </w:r>
    </w:p>
    <w:p>
      <w:pPr>
        <w:pStyle w:val="ListBullet"/>
      </w:pPr>
      <w:r>
        <w:rPr>
          <w:rFonts w:ascii="Cambria" w:hAnsi="Cambria"/>
          <w:color w:val="222222"/>
          <w:sz w:val="20"/>
        </w:rPr>
        <w:t>prioritization of observations for expert review;</w:t>
      </w:r>
    </w:p>
    <w:p>
      <w:pPr>
        <w:pStyle w:val="ListBullet"/>
      </w:pPr>
      <w:r>
        <w:rPr>
          <w:rFonts w:ascii="Cambria" w:hAnsi="Cambria"/>
          <w:color w:val="222222"/>
          <w:sz w:val="20"/>
        </w:rPr>
        <w:t>explainable feature-level evidence;</w:t>
      </w:r>
    </w:p>
    <w:p>
      <w:pPr>
        <w:pStyle w:val="ListBullet"/>
      </w:pPr>
      <w:r>
        <w:rPr>
          <w:rFonts w:ascii="Cambria" w:hAnsi="Cambria"/>
          <w:color w:val="222222"/>
          <w:sz w:val="20"/>
        </w:rPr>
        <w:t>traceability from a score to an original FITS product family;</w:t>
      </w:r>
    </w:p>
    <w:p>
      <w:pPr>
        <w:pStyle w:val="ListBullet"/>
      </w:pPr>
      <w:r>
        <w:rPr>
          <w:rFonts w:ascii="Cambria" w:hAnsi="Cambria"/>
          <w:color w:val="222222"/>
          <w:sz w:val="20"/>
        </w:rPr>
        <w:t>explicit separation of ML anomaly evidence and physical modulation evidence;</w:t>
      </w:r>
    </w:p>
    <w:p>
      <w:pPr>
        <w:pStyle w:val="ListBullet"/>
      </w:pPr>
      <w:r>
        <w:rPr>
          <w:rFonts w:ascii="Cambria" w:hAnsi="Cambria"/>
          <w:color w:val="222222"/>
          <w:sz w:val="20"/>
        </w:rPr>
        <w:t>reproducible preprocessing and reporting;</w:t>
      </w:r>
    </w:p>
    <w:p>
      <w:pPr>
        <w:pStyle w:val="ListBullet"/>
      </w:pPr>
      <w:r>
        <w:rPr>
          <w:rFonts w:ascii="Cambria" w:hAnsi="Cambria"/>
          <w:color w:val="222222"/>
          <w:sz w:val="20"/>
        </w:rPr>
        <w:t>and extensibility to future observations, calibration information and nearby blank-sky releases.</w:t>
      </w:r>
    </w:p>
    <w:p>
      <w:pPr>
        <w:pStyle w:val="Heading2"/>
      </w:pPr>
      <w:r>
        <w:rPr>
          <w:rFonts w:ascii="Cambria" w:hAnsi="Cambria"/>
          <w:color w:val="17365D"/>
        </w:rPr>
        <w:t>5.2 Disadvantages / Expected Limitations of the Proposed System</w:t>
      </w:r>
    </w:p>
    <w:p>
      <w:pPr>
        <w:pStyle w:val="ListBullet"/>
      </w:pPr>
      <w:r>
        <w:rPr>
          <w:rFonts w:ascii="Cambria" w:hAnsi="Cambria"/>
          <w:color w:val="222222"/>
          <w:sz w:val="20"/>
        </w:rPr>
        <w:t>The currently available dataset may be small for stable multivariate modelling.</w:t>
      </w:r>
    </w:p>
    <w:p>
      <w:pPr>
        <w:pStyle w:val="ListBullet"/>
      </w:pPr>
      <w:r>
        <w:rPr>
          <w:rFonts w:ascii="Cambria" w:hAnsi="Cambria"/>
          <w:color w:val="222222"/>
          <w:sz w:val="20"/>
        </w:rPr>
        <w:t>Trusted anomaly labels are not assumed to exist.</w:t>
      </w:r>
    </w:p>
    <w:p>
      <w:pPr>
        <w:pStyle w:val="ListBullet"/>
      </w:pPr>
      <w:r>
        <w:rPr>
          <w:rFonts w:ascii="Cambria" w:hAnsi="Cambria"/>
          <w:color w:val="222222"/>
          <w:sz w:val="20"/>
        </w:rPr>
        <w:t>Final PD/PA depends on official calibration and valid background treatment.</w:t>
      </w:r>
    </w:p>
    <w:p>
      <w:pPr>
        <w:pStyle w:val="ListBullet"/>
      </w:pPr>
      <w:r>
        <w:rPr>
          <w:rFonts w:ascii="Cambria" w:hAnsi="Cambria"/>
          <w:color w:val="222222"/>
          <w:sz w:val="20"/>
        </w:rPr>
        <w:t>Model boundaries and rankings may change when new observations arrive.</w:t>
      </w:r>
    </w:p>
    <w:p>
      <w:pPr>
        <w:pStyle w:val="ListBullet"/>
      </w:pPr>
      <w:r>
        <w:rPr>
          <w:rFonts w:ascii="Cambria" w:hAnsi="Cambria"/>
          <w:color w:val="222222"/>
          <w:sz w:val="20"/>
        </w:rPr>
        <w:t>Expert validation remains necessary.</w:t>
      </w:r>
    </w:p>
    <w:p>
      <w:pPr>
        <w:pStyle w:val="ListBullet"/>
      </w:pPr>
      <w:r>
        <w:rPr>
          <w:rFonts w:ascii="Cambria" w:hAnsi="Cambria"/>
          <w:color w:val="222222"/>
          <w:sz w:val="20"/>
        </w:rPr>
        <w:t>An unsupervised anomaly does not establish physical causality.</w:t>
      </w:r>
    </w:p>
    <w:p>
      <w:pPr>
        <w:pStyle w:val="ListBullet"/>
      </w:pPr>
      <w:r>
        <w:rPr>
          <w:rFonts w:ascii="Cambria" w:hAnsi="Cambria"/>
          <w:color w:val="222222"/>
          <w:sz w:val="20"/>
        </w:rPr>
        <w:t>Blank-sky observations may not constitute exact source-specific backgrounds.</w:t>
      </w:r>
    </w:p>
    <w:p>
      <w:pPr>
        <w:pStyle w:val="ListBullet"/>
      </w:pPr>
      <w:r>
        <w:rPr>
          <w:rFonts w:ascii="Cambria" w:hAnsi="Cambria"/>
          <w:color w:val="222222"/>
          <w:sz w:val="20"/>
        </w:rPr>
        <w:t>Feature extraction can omit information or introduce modelling assumptions.</w:t>
      </w:r>
    </w:p>
    <w:p>
      <w:pPr>
        <w:pStyle w:val="Heading1"/>
      </w:pPr>
      <w:r>
        <w:rPr>
          <w:rFonts w:ascii="Cambria" w:hAnsi="Cambria"/>
          <w:color w:val="17365D"/>
        </w:rPr>
        <w:t>6. Architecture / Flow Diagram</w:t>
      </w:r>
    </w:p>
    <w:p>
      <w:pPr>
        <w:pStyle w:val="BodyText"/>
        <w:jc w:val="both"/>
      </w:pPr>
      <w:r>
        <w:rPr>
          <w:rFonts w:ascii="Cambria" w:hAnsi="Cambria"/>
          <w:color w:val="222222"/>
          <w:sz w:val="21"/>
        </w:rPr>
        <w:t xml:space="preserve">The following figure is a </w:t>
      </w:r>
      <w:r>
        <w:rPr>
          <w:rFonts w:ascii="Cambria" w:hAnsi="Cambria"/>
          <w:b/>
          <w:color w:val="222222"/>
          <w:sz w:val="21"/>
        </w:rPr>
        <w:t>conceptual Review-I architecture</w:t>
      </w:r>
      <w:r>
        <w:rPr>
          <w:rFonts w:ascii="Cambria" w:hAnsi="Cambria"/>
          <w:color w:val="222222"/>
          <w:sz w:val="21"/>
        </w:rPr>
        <w:t>. It shows the intended research logic and the separation of evidence streams. It is not a software-module diagram and does not claim that implementation or testing is complete.</w:t>
      </w:r>
    </w:p>
    <w:tbl>
      <w:tblPr>
        <w:tblW w:type="auto" w:w="0"/>
        <w:jc w:val="center"/>
        <w:tblLayout w:type="autofit"/>
        <w:tblLook w:firstColumn="1" w:firstRow="1" w:lastColumn="0" w:lastRow="0" w:noHBand="0" w:noVBand="1" w:val="04A0"/>
        <w:tblBorders>
          <w:top w:val="single" w:sz="8" w:space="0" w:color="9FBAD0"/>
          <w:left w:val="single" w:sz="8" w:space="0" w:color="9FBAD0"/>
          <w:bottom w:val="single" w:sz="8" w:space="0" w:color="9FBAD0"/>
          <w:right w:val="single" w:sz="8" w:space="0" w:color="9FBAD0"/>
          <w:insideH w:val="single" w:sz="8" w:space="0" w:color="9FBAD0"/>
          <w:insideV w:val="single" w:sz="8" w:space="0" w:color="9FBAD0"/>
        </w:tblBorders>
      </w:tblPr>
      <w:tblGrid>
        <w:gridCol w:w="9752"/>
      </w:tblGrid>
      <w:tr>
        <w:tc>
          <w:tcPr>
            <w:tcW w:type="dxa" w:w="9752"/>
            <w:shd w:fill="DCE6F1"/>
            <w:tcMar>
              <w:top w:w="120" w:type="dxa"/>
              <w:start w:w="160" w:type="dxa"/>
              <w:bottom w:w="120" w:type="dxa"/>
              <w:end w:w="160" w:type="dxa"/>
            </w:tcMar>
          </w:tcPr>
          <w:p>
            <w:pPr>
              <w:jc w:val="center"/>
            </w:pPr>
            <w:r>
              <w:rPr>
                <w:rFonts w:ascii="Cambria" w:hAnsi="Cambria"/>
                <w:b/>
                <w:color w:val="17365D"/>
                <w:sz w:val="20"/>
              </w:rPr>
              <w:t>POLIX Level-2 observation bundle</w:t>
            </w:r>
          </w:p>
        </w:tc>
      </w:tr>
      <w:tr>
        <w:tc>
          <w:tcPr>
            <w:tcW w:type="dxa" w:w="9752"/>
            <w:shd w:fill="FFFFFF"/>
            <w:tcMar>
              <w:top w:w="120" w:type="dxa"/>
              <w:start w:w="160" w:type="dxa"/>
              <w:bottom w:w="120" w:type="dxa"/>
              <w:end w:w="160" w:type="dxa"/>
            </w:tcMar>
          </w:tcPr>
          <w:p>
            <w:pPr>
              <w:jc w:val="center"/>
            </w:pPr>
            <w:r>
              <w:rPr>
                <w:rFonts w:ascii="Cambria" w:hAnsi="Cambria"/>
                <w:b/>
                <w:color w:val="17365D"/>
                <w:sz w:val="20"/>
              </w:rPr>
              <w:t>↓</w:t>
            </w:r>
          </w:p>
        </w:tc>
      </w:tr>
      <w:tr>
        <w:tc>
          <w:tcPr>
            <w:tcW w:type="dxa" w:w="9752"/>
            <w:shd w:fill="DCE6F1"/>
            <w:tcMar>
              <w:top w:w="120" w:type="dxa"/>
              <w:start w:w="160" w:type="dxa"/>
              <w:bottom w:w="120" w:type="dxa"/>
              <w:end w:w="160" w:type="dxa"/>
            </w:tcMar>
          </w:tcPr>
          <w:p>
            <w:pPr>
              <w:jc w:val="center"/>
            </w:pPr>
            <w:r>
              <w:rPr>
                <w:rFonts w:ascii="Cambria" w:hAnsi="Cambria"/>
                <w:b/>
                <w:color w:val="17365D"/>
                <w:sz w:val="20"/>
              </w:rPr>
              <w:t>Product inventory, integrity checks and product-role mapping</w:t>
            </w:r>
          </w:p>
        </w:tc>
      </w:tr>
      <w:tr>
        <w:tc>
          <w:tcPr>
            <w:tcW w:type="dxa" w:w="9752"/>
            <w:shd w:fill="FFFFFF"/>
            <w:tcMar>
              <w:top w:w="120" w:type="dxa"/>
              <w:start w:w="160" w:type="dxa"/>
              <w:bottom w:w="120" w:type="dxa"/>
              <w:end w:w="160" w:type="dxa"/>
            </w:tcMar>
          </w:tcPr>
          <w:p>
            <w:pPr>
              <w:jc w:val="center"/>
            </w:pPr>
            <w:r>
              <w:rPr>
                <w:rFonts w:ascii="Cambria" w:hAnsi="Cambria"/>
                <w:b/>
                <w:color w:val="17365D"/>
                <w:sz w:val="20"/>
              </w:rPr>
              <w:t>↓</w:t>
            </w:r>
          </w:p>
        </w:tc>
      </w:tr>
      <w:tr>
        <w:tc>
          <w:tcPr>
            <w:tcW w:type="dxa" w:w="9752"/>
            <w:shd w:fill="DDEBF7"/>
            <w:tcMar>
              <w:top w:w="120" w:type="dxa"/>
              <w:start w:w="160" w:type="dxa"/>
              <w:bottom w:w="120" w:type="dxa"/>
              <w:end w:w="160" w:type="dxa"/>
            </w:tcMar>
          </w:tcPr>
          <w:p>
            <w:pPr>
              <w:jc w:val="center"/>
            </w:pPr>
            <w:r>
              <w:rPr>
                <w:rFonts w:ascii="Cambria" w:hAnsi="Cambria"/>
                <w:b/>
                <w:color w:val="17365D"/>
                <w:sz w:val="20"/>
              </w:rPr>
              <w:t>Scientifically interpretable feature representation</w:t>
            </w:r>
          </w:p>
        </w:tc>
      </w:tr>
      <w:tr>
        <w:tc>
          <w:tcPr>
            <w:tcW w:type="dxa" w:w="9752"/>
            <w:shd w:fill="FFFFFF"/>
            <w:tcMar>
              <w:top w:w="120" w:type="dxa"/>
              <w:start w:w="160" w:type="dxa"/>
              <w:bottom w:w="120" w:type="dxa"/>
              <w:end w:w="160" w:type="dxa"/>
            </w:tcMar>
          </w:tcPr>
          <w:p>
            <w:pPr>
              <w:jc w:val="center"/>
            </w:pPr>
            <w:r>
              <w:rPr>
                <w:rFonts w:ascii="Cambria" w:hAnsi="Cambria"/>
                <w:b/>
                <w:color w:val="17365D"/>
                <w:sz w:val="20"/>
              </w:rPr>
              <w:t>↓</w:t>
            </w:r>
          </w:p>
        </w:tc>
      </w:tr>
      <w:tr>
        <w:tc>
          <w:tcPr>
            <w:tcW w:type="dxa" w:w="9752"/>
          </w:tcPr>
          <w:p/>
          <w:tbl>
            <w:tblPr>
              <w:tblW w:type="auto" w:w="0"/>
              <w:jc w:val="center"/>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4876"/>
              <w:gridCol w:w="4876"/>
            </w:tblGrid>
            <w:tr>
              <w:tc>
                <w:tcPr>
                  <w:tcW w:type="dxa" w:w="4876"/>
                  <w:shd w:fill="E2F0D9"/>
                  <w:tcMar>
                    <w:top w:w="140" w:type="dxa"/>
                    <w:start w:w="140" w:type="dxa"/>
                    <w:bottom w:w="140" w:type="dxa"/>
                    <w:end w:w="140" w:type="dxa"/>
                  </w:tcMar>
                  <w:vAlign w:val="center"/>
                </w:tcPr>
                <w:p>
                  <w:pPr>
                    <w:jc w:val="center"/>
                  </w:pPr>
                  <w:r>
                    <w:rPr>
                      <w:rFonts w:ascii="Cambria" w:hAnsi="Cambria"/>
                      <w:b/>
                      <w:color w:val="222222"/>
                      <w:sz w:val="18"/>
                    </w:rPr>
                    <w:t>Statistical screening branch</w:t>
                  </w:r>
                  <w:r>
                    <w:rPr>
                      <w:rFonts w:ascii="Cambria" w:hAnsi="Cambria"/>
                      <w:color w:val="222222"/>
                      <w:sz w:val="18"/>
                    </w:rPr>
                    <w:br/>
                    <w:t>PCA / clustering for structure</w:t>
                    <w:br/>
                    <w:t>Isolation Forest or justified detector for observation ranking</w:t>
                  </w:r>
                </w:p>
              </w:tc>
              <w:tc>
                <w:tcPr>
                  <w:tcW w:type="dxa" w:w="4876"/>
                  <w:shd w:fill="FFF2CC"/>
                  <w:tcMar>
                    <w:top w:w="140" w:type="dxa"/>
                    <w:start w:w="140" w:type="dxa"/>
                    <w:bottom w:w="140" w:type="dxa"/>
                    <w:end w:w="140" w:type="dxa"/>
                  </w:tcMar>
                  <w:vAlign w:val="center"/>
                </w:tcPr>
                <w:p>
                  <w:pPr>
                    <w:jc w:val="center"/>
                  </w:pPr>
                  <w:r>
                    <w:rPr>
                      <w:rFonts w:ascii="Cambria" w:hAnsi="Cambria"/>
                      <w:b/>
                      <w:color w:val="222222"/>
                      <w:sz w:val="18"/>
                    </w:rPr>
                    <w:t>Independent physical branch</w:t>
                  </w:r>
                  <w:r>
                    <w:rPr>
                      <w:rFonts w:ascii="Cambria" w:hAnsi="Cambria"/>
                      <w:color w:val="222222"/>
                      <w:sz w:val="18"/>
                    </w:rPr>
                    <w:br/>
                    <w:t>WeightedRoll modulation inspection</w:t>
                    <w:br/>
                    <w:t>blank-sky comparison</w:t>
                    <w:br/>
                    <w:t>fit / Stokes-oriented diagnostic</w:t>
                  </w:r>
                </w:p>
              </w:tc>
            </w:tr>
          </w:tbl>
          <w:p/>
        </w:tc>
      </w:tr>
      <w:tr>
        <w:tc>
          <w:tcPr>
            <w:tcW w:type="dxa" w:w="9752"/>
            <w:shd w:fill="FFFFFF"/>
            <w:tcMar>
              <w:top w:w="120" w:type="dxa"/>
              <w:start w:w="160" w:type="dxa"/>
              <w:bottom w:w="120" w:type="dxa"/>
              <w:end w:w="160" w:type="dxa"/>
            </w:tcMar>
          </w:tcPr>
          <w:p>
            <w:pPr>
              <w:jc w:val="center"/>
            </w:pPr>
            <w:r>
              <w:rPr>
                <w:rFonts w:ascii="Cambria" w:hAnsi="Cambria"/>
                <w:b/>
                <w:color w:val="17365D"/>
                <w:sz w:val="20"/>
              </w:rPr>
              <w:t>↓                                       ↓</w:t>
            </w:r>
          </w:p>
        </w:tc>
      </w:tr>
      <w:tr>
        <w:tc>
          <w:tcPr>
            <w:tcW w:type="dxa" w:w="9752"/>
            <w:shd w:fill="DDEBF7"/>
            <w:tcMar>
              <w:top w:w="120" w:type="dxa"/>
              <w:start w:w="160" w:type="dxa"/>
              <w:bottom w:w="120" w:type="dxa"/>
              <w:end w:w="160" w:type="dxa"/>
            </w:tcMar>
          </w:tcPr>
          <w:p>
            <w:pPr>
              <w:jc w:val="center"/>
            </w:pPr>
            <w:r>
              <w:rPr>
                <w:rFonts w:ascii="Cambria" w:hAnsi="Cambria"/>
                <w:b/>
                <w:color w:val="17365D"/>
                <w:sz w:val="20"/>
              </w:rPr>
              <w:t>Product-aware evidence + modulation evidence kept as separate statements</w:t>
            </w:r>
          </w:p>
        </w:tc>
      </w:tr>
      <w:tr>
        <w:tc>
          <w:tcPr>
            <w:tcW w:type="dxa" w:w="9752"/>
            <w:shd w:fill="FFFFFF"/>
            <w:tcMar>
              <w:top w:w="120" w:type="dxa"/>
              <w:start w:w="160" w:type="dxa"/>
              <w:bottom w:w="120" w:type="dxa"/>
              <w:end w:w="160" w:type="dxa"/>
            </w:tcMar>
          </w:tcPr>
          <w:p>
            <w:pPr>
              <w:jc w:val="center"/>
            </w:pPr>
            <w:r>
              <w:rPr>
                <w:rFonts w:ascii="Cambria" w:hAnsi="Cambria"/>
                <w:b/>
                <w:color w:val="17365D"/>
                <w:sz w:val="20"/>
              </w:rPr>
              <w:t>↓</w:t>
            </w:r>
          </w:p>
        </w:tc>
      </w:tr>
      <w:tr>
        <w:tc>
          <w:tcPr>
            <w:tcW w:type="dxa" w:w="9752"/>
            <w:shd w:fill="DCE6F1"/>
            <w:tcMar>
              <w:top w:w="120" w:type="dxa"/>
              <w:start w:w="160" w:type="dxa"/>
              <w:bottom w:w="120" w:type="dxa"/>
              <w:end w:w="160" w:type="dxa"/>
            </w:tcMar>
          </w:tcPr>
          <w:p>
            <w:pPr>
              <w:jc w:val="center"/>
            </w:pPr>
            <w:r>
              <w:rPr>
                <w:rFonts w:ascii="Cambria" w:hAnsi="Cambria"/>
                <w:b/>
                <w:color w:val="17365D"/>
                <w:sz w:val="20"/>
              </w:rPr>
              <w:t>Researcher review, observation prioritization and cautious scientific interpretation</w:t>
            </w:r>
          </w:p>
        </w:tc>
      </w:tr>
    </w:tbl>
    <w:p>
      <w:pPr>
        <w:spacing w:after="20"/>
      </w:pPr>
    </w:p>
    <w:p>
      <w:pPr>
        <w:jc w:val="center"/>
      </w:pPr>
      <w:r>
        <w:rPr>
          <w:rFonts w:ascii="Cambria" w:hAnsi="Cambria"/>
          <w:i/>
          <w:color w:val="666666"/>
          <w:sz w:val="18"/>
        </w:rPr>
        <w:t>Figure 1. Conceptual Review-I flow. WeightedRoll is deliberately excluded from the primary anomaly-feature branch.</w:t>
      </w:r>
    </w:p>
    <w:p>
      <w:pPr>
        <w:pStyle w:val="Heading2"/>
      </w:pPr>
      <w:r>
        <w:rPr>
          <w:rFonts w:ascii="Cambria" w:hAnsi="Cambria"/>
          <w:color w:val="17365D"/>
        </w:rPr>
        <w:t>6.1 Core Design Principle</w:t>
      </w:r>
    </w:p>
    <w:p>
      <w:pPr>
        <w:pStyle w:val="BodyText"/>
        <w:jc w:val="both"/>
      </w:pPr>
      <w:r>
        <w:rPr>
          <w:rFonts w:ascii="Cambria" w:hAnsi="Cambria"/>
          <w:color w:val="222222"/>
          <w:sz w:val="21"/>
        </w:rPr>
        <w:t>The primary anomaly-screening branch and the physical modulation branch answer different questions. The screening branch asks whether the observation is statistically unusual across selected Level-2 product features. The WeightedRoll branch asks whether an azimuthal modulation pattern deserves physical examination relative to background and calibration constraints. They may be discussed together only at the final interpretation stage, with both evidence labels retained.</w:t>
      </w:r>
    </w:p>
    <w:p>
      <w:pPr>
        <w:pStyle w:val="Heading2"/>
      </w:pPr>
      <w:r>
        <w:rPr>
          <w:rFonts w:ascii="Cambria" w:hAnsi="Cambria"/>
          <w:color w:val="17365D"/>
        </w:rPr>
        <w:t>6.2 Conceptual Inputs and Outputs</w:t>
      </w:r>
    </w:p>
    <w:tbl>
      <w:tblPr>
        <w:tblW w:type="auto" w:w="0"/>
        <w:jc w:val="center"/>
        <w:tblLayout w:type="autofit"/>
        <w:tblLook w:firstColumn="1" w:firstRow="1" w:lastColumn="0" w:lastRow="0" w:noHBand="0" w:noVBand="1" w:val="04A0"/>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Pr>
      <w:tblGrid>
        <w:gridCol w:w="2438"/>
        <w:gridCol w:w="2438"/>
        <w:gridCol w:w="2438"/>
        <w:gridCol w:w="2438"/>
      </w:tblGrid>
      <w:tr>
        <w:trPr>
          <w:tblHeader w:val="true"/>
        </w:trPr>
        <w:tc>
          <w:tcPr>
            <w:tcW w:type="dxa" w:w="2438"/>
            <w:shd w:fill="1F4E78"/>
            <w:tcMar>
              <w:top w:w="80" w:type="dxa"/>
              <w:start w:w="90" w:type="dxa"/>
              <w:bottom w:w="80" w:type="dxa"/>
              <w:end w:w="90" w:type="dxa"/>
            </w:tcMar>
            <w:vAlign w:val="center"/>
          </w:tcPr>
          <w:p>
            <w:pPr>
              <w:jc w:val="center"/>
            </w:pPr>
            <w:r>
              <w:rPr>
                <w:rFonts w:ascii="Cambria" w:hAnsi="Cambria"/>
                <w:b/>
                <w:color w:val="FFFFFF"/>
                <w:sz w:val="16"/>
              </w:rPr>
              <w:t>Stage</w:t>
            </w:r>
          </w:p>
        </w:tc>
        <w:tc>
          <w:tcPr>
            <w:tcW w:type="dxa" w:w="2438"/>
            <w:shd w:fill="1F4E78"/>
            <w:tcMar>
              <w:top w:w="80" w:type="dxa"/>
              <w:start w:w="90" w:type="dxa"/>
              <w:bottom w:w="80" w:type="dxa"/>
              <w:end w:w="90" w:type="dxa"/>
            </w:tcMar>
            <w:vAlign w:val="center"/>
          </w:tcPr>
          <w:p>
            <w:pPr>
              <w:jc w:val="center"/>
            </w:pPr>
            <w:r>
              <w:rPr>
                <w:rFonts w:ascii="Cambria" w:hAnsi="Cambria"/>
                <w:b/>
                <w:color w:val="FFFFFF"/>
                <w:sz w:val="16"/>
              </w:rPr>
              <w:t>Input</w:t>
            </w:r>
          </w:p>
        </w:tc>
        <w:tc>
          <w:tcPr>
            <w:tcW w:type="dxa" w:w="2438"/>
            <w:shd w:fill="1F4E78"/>
            <w:tcMar>
              <w:top w:w="80" w:type="dxa"/>
              <w:start w:w="90" w:type="dxa"/>
              <w:bottom w:w="80" w:type="dxa"/>
              <w:end w:w="90" w:type="dxa"/>
            </w:tcMar>
            <w:vAlign w:val="center"/>
          </w:tcPr>
          <w:p>
            <w:pPr>
              <w:jc w:val="center"/>
            </w:pPr>
            <w:r>
              <w:rPr>
                <w:rFonts w:ascii="Cambria" w:hAnsi="Cambria"/>
                <w:b/>
                <w:color w:val="FFFFFF"/>
                <w:sz w:val="16"/>
              </w:rPr>
              <w:t>Intended output</w:t>
            </w:r>
          </w:p>
        </w:tc>
        <w:tc>
          <w:tcPr>
            <w:tcW w:type="dxa" w:w="2438"/>
            <w:shd w:fill="1F4E78"/>
            <w:tcMar>
              <w:top w:w="80" w:type="dxa"/>
              <w:start w:w="90" w:type="dxa"/>
              <w:bottom w:w="80" w:type="dxa"/>
              <w:end w:w="90" w:type="dxa"/>
            </w:tcMar>
            <w:vAlign w:val="center"/>
          </w:tcPr>
          <w:p>
            <w:pPr>
              <w:jc w:val="center"/>
            </w:pPr>
            <w:r>
              <w:rPr>
                <w:rFonts w:ascii="Cambria" w:hAnsi="Cambria"/>
                <w:b/>
                <w:color w:val="FFFFFF"/>
                <w:sz w:val="16"/>
              </w:rPr>
              <w:t>Scientific boundary</w:t>
            </w:r>
          </w:p>
        </w:tc>
      </w:tr>
      <w:tr>
        <w:tc>
          <w:tcPr>
            <w:tcW w:type="dxa" w:w="2438"/>
            <w:tcMar>
              <w:top w:w="80" w:type="dxa"/>
              <w:start w:w="90" w:type="dxa"/>
              <w:bottom w:w="80" w:type="dxa"/>
              <w:end w:w="90" w:type="dxa"/>
            </w:tcMar>
            <w:vAlign w:val="top"/>
          </w:tcPr>
          <w:p>
            <w:pPr>
              <w:spacing w:after="0"/>
            </w:pPr>
            <w:r>
              <w:rPr>
                <w:rFonts w:ascii="Cambria" w:hAnsi="Cambria"/>
                <w:color w:val="222222"/>
                <w:sz w:val="17"/>
              </w:rPr>
              <w:t>Product intake</w:t>
            </w:r>
          </w:p>
        </w:tc>
        <w:tc>
          <w:tcPr>
            <w:tcW w:type="dxa" w:w="2438"/>
            <w:tcMar>
              <w:top w:w="80" w:type="dxa"/>
              <w:start w:w="90" w:type="dxa"/>
              <w:bottom w:w="80" w:type="dxa"/>
              <w:end w:w="90" w:type="dxa"/>
            </w:tcMar>
            <w:vAlign w:val="top"/>
          </w:tcPr>
          <w:p>
            <w:pPr>
              <w:spacing w:after="0"/>
            </w:pPr>
            <w:r>
              <w:rPr>
                <w:rFonts w:ascii="Cambria" w:hAnsi="Cambria"/>
                <w:color w:val="222222"/>
                <w:sz w:val="17"/>
              </w:rPr>
              <w:t>One observation’s Level-2 FITS bundle</w:t>
            </w:r>
          </w:p>
        </w:tc>
        <w:tc>
          <w:tcPr>
            <w:tcW w:type="dxa" w:w="2438"/>
            <w:tcMar>
              <w:top w:w="80" w:type="dxa"/>
              <w:start w:w="90" w:type="dxa"/>
              <w:bottom w:w="80" w:type="dxa"/>
              <w:end w:w="90" w:type="dxa"/>
            </w:tcMar>
            <w:vAlign w:val="top"/>
          </w:tcPr>
          <w:p>
            <w:pPr>
              <w:spacing w:after="0"/>
            </w:pPr>
            <w:r>
              <w:rPr>
                <w:rFonts w:ascii="Cambria" w:hAnsi="Cambria"/>
                <w:color w:val="222222"/>
                <w:sz w:val="17"/>
              </w:rPr>
              <w:t>Validated product inventory</w:t>
            </w:r>
          </w:p>
        </w:tc>
        <w:tc>
          <w:tcPr>
            <w:tcW w:type="dxa" w:w="2438"/>
            <w:tcMar>
              <w:top w:w="80" w:type="dxa"/>
              <w:start w:w="90" w:type="dxa"/>
              <w:bottom w:w="80" w:type="dxa"/>
              <w:end w:w="90" w:type="dxa"/>
            </w:tcMar>
            <w:vAlign w:val="top"/>
          </w:tcPr>
          <w:p>
            <w:pPr>
              <w:spacing w:after="0"/>
            </w:pPr>
            <w:r>
              <w:rPr>
                <w:rFonts w:ascii="Cambria" w:hAnsi="Cambria"/>
                <w:color w:val="222222"/>
                <w:sz w:val="17"/>
              </w:rPr>
              <w:t>Missing or malformed products must be reported, not silently imputed as physical measurements</w:t>
            </w:r>
          </w:p>
        </w:tc>
      </w:tr>
      <w:tr>
        <w:tc>
          <w:tcPr>
            <w:tcW w:type="dxa" w:w="2438"/>
            <w:tcMar>
              <w:top w:w="80" w:type="dxa"/>
              <w:start w:w="90" w:type="dxa"/>
              <w:bottom w:w="80" w:type="dxa"/>
              <w:end w:w="90" w:type="dxa"/>
            </w:tcMar>
            <w:vAlign w:val="top"/>
            <w:shd w:fill="F2F2F2"/>
          </w:tcPr>
          <w:p>
            <w:pPr>
              <w:spacing w:after="0"/>
            </w:pPr>
            <w:r>
              <w:rPr>
                <w:rFonts w:ascii="Cambria" w:hAnsi="Cambria"/>
                <w:color w:val="222222"/>
                <w:sz w:val="17"/>
              </w:rPr>
              <w:t>Feature representation</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Exposure, energy-resolved azimuthal, source azimuth, timing and detector-wise products</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Interpretable observation-level feature vector</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Each feature must retain its source product and measurement meaning</w:t>
            </w:r>
          </w:p>
        </w:tc>
      </w:tr>
      <w:tr>
        <w:tc>
          <w:tcPr>
            <w:tcW w:type="dxa" w:w="2438"/>
            <w:tcMar>
              <w:top w:w="80" w:type="dxa"/>
              <w:start w:w="90" w:type="dxa"/>
              <w:bottom w:w="80" w:type="dxa"/>
              <w:end w:w="90" w:type="dxa"/>
            </w:tcMar>
            <w:vAlign w:val="top"/>
          </w:tcPr>
          <w:p>
            <w:pPr>
              <w:spacing w:after="0"/>
            </w:pPr>
            <w:r>
              <w:rPr>
                <w:rFonts w:ascii="Cambria" w:hAnsi="Cambria"/>
                <w:color w:val="222222"/>
                <w:sz w:val="17"/>
              </w:rPr>
              <w:t>Unsupervised screening</w:t>
            </w:r>
          </w:p>
        </w:tc>
        <w:tc>
          <w:tcPr>
            <w:tcW w:type="dxa" w:w="2438"/>
            <w:tcMar>
              <w:top w:w="80" w:type="dxa"/>
              <w:start w:w="90" w:type="dxa"/>
              <w:bottom w:w="80" w:type="dxa"/>
              <w:end w:w="90" w:type="dxa"/>
            </w:tcMar>
            <w:vAlign w:val="top"/>
          </w:tcPr>
          <w:p>
            <w:pPr>
              <w:spacing w:after="0"/>
            </w:pPr>
            <w:r>
              <w:rPr>
                <w:rFonts w:ascii="Cambria" w:hAnsi="Cambria"/>
                <w:color w:val="222222"/>
                <w:sz w:val="17"/>
              </w:rPr>
              <w:t>Scaled feature matrix across observations</w:t>
            </w:r>
          </w:p>
        </w:tc>
        <w:tc>
          <w:tcPr>
            <w:tcW w:type="dxa" w:w="2438"/>
            <w:tcMar>
              <w:top w:w="80" w:type="dxa"/>
              <w:start w:w="90" w:type="dxa"/>
              <w:bottom w:w="80" w:type="dxa"/>
              <w:end w:w="90" w:type="dxa"/>
            </w:tcMar>
            <w:vAlign w:val="top"/>
          </w:tcPr>
          <w:p>
            <w:pPr>
              <w:spacing w:after="0"/>
            </w:pPr>
            <w:r>
              <w:rPr>
                <w:rFonts w:ascii="Cambria" w:hAnsi="Cambria"/>
                <w:color w:val="222222"/>
                <w:sz w:val="17"/>
              </w:rPr>
              <w:t>Relative ranking, grouping or review flag</w:t>
            </w:r>
          </w:p>
        </w:tc>
        <w:tc>
          <w:tcPr>
            <w:tcW w:type="dxa" w:w="2438"/>
            <w:tcMar>
              <w:top w:w="80" w:type="dxa"/>
              <w:start w:w="90" w:type="dxa"/>
              <w:bottom w:w="80" w:type="dxa"/>
              <w:end w:w="90" w:type="dxa"/>
            </w:tcMar>
            <w:vAlign w:val="top"/>
          </w:tcPr>
          <w:p>
            <w:pPr>
              <w:spacing w:after="0"/>
            </w:pPr>
            <w:r>
              <w:rPr>
                <w:rFonts w:ascii="Cambria" w:hAnsi="Cambria"/>
                <w:color w:val="222222"/>
                <w:sz w:val="17"/>
              </w:rPr>
              <w:t>The output is not a source class or discovery</w:t>
            </w:r>
          </w:p>
        </w:tc>
      </w:tr>
      <w:tr>
        <w:tc>
          <w:tcPr>
            <w:tcW w:type="dxa" w:w="2438"/>
            <w:tcMar>
              <w:top w:w="80" w:type="dxa"/>
              <w:start w:w="90" w:type="dxa"/>
              <w:bottom w:w="80" w:type="dxa"/>
              <w:end w:w="90" w:type="dxa"/>
            </w:tcMar>
            <w:vAlign w:val="top"/>
            <w:shd w:fill="F2F2F2"/>
          </w:tcPr>
          <w:p>
            <w:pPr>
              <w:spacing w:after="0"/>
            </w:pPr>
            <w:r>
              <w:rPr>
                <w:rFonts w:ascii="Cambria" w:hAnsi="Cambria"/>
                <w:color w:val="222222"/>
                <w:sz w:val="17"/>
              </w:rPr>
              <w:t>Product-aware explanation</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Score, feature values and transparent reference statistics</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Feature-level and product-level reasons</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Contribution is association with the score, not physical causation</w:t>
            </w:r>
          </w:p>
        </w:tc>
      </w:tr>
      <w:tr>
        <w:tc>
          <w:tcPr>
            <w:tcW w:type="dxa" w:w="2438"/>
            <w:tcMar>
              <w:top w:w="80" w:type="dxa"/>
              <w:start w:w="90" w:type="dxa"/>
              <w:bottom w:w="80" w:type="dxa"/>
              <w:end w:w="90" w:type="dxa"/>
            </w:tcMar>
            <w:vAlign w:val="top"/>
          </w:tcPr>
          <w:p>
            <w:pPr>
              <w:spacing w:after="0"/>
            </w:pPr>
            <w:r>
              <w:rPr>
                <w:rFonts w:ascii="Cambria" w:hAnsi="Cambria"/>
                <w:color w:val="222222"/>
                <w:sz w:val="17"/>
              </w:rPr>
              <w:t>Physical diagnostic</w:t>
            </w:r>
          </w:p>
        </w:tc>
        <w:tc>
          <w:tcPr>
            <w:tcW w:type="dxa" w:w="2438"/>
            <w:tcMar>
              <w:top w:w="80" w:type="dxa"/>
              <w:start w:w="90" w:type="dxa"/>
              <w:bottom w:w="80" w:type="dxa"/>
              <w:end w:w="90" w:type="dxa"/>
            </w:tcMar>
            <w:vAlign w:val="top"/>
          </w:tcPr>
          <w:p>
            <w:pPr>
              <w:spacing w:after="0"/>
            </w:pPr>
            <w:r>
              <w:rPr>
                <w:rFonts w:ascii="Cambria" w:hAnsi="Cambria"/>
                <w:color w:val="222222"/>
                <w:sz w:val="17"/>
              </w:rPr>
              <w:t>WeightedRoll and suitable blank-sky context</w:t>
            </w:r>
          </w:p>
        </w:tc>
        <w:tc>
          <w:tcPr>
            <w:tcW w:type="dxa" w:w="2438"/>
            <w:tcMar>
              <w:top w:w="80" w:type="dxa"/>
              <w:start w:w="90" w:type="dxa"/>
              <w:bottom w:w="80" w:type="dxa"/>
              <w:end w:w="90" w:type="dxa"/>
            </w:tcMar>
            <w:vAlign w:val="top"/>
          </w:tcPr>
          <w:p>
            <w:pPr>
              <w:spacing w:after="0"/>
            </w:pPr>
            <w:r>
              <w:rPr>
                <w:rFonts w:ascii="Cambria" w:hAnsi="Cambria"/>
                <w:color w:val="222222"/>
                <w:sz w:val="17"/>
              </w:rPr>
              <w:t>Raw/fitted modulation evidence and quality note</w:t>
            </w:r>
          </w:p>
        </w:tc>
        <w:tc>
          <w:tcPr>
            <w:tcW w:type="dxa" w:w="2438"/>
            <w:tcMar>
              <w:top w:w="80" w:type="dxa"/>
              <w:start w:w="90" w:type="dxa"/>
              <w:bottom w:w="80" w:type="dxa"/>
              <w:end w:w="90" w:type="dxa"/>
            </w:tcMar>
            <w:vAlign w:val="top"/>
          </w:tcPr>
          <w:p>
            <w:pPr>
              <w:spacing w:after="0"/>
            </w:pPr>
            <w:r>
              <w:rPr>
                <w:rFonts w:ascii="Cambria" w:hAnsi="Cambria"/>
                <w:color w:val="222222"/>
                <w:sz w:val="17"/>
              </w:rPr>
              <w:t>No final calibrated PD or official PA without the required mission calibration</w:t>
            </w:r>
          </w:p>
        </w:tc>
      </w:tr>
      <w:tr>
        <w:tc>
          <w:tcPr>
            <w:tcW w:type="dxa" w:w="2438"/>
            <w:tcMar>
              <w:top w:w="80" w:type="dxa"/>
              <w:start w:w="90" w:type="dxa"/>
              <w:bottom w:w="80" w:type="dxa"/>
              <w:end w:w="90" w:type="dxa"/>
            </w:tcMar>
            <w:vAlign w:val="top"/>
            <w:shd w:fill="F2F2F2"/>
          </w:tcPr>
          <w:p>
            <w:pPr>
              <w:spacing w:after="0"/>
            </w:pPr>
            <w:r>
              <w:rPr>
                <w:rFonts w:ascii="Cambria" w:hAnsi="Cambria"/>
                <w:color w:val="222222"/>
                <w:sz w:val="17"/>
              </w:rPr>
              <w:t>Researcher presentation</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Both evidence branches plus provenance</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Prioritized observations and traceable review notes</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Expert validation remains the decision point</w:t>
            </w:r>
          </w:p>
        </w:tc>
      </w:tr>
    </w:tbl>
    <w:p>
      <w:pPr>
        <w:spacing w:after="20"/>
      </w:pPr>
    </w:p>
    <w:p>
      <w:pPr>
        <w:pStyle w:val="Heading1"/>
      </w:pPr>
      <w:r>
        <w:rPr>
          <w:rFonts w:ascii="Cambria" w:hAnsi="Cambria"/>
          <w:color w:val="17365D"/>
        </w:rPr>
        <w:t>7. Architecture Diagram Explanation</w:t>
      </w:r>
    </w:p>
    <w:p>
      <w:pPr>
        <w:pStyle w:val="Heading2"/>
      </w:pPr>
      <w:r>
        <w:rPr>
          <w:rFonts w:ascii="Cambria" w:hAnsi="Cambria"/>
          <w:color w:val="17365D"/>
        </w:rPr>
        <w:t>7.1 POLIX Level-2 Observation Bundle</w:t>
      </w:r>
    </w:p>
    <w:p>
      <w:pPr>
        <w:pStyle w:val="BodyText"/>
        <w:jc w:val="both"/>
      </w:pPr>
      <w:r>
        <w:rPr>
          <w:rFonts w:ascii="Cambria" w:hAnsi="Cambria"/>
          <w:color w:val="222222"/>
          <w:sz w:val="21"/>
        </w:rPr>
        <w:t>One observation is not represented by a single table. It is a bundle of products describing exposure, azimuthal distributions, time variation, detector-wise behaviour and the WeightedRoll modulation curve. The first responsibility of the framework is therefore to recognize the observation as a structured collection rather than as unrelated files.</w:t>
      </w:r>
    </w:p>
    <w:p>
      <w:pPr>
        <w:pStyle w:val="Heading2"/>
      </w:pPr>
      <w:r>
        <w:rPr>
          <w:rFonts w:ascii="Cambria" w:hAnsi="Cambria"/>
          <w:color w:val="17365D"/>
        </w:rPr>
        <w:t>7.2 Product Inventory and Integrity Checks</w:t>
      </w:r>
    </w:p>
    <w:p>
      <w:pPr>
        <w:pStyle w:val="BodyText"/>
        <w:jc w:val="both"/>
      </w:pPr>
      <w:r>
        <w:rPr>
          <w:rFonts w:ascii="Cambria" w:hAnsi="Cambria"/>
          <w:color w:val="222222"/>
          <w:sz w:val="21"/>
        </w:rPr>
        <w:t>The project aims to verify that expected products exist, identify their dimensions and units, and record missing or non-comparable files. This stage protects later analysis from treating a data-quality issue as an astrophysical anomaly. The output should be a traceable manifest that links every derived feature to its source FITS product.</w:t>
      </w:r>
    </w:p>
    <w:p>
      <w:pPr>
        <w:pStyle w:val="Heading2"/>
      </w:pPr>
      <w:r>
        <w:rPr>
          <w:rFonts w:ascii="Cambria" w:hAnsi="Cambria"/>
          <w:color w:val="17365D"/>
        </w:rPr>
        <w:t>7.3 Scientifically Interpretable Feature Representation</w:t>
      </w:r>
    </w:p>
    <w:p>
      <w:pPr>
        <w:pStyle w:val="BodyText"/>
        <w:jc w:val="both"/>
      </w:pPr>
      <w:r>
        <w:rPr>
          <w:rFonts w:ascii="Cambria" w:hAnsi="Cambria"/>
          <w:color w:val="222222"/>
          <w:sz w:val="21"/>
        </w:rPr>
        <w:t>Features should summarize observable behaviour without discarding the identity of the product from which they came. Candidate feature groups include exposure coverage and non-uniformity, energy–azimuth distribution summaries, source-azimuth shape, light-curve variability and detector balance. Feature definitions must remain reproducible and understandable to an astronomy reviewer.</w:t>
      </w:r>
    </w:p>
    <w:p>
      <w:pPr>
        <w:pStyle w:val="Heading2"/>
      </w:pPr>
      <w:r>
        <w:rPr>
          <w:rFonts w:ascii="Cambria" w:hAnsi="Cambria"/>
          <w:color w:val="17365D"/>
        </w:rPr>
        <w:t>7.4 Preprocessing and Dataset-Level Context</w:t>
      </w:r>
    </w:p>
    <w:p>
      <w:pPr>
        <w:pStyle w:val="BodyText"/>
        <w:jc w:val="both"/>
      </w:pPr>
      <w:r>
        <w:rPr>
          <w:rFonts w:ascii="Cambria" w:hAnsi="Cambria"/>
          <w:color w:val="222222"/>
          <w:sz w:val="21"/>
        </w:rPr>
        <w:t>Because features have different numerical scales, a transparent scaling strategy is needed before distance-based or partition-based methods are compared. Missing values, extreme values and low-variance variables require explicit handling. In a small dataset, the effect of each preprocessing decision should be examined through stability checks rather than hidden in an automated pipeline.</w:t>
      </w:r>
    </w:p>
    <w:p>
      <w:pPr>
        <w:pStyle w:val="Heading2"/>
      </w:pPr>
      <w:r>
        <w:rPr>
          <w:rFonts w:ascii="Cambria" w:hAnsi="Cambria"/>
          <w:color w:val="17365D"/>
        </w:rPr>
        <w:t>7.5 Exploratory Structure: PCA and Clustering</w:t>
      </w:r>
    </w:p>
    <w:p>
      <w:pPr>
        <w:pStyle w:val="BodyText"/>
        <w:jc w:val="both"/>
      </w:pPr>
      <w:r>
        <w:rPr>
          <w:rFonts w:ascii="Cambria" w:hAnsi="Cambria"/>
          <w:color w:val="222222"/>
          <w:sz w:val="21"/>
        </w:rPr>
        <w:t>PCA may reveal correlated feature groups and provide a low-dimensional view of observation structure. KMeans or another justified clustering method may test whether broad groupings exist. These tools are exploratory: a principal component is not a physical law, and a cluster is not automatically an astrophysical class.</w:t>
      </w:r>
    </w:p>
    <w:p>
      <w:pPr>
        <w:pStyle w:val="Heading2"/>
      </w:pPr>
      <w:r>
        <w:rPr>
          <w:rFonts w:ascii="Cambria" w:hAnsi="Cambria"/>
          <w:color w:val="17365D"/>
        </w:rPr>
        <w:t>7.6 Unsupervised Observation Screening</w:t>
      </w:r>
    </w:p>
    <w:p>
      <w:pPr>
        <w:pStyle w:val="BodyText"/>
        <w:jc w:val="both"/>
      </w:pPr>
      <w:r>
        <w:rPr>
          <w:rFonts w:ascii="Cambria" w:hAnsi="Cambria"/>
          <w:color w:val="222222"/>
          <w:sz w:val="21"/>
        </w:rPr>
        <w:t>Isolation Forest is a suitable candidate because it does not require labelled anomalies and can rank multivariate observations by how readily they are isolated [14]. The project may compare it with distance- or cluster-based evidence where dataset size permits. Rankings should be examined across seeds, feature subsets or parameter choices because a small archive can produce unstable boundaries.</w:t>
      </w:r>
    </w:p>
    <w:p>
      <w:pPr>
        <w:pStyle w:val="Heading2"/>
      </w:pPr>
      <w:r>
        <w:rPr>
          <w:rFonts w:ascii="Cambria" w:hAnsi="Cambria"/>
          <w:color w:val="17365D"/>
        </w:rPr>
        <w:t>7.7 Product-Aware Explanation</w:t>
      </w:r>
    </w:p>
    <w:p>
      <w:pPr>
        <w:pStyle w:val="BodyText"/>
        <w:jc w:val="both"/>
      </w:pPr>
      <w:r>
        <w:rPr>
          <w:rFonts w:ascii="Cambria" w:hAnsi="Cambria"/>
          <w:color w:val="222222"/>
          <w:sz w:val="21"/>
        </w:rPr>
        <w:t>The explanation layer is intended to answer three practical questions: which features influenced the unusualness score, how those values differ from a transparent reference, and which original Level-2 product should be inspected. This differs from generic feature importance because the explanation must preserve scientific provenance. The project does not use SHAP merely because the initial Chandra paper used it; explanation should match the unsupervised detector and the small-data setting.</w:t>
      </w:r>
    </w:p>
    <w:p>
      <w:pPr>
        <w:pStyle w:val="Heading2"/>
      </w:pPr>
      <w:r>
        <w:rPr>
          <w:rFonts w:ascii="Cambria" w:hAnsi="Cambria"/>
          <w:color w:val="17365D"/>
        </w:rPr>
        <w:t>7.8 Independent WeightedRoll Diagnostic</w:t>
      </w:r>
    </w:p>
    <w:p>
      <w:pPr>
        <w:pStyle w:val="BodyText"/>
        <w:jc w:val="both"/>
      </w:pPr>
      <w:r>
        <w:rPr>
          <w:rFonts w:ascii="Cambria" w:hAnsi="Cambria"/>
          <w:color w:val="222222"/>
          <w:sz w:val="21"/>
        </w:rPr>
        <w:t>WeightedRoll is reserved for a separate physical branch. A two-fold azimuthal model or Stokes-oriented representation may summarize raw modulation, phase and fit quality. The product contains source and background contributions, so raw amplitude is not automatically calibrated polarization degree, and fitted phase is not automatically official sky polarization angle [2], [8]. Blank-sky comparison can reveal background-like structure but may not be a perfect source-specific subtraction.</w:t>
      </w:r>
    </w:p>
    <w:p>
      <w:pPr>
        <w:pStyle w:val="Heading2"/>
      </w:pPr>
      <w:r>
        <w:rPr>
          <w:rFonts w:ascii="Cambria" w:hAnsi="Cambria"/>
          <w:color w:val="17365D"/>
        </w:rPr>
        <w:t>7.9 Researcher Review and Cautious Interpretation</w:t>
      </w:r>
    </w:p>
    <w:p>
      <w:pPr>
        <w:pStyle w:val="BodyText"/>
        <w:jc w:val="both"/>
      </w:pPr>
      <w:r>
        <w:rPr>
          <w:rFonts w:ascii="Cambria" w:hAnsi="Cambria"/>
          <w:color w:val="222222"/>
          <w:sz w:val="21"/>
        </w:rPr>
        <w:t>The final view should display statistical evidence and physical diagnostic evidence side by side, not collapse them into one discovery label. A researcher should be able to return from a score to the feature, from the feature to the product, and from the product to the relevant plot or FITS content. Expert review determines whether the observation warrants calibration checks, source-specific analysis, additional background work or follow-up.</w:t>
      </w:r>
    </w:p>
    <w:p>
      <w:pPr>
        <w:pStyle w:val="Heading1"/>
      </w:pPr>
      <w:r>
        <w:rPr>
          <w:rFonts w:ascii="Cambria" w:hAnsi="Cambria"/>
          <w:color w:val="17365D"/>
        </w:rPr>
        <w:t>8. Product-to-Feature Understanding for the Team</w:t>
      </w:r>
    </w:p>
    <w:tbl>
      <w:tblPr>
        <w:tblW w:type="auto" w:w="0"/>
        <w:jc w:val="center"/>
        <w:tblLayout w:type="autofit"/>
        <w:tblLook w:firstColumn="1" w:firstRow="1" w:lastColumn="0" w:lastRow="0" w:noHBand="0" w:noVBand="1" w:val="04A0"/>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Pr>
      <w:tblGrid>
        <w:gridCol w:w="2438"/>
        <w:gridCol w:w="2438"/>
        <w:gridCol w:w="2438"/>
        <w:gridCol w:w="2438"/>
      </w:tblGrid>
      <w:tr>
        <w:trPr>
          <w:tblHeader w:val="true"/>
        </w:trPr>
        <w:tc>
          <w:tcPr>
            <w:tcW w:type="dxa" w:w="2438"/>
            <w:shd w:fill="1F4E78"/>
            <w:tcMar>
              <w:top w:w="80" w:type="dxa"/>
              <w:start w:w="90" w:type="dxa"/>
              <w:bottom w:w="80" w:type="dxa"/>
              <w:end w:w="90" w:type="dxa"/>
            </w:tcMar>
            <w:vAlign w:val="center"/>
          </w:tcPr>
          <w:p>
            <w:pPr>
              <w:jc w:val="center"/>
            </w:pPr>
            <w:r>
              <w:rPr>
                <w:rFonts w:ascii="Cambria" w:hAnsi="Cambria"/>
                <w:b/>
                <w:color w:val="FFFFFF"/>
                <w:sz w:val="16"/>
              </w:rPr>
              <w:t>Product family</w:t>
            </w:r>
          </w:p>
        </w:tc>
        <w:tc>
          <w:tcPr>
            <w:tcW w:type="dxa" w:w="2438"/>
            <w:shd w:fill="1F4E78"/>
            <w:tcMar>
              <w:top w:w="80" w:type="dxa"/>
              <w:start w:w="90" w:type="dxa"/>
              <w:bottom w:w="80" w:type="dxa"/>
              <w:end w:w="90" w:type="dxa"/>
            </w:tcMar>
            <w:vAlign w:val="center"/>
          </w:tcPr>
          <w:p>
            <w:pPr>
              <w:jc w:val="center"/>
            </w:pPr>
            <w:r>
              <w:rPr>
                <w:rFonts w:ascii="Cambria" w:hAnsi="Cambria"/>
                <w:b/>
                <w:color w:val="FFFFFF"/>
                <w:sz w:val="16"/>
              </w:rPr>
              <w:t>What it represents</w:t>
            </w:r>
          </w:p>
        </w:tc>
        <w:tc>
          <w:tcPr>
            <w:tcW w:type="dxa" w:w="2438"/>
            <w:shd w:fill="1F4E78"/>
            <w:tcMar>
              <w:top w:w="80" w:type="dxa"/>
              <w:start w:w="90" w:type="dxa"/>
              <w:bottom w:w="80" w:type="dxa"/>
              <w:end w:w="90" w:type="dxa"/>
            </w:tcMar>
            <w:vAlign w:val="center"/>
          </w:tcPr>
          <w:p>
            <w:pPr>
              <w:jc w:val="center"/>
            </w:pPr>
            <w:r>
              <w:rPr>
                <w:rFonts w:ascii="Cambria" w:hAnsi="Cambria"/>
                <w:b/>
                <w:color w:val="FFFFFF"/>
                <w:sz w:val="16"/>
              </w:rPr>
              <w:t>Candidate summaries for proposed screening</w:t>
            </w:r>
          </w:p>
        </w:tc>
        <w:tc>
          <w:tcPr>
            <w:tcW w:type="dxa" w:w="2438"/>
            <w:shd w:fill="1F4E78"/>
            <w:tcMar>
              <w:top w:w="80" w:type="dxa"/>
              <w:start w:w="90" w:type="dxa"/>
              <w:bottom w:w="80" w:type="dxa"/>
              <w:end w:w="90" w:type="dxa"/>
            </w:tcMar>
            <w:vAlign w:val="center"/>
          </w:tcPr>
          <w:p>
            <w:pPr>
              <w:jc w:val="center"/>
            </w:pPr>
            <w:r>
              <w:rPr>
                <w:rFonts w:ascii="Cambria" w:hAnsi="Cambria"/>
                <w:b/>
                <w:color w:val="FFFFFF"/>
                <w:sz w:val="16"/>
              </w:rPr>
              <w:t>What it must not be claimed to prove</w:t>
            </w:r>
          </w:p>
        </w:tc>
      </w:tr>
      <w:tr>
        <w:tc>
          <w:tcPr>
            <w:tcW w:type="dxa" w:w="2438"/>
            <w:tcMar>
              <w:top w:w="80" w:type="dxa"/>
              <w:start w:w="90" w:type="dxa"/>
              <w:bottom w:w="80" w:type="dxa"/>
              <w:end w:w="90" w:type="dxa"/>
            </w:tcMar>
            <w:vAlign w:val="top"/>
          </w:tcPr>
          <w:p>
            <w:pPr>
              <w:spacing w:after="0"/>
            </w:pPr>
            <w:r>
              <w:rPr>
                <w:rFonts w:ascii="Cambria" w:hAnsi="Cambria"/>
                <w:color w:val="222222"/>
                <w:sz w:val="17"/>
              </w:rPr>
              <w:t>Exposure-related azimuth/roll products</w:t>
            </w:r>
          </w:p>
        </w:tc>
        <w:tc>
          <w:tcPr>
            <w:tcW w:type="dxa" w:w="2438"/>
            <w:tcMar>
              <w:top w:w="80" w:type="dxa"/>
              <w:start w:w="90" w:type="dxa"/>
              <w:bottom w:w="80" w:type="dxa"/>
              <w:end w:w="90" w:type="dxa"/>
            </w:tcMar>
            <w:vAlign w:val="top"/>
          </w:tcPr>
          <w:p>
            <w:pPr>
              <w:spacing w:after="0"/>
            </w:pPr>
            <w:r>
              <w:rPr>
                <w:rFonts w:ascii="Cambria" w:hAnsi="Cambria"/>
                <w:color w:val="222222"/>
                <w:sz w:val="17"/>
              </w:rPr>
              <w:t>How observing exposure is distributed with spacecraft orientation</w:t>
            </w:r>
          </w:p>
        </w:tc>
        <w:tc>
          <w:tcPr>
            <w:tcW w:type="dxa" w:w="2438"/>
            <w:tcMar>
              <w:top w:w="80" w:type="dxa"/>
              <w:start w:w="90" w:type="dxa"/>
              <w:bottom w:w="80" w:type="dxa"/>
              <w:end w:w="90" w:type="dxa"/>
            </w:tcMar>
            <w:vAlign w:val="top"/>
          </w:tcPr>
          <w:p>
            <w:pPr>
              <w:spacing w:after="0"/>
            </w:pPr>
            <w:r>
              <w:rPr>
                <w:rFonts w:ascii="Cambria" w:hAnsi="Cambria"/>
                <w:color w:val="222222"/>
                <w:sz w:val="17"/>
              </w:rPr>
              <w:t>coverage, uniformity, gaps, concentration or dispersion</w:t>
            </w:r>
          </w:p>
        </w:tc>
        <w:tc>
          <w:tcPr>
            <w:tcW w:type="dxa" w:w="2438"/>
            <w:tcMar>
              <w:top w:w="80" w:type="dxa"/>
              <w:start w:w="90" w:type="dxa"/>
              <w:bottom w:w="80" w:type="dxa"/>
              <w:end w:w="90" w:type="dxa"/>
            </w:tcMar>
            <w:vAlign w:val="top"/>
          </w:tcPr>
          <w:p>
            <w:pPr>
              <w:spacing w:after="0"/>
            </w:pPr>
            <w:r>
              <w:rPr>
                <w:rFonts w:ascii="Cambria" w:hAnsi="Cambria"/>
                <w:color w:val="222222"/>
                <w:sz w:val="17"/>
              </w:rPr>
              <w:t>source polarization</w:t>
            </w:r>
          </w:p>
        </w:tc>
      </w:tr>
      <w:tr>
        <w:tc>
          <w:tcPr>
            <w:tcW w:type="dxa" w:w="2438"/>
            <w:tcMar>
              <w:top w:w="80" w:type="dxa"/>
              <w:start w:w="90" w:type="dxa"/>
              <w:bottom w:w="80" w:type="dxa"/>
              <w:end w:w="90" w:type="dxa"/>
            </w:tcMar>
            <w:vAlign w:val="top"/>
            <w:shd w:fill="F2F2F2"/>
          </w:tcPr>
          <w:p>
            <w:pPr>
              <w:spacing w:after="0"/>
            </w:pPr>
            <w:r>
              <w:rPr>
                <w:rFonts w:ascii="Cambria" w:hAnsi="Cambria"/>
                <w:color w:val="222222"/>
                <w:sz w:val="17"/>
              </w:rPr>
              <w:t>Energy-resolved source azimuth product</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Count structure across detector/anode, energy channel and azimuth</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band-wise counts, concentration, contrast or shape summaries</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calibrated spectroscopy or PD</w:t>
            </w:r>
          </w:p>
        </w:tc>
      </w:tr>
      <w:tr>
        <w:tc>
          <w:tcPr>
            <w:tcW w:type="dxa" w:w="2438"/>
            <w:tcMar>
              <w:top w:w="80" w:type="dxa"/>
              <w:start w:w="90" w:type="dxa"/>
              <w:bottom w:w="80" w:type="dxa"/>
              <w:end w:w="90" w:type="dxa"/>
            </w:tcMar>
            <w:vAlign w:val="top"/>
          </w:tcPr>
          <w:p>
            <w:pPr>
              <w:spacing w:after="0"/>
            </w:pPr>
            <w:r>
              <w:rPr>
                <w:rFonts w:ascii="Cambria" w:hAnsi="Cambria"/>
                <w:color w:val="222222"/>
                <w:sz w:val="17"/>
              </w:rPr>
              <w:t>Source azimuth profile</w:t>
            </w:r>
          </w:p>
        </w:tc>
        <w:tc>
          <w:tcPr>
            <w:tcW w:type="dxa" w:w="2438"/>
            <w:tcMar>
              <w:top w:w="80" w:type="dxa"/>
              <w:start w:w="90" w:type="dxa"/>
              <w:bottom w:w="80" w:type="dxa"/>
              <w:end w:w="90" w:type="dxa"/>
            </w:tcMar>
            <w:vAlign w:val="top"/>
          </w:tcPr>
          <w:p>
            <w:pPr>
              <w:spacing w:after="0"/>
            </w:pPr>
            <w:r>
              <w:rPr>
                <w:rFonts w:ascii="Cambria" w:hAnsi="Cambria"/>
                <w:color w:val="222222"/>
                <w:sz w:val="17"/>
              </w:rPr>
              <w:t>Distribution of source counts with azimuth/anode</w:t>
            </w:r>
          </w:p>
        </w:tc>
        <w:tc>
          <w:tcPr>
            <w:tcW w:type="dxa" w:w="2438"/>
            <w:tcMar>
              <w:top w:w="80" w:type="dxa"/>
              <w:start w:w="90" w:type="dxa"/>
              <w:bottom w:w="80" w:type="dxa"/>
              <w:end w:w="90" w:type="dxa"/>
            </w:tcMar>
            <w:vAlign w:val="top"/>
          </w:tcPr>
          <w:p>
            <w:pPr>
              <w:spacing w:after="0"/>
            </w:pPr>
            <w:r>
              <w:rPr>
                <w:rFonts w:ascii="Cambria" w:hAnsi="Cambria"/>
                <w:color w:val="222222"/>
                <w:sz w:val="17"/>
              </w:rPr>
              <w:t>symmetry, variation, peaks, distribution shape</w:t>
            </w:r>
          </w:p>
        </w:tc>
        <w:tc>
          <w:tcPr>
            <w:tcW w:type="dxa" w:w="2438"/>
            <w:tcMar>
              <w:top w:w="80" w:type="dxa"/>
              <w:start w:w="90" w:type="dxa"/>
              <w:bottom w:w="80" w:type="dxa"/>
              <w:end w:w="90" w:type="dxa"/>
            </w:tcMar>
            <w:vAlign w:val="top"/>
          </w:tcPr>
          <w:p>
            <w:pPr>
              <w:spacing w:after="0"/>
            </w:pPr>
            <w:r>
              <w:rPr>
                <w:rFonts w:ascii="Cambria" w:hAnsi="Cambria"/>
                <w:color w:val="222222"/>
                <w:sz w:val="17"/>
              </w:rPr>
              <w:t>official polarization measurement</w:t>
            </w:r>
          </w:p>
        </w:tc>
      </w:tr>
      <w:tr>
        <w:tc>
          <w:tcPr>
            <w:tcW w:type="dxa" w:w="2438"/>
            <w:tcMar>
              <w:top w:w="80" w:type="dxa"/>
              <w:start w:w="90" w:type="dxa"/>
              <w:bottom w:w="80" w:type="dxa"/>
              <w:end w:w="90" w:type="dxa"/>
            </w:tcMar>
            <w:vAlign w:val="top"/>
            <w:shd w:fill="F2F2F2"/>
          </w:tcPr>
          <w:p>
            <w:pPr>
              <w:spacing w:after="0"/>
            </w:pPr>
            <w:r>
              <w:rPr>
                <w:rFonts w:ascii="Cambria" w:hAnsi="Cambria"/>
                <w:color w:val="222222"/>
                <w:sz w:val="17"/>
              </w:rPr>
              <w:t>Source light curve</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Count behaviour with time</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mean rate, dispersion, fractional variability, excursions or gaps</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a unique physical cause</w:t>
            </w:r>
          </w:p>
        </w:tc>
      </w:tr>
      <w:tr>
        <w:tc>
          <w:tcPr>
            <w:tcW w:type="dxa" w:w="2438"/>
            <w:tcMar>
              <w:top w:w="80" w:type="dxa"/>
              <w:start w:w="90" w:type="dxa"/>
              <w:bottom w:w="80" w:type="dxa"/>
              <w:end w:w="90" w:type="dxa"/>
            </w:tcMar>
            <w:vAlign w:val="top"/>
          </w:tcPr>
          <w:p>
            <w:pPr>
              <w:spacing w:after="0"/>
            </w:pPr>
            <w:r>
              <w:rPr>
                <w:rFonts w:ascii="Cambria" w:hAnsi="Cambria"/>
                <w:color w:val="222222"/>
                <w:sz w:val="17"/>
              </w:rPr>
              <w:t>Detector-wise light curves and spectra</w:t>
            </w:r>
          </w:p>
        </w:tc>
        <w:tc>
          <w:tcPr>
            <w:tcW w:type="dxa" w:w="2438"/>
            <w:tcMar>
              <w:top w:w="80" w:type="dxa"/>
              <w:start w:w="90" w:type="dxa"/>
              <w:bottom w:w="80" w:type="dxa"/>
              <w:end w:w="90" w:type="dxa"/>
            </w:tcMar>
            <w:vAlign w:val="top"/>
          </w:tcPr>
          <w:p>
            <w:pPr>
              <w:spacing w:after="0"/>
            </w:pPr>
            <w:r>
              <w:rPr>
                <w:rFonts w:ascii="Cambria" w:hAnsi="Cambria"/>
                <w:color w:val="222222"/>
                <w:sz w:val="17"/>
              </w:rPr>
              <w:t>Relative behaviour of individual detectors</w:t>
            </w:r>
          </w:p>
        </w:tc>
        <w:tc>
          <w:tcPr>
            <w:tcW w:type="dxa" w:w="2438"/>
            <w:tcMar>
              <w:top w:w="80" w:type="dxa"/>
              <w:start w:w="90" w:type="dxa"/>
              <w:bottom w:w="80" w:type="dxa"/>
              <w:end w:w="90" w:type="dxa"/>
            </w:tcMar>
            <w:vAlign w:val="top"/>
          </w:tcPr>
          <w:p>
            <w:pPr>
              <w:spacing w:after="0"/>
            </w:pPr>
            <w:r>
              <w:rPr>
                <w:rFonts w:ascii="Cambria" w:hAnsi="Cambria"/>
                <w:color w:val="222222"/>
                <w:sz w:val="17"/>
              </w:rPr>
              <w:t>balance, ratios, dispersion and detector-local deviation</w:t>
            </w:r>
          </w:p>
        </w:tc>
        <w:tc>
          <w:tcPr>
            <w:tcW w:type="dxa" w:w="2438"/>
            <w:tcMar>
              <w:top w:w="80" w:type="dxa"/>
              <w:start w:w="90" w:type="dxa"/>
              <w:bottom w:w="80" w:type="dxa"/>
              <w:end w:w="90" w:type="dxa"/>
            </w:tcMar>
            <w:vAlign w:val="top"/>
          </w:tcPr>
          <w:p>
            <w:pPr>
              <w:spacing w:after="0"/>
            </w:pPr>
            <w:r>
              <w:rPr>
                <w:rFonts w:ascii="Cambria" w:hAnsi="Cambria"/>
                <w:color w:val="222222"/>
                <w:sz w:val="17"/>
              </w:rPr>
              <w:t>confirmed detector failure without engineering review</w:t>
            </w:r>
          </w:p>
        </w:tc>
      </w:tr>
      <w:tr>
        <w:tc>
          <w:tcPr>
            <w:tcW w:type="dxa" w:w="2438"/>
            <w:tcMar>
              <w:top w:w="80" w:type="dxa"/>
              <w:start w:w="90" w:type="dxa"/>
              <w:bottom w:w="80" w:type="dxa"/>
              <w:end w:w="90" w:type="dxa"/>
            </w:tcMar>
            <w:vAlign w:val="top"/>
            <w:shd w:fill="F2F2F2"/>
          </w:tcPr>
          <w:p>
            <w:pPr>
              <w:spacing w:after="0"/>
            </w:pPr>
            <w:r>
              <w:rPr>
                <w:rFonts w:ascii="Cambria" w:hAnsi="Cambria"/>
                <w:color w:val="222222"/>
                <w:sz w:val="17"/>
              </w:rPr>
              <w:t>WeightedRoll modulation product</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Roll-corrected modulation-like source-plus-background count-rate distribution</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fitted two-fold amplitude/phase, Stokes-like quantities and fit-quality notes</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fully background-corrected PD or official PA</w:t>
            </w:r>
          </w:p>
        </w:tc>
      </w:tr>
    </w:tbl>
    <w:p>
      <w:pPr>
        <w:spacing w:after="20"/>
      </w:pPr>
    </w:p>
    <w:p>
      <w:pPr>
        <w:pStyle w:val="Heading2"/>
      </w:pPr>
      <w:r>
        <w:rPr>
          <w:rFonts w:ascii="Cambria" w:hAnsi="Cambria"/>
          <w:color w:val="17365D"/>
        </w:rPr>
        <w:t>8.1 Why Multiple Products Must Be Examined Together</w:t>
      </w:r>
    </w:p>
    <w:p>
      <w:pPr>
        <w:pStyle w:val="BodyText"/>
        <w:jc w:val="both"/>
      </w:pPr>
      <w:r>
        <w:rPr>
          <w:rFonts w:ascii="Cambria" w:hAnsi="Cambria"/>
          <w:color w:val="222222"/>
          <w:sz w:val="21"/>
        </w:rPr>
        <w:t>An observation can look unusual for very different reasons. Low or uneven exposure can change the apparent azimuthal distribution; a short timing excursion can dominate a light-curve statistic; one detector can shift a detector-balance feature; and background structure can influence WeightedRoll. A multi-product representation lets the screening stage indicate the family in which unusualness occurs, while the explanation prevents different causes from being treated as equivalent.</w:t>
      </w:r>
    </w:p>
    <w:p>
      <w:pPr>
        <w:pStyle w:val="Heading2"/>
      </w:pPr>
      <w:r>
        <w:rPr>
          <w:rFonts w:ascii="Cambria" w:hAnsi="Cambria"/>
          <w:color w:val="17365D"/>
        </w:rPr>
        <w:t>8.2 Why WeightedRoll Is Separate</w:t>
      </w:r>
    </w:p>
    <w:p>
      <w:pPr>
        <w:pStyle w:val="BodyText"/>
        <w:jc w:val="both"/>
      </w:pPr>
      <w:r>
        <w:rPr>
          <w:rFonts w:ascii="Cambria" w:hAnsi="Cambria"/>
          <w:color w:val="222222"/>
          <w:sz w:val="21"/>
        </w:rPr>
        <w:t>Keeping WeightedRoll outside the primary anomaly feature matrix reduces circular reasoning. If modulation strength both creates the anomaly score and is later offered as independent physical support, the two claims are not independent. The proposed separation allows the team to say: “the observation is unusual for these ML-feature reasons” and, separately, “the modulation product shows this diagnostic behaviour under stated background and calibration limitations.”</w:t>
      </w:r>
    </w:p>
    <w:p>
      <w:pPr>
        <w:pStyle w:val="Heading1"/>
      </w:pPr>
      <w:r>
        <w:rPr>
          <w:rFonts w:ascii="Cambria" w:hAnsi="Cambria"/>
          <w:color w:val="17365D"/>
        </w:rPr>
        <w:t>9. Methodological Rationale and Decision Logic</w:t>
      </w:r>
    </w:p>
    <w:p>
      <w:pPr>
        <w:pStyle w:val="Heading2"/>
      </w:pPr>
      <w:r>
        <w:rPr>
          <w:rFonts w:ascii="Cambria" w:hAnsi="Cambria"/>
          <w:color w:val="17365D"/>
        </w:rPr>
        <w:t>9.1 Why Unsupervised Learning</w:t>
      </w:r>
    </w:p>
    <w:p>
      <w:pPr>
        <w:pStyle w:val="BodyText"/>
        <w:jc w:val="both"/>
      </w:pPr>
      <w:r>
        <w:rPr>
          <w:rFonts w:ascii="Cambria" w:hAnsi="Cambria"/>
          <w:color w:val="222222"/>
          <w:sz w:val="21"/>
        </w:rPr>
        <w:t>Trusted labels such as “normal observation,” “instrument anomaly,” “background anomaly” or “astrophysical anomaly” are not assumed to exist. Constructing them would require expert review and calibration evidence that are themselves part of the research problem. Unsupervised learning is therefore appropriate for screening, provided its output is interpreted as relative unusualness rather than truth.</w:t>
      </w:r>
    </w:p>
    <w:p>
      <w:pPr>
        <w:pStyle w:val="Heading2"/>
      </w:pPr>
      <w:r>
        <w:rPr>
          <w:rFonts w:ascii="Cambria" w:hAnsi="Cambria"/>
          <w:color w:val="17365D"/>
        </w:rPr>
        <w:t>9.2 Why PCA</w:t>
      </w:r>
    </w:p>
    <w:p>
      <w:pPr>
        <w:pStyle w:val="BodyText"/>
        <w:jc w:val="both"/>
      </w:pPr>
      <w:r>
        <w:rPr>
          <w:rFonts w:ascii="Cambria" w:hAnsi="Cambria"/>
          <w:color w:val="222222"/>
          <w:sz w:val="21"/>
        </w:rPr>
        <w:t>PCA can expose redundancy among correlated feature summaries and can support a two- or three-dimensional overview. It is not mandatory as the final detector and should not be used to imply that the largest-variance component is the most scientifically meaningful quantity.</w:t>
      </w:r>
    </w:p>
    <w:p>
      <w:pPr>
        <w:pStyle w:val="Heading2"/>
      </w:pPr>
      <w:r>
        <w:rPr>
          <w:rFonts w:ascii="Cambria" w:hAnsi="Cambria"/>
          <w:color w:val="17365D"/>
        </w:rPr>
        <w:t>9.3 Why Clustering</w:t>
      </w:r>
    </w:p>
    <w:p>
      <w:pPr>
        <w:pStyle w:val="BodyText"/>
        <w:jc w:val="both"/>
      </w:pPr>
      <w:r>
        <w:rPr>
          <w:rFonts w:ascii="Cambria" w:hAnsi="Cambria"/>
          <w:color w:val="222222"/>
          <w:sz w:val="21"/>
        </w:rPr>
        <w:t>Clustering may reveal broad observation groups or isolate small groups requiring inspection. KMeans is easy to explain but assumes distance-based, centroid-like groups and requires a chosen value of k. The project should treat clustering as exploratory evidence and compare its behaviour with the physical composition of the archive.</w:t>
      </w:r>
    </w:p>
    <w:p>
      <w:pPr>
        <w:pStyle w:val="Heading2"/>
      </w:pPr>
      <w:r>
        <w:rPr>
          <w:rFonts w:ascii="Cambria" w:hAnsi="Cambria"/>
          <w:color w:val="17365D"/>
        </w:rPr>
        <w:t>9.4 Why Isolation Forest</w:t>
      </w:r>
    </w:p>
    <w:p>
      <w:pPr>
        <w:pStyle w:val="BodyText"/>
        <w:jc w:val="both"/>
      </w:pPr>
      <w:r>
        <w:rPr>
          <w:rFonts w:ascii="Cambria" w:hAnsi="Cambria"/>
          <w:color w:val="222222"/>
          <w:sz w:val="21"/>
        </w:rPr>
        <w:t>Isolation Forest provides an unsupervised score without first constructing a full density model. It is attractive for a multivariate screening problem, but its ranking can depend on the feature set, scaling, random seed and contamination setting. Stability analysis and product-level explanations are therefore part of a scientifically responsible use.</w:t>
      </w:r>
    </w:p>
    <w:p>
      <w:pPr>
        <w:pStyle w:val="Heading2"/>
      </w:pPr>
      <w:r>
        <w:rPr>
          <w:rFonts w:ascii="Cambria" w:hAnsi="Cambria"/>
          <w:color w:val="17365D"/>
        </w:rPr>
        <w:t>9.5 Why Not LightGBM</w:t>
      </w:r>
    </w:p>
    <w:p>
      <w:pPr>
        <w:pStyle w:val="BodyText"/>
        <w:jc w:val="both"/>
      </w:pPr>
      <w:r>
        <w:rPr>
          <w:rFonts w:ascii="Cambria" w:hAnsi="Cambria"/>
          <w:color w:val="222222"/>
          <w:sz w:val="21"/>
        </w:rPr>
        <w:t>LightGBM is a supervised gradient-boosting method and is well suited to labelled classification or regression. The proposed project does not possess trusted anomaly labels and is not predicting Chandra source classes. Using LightGBM would require a defensible target label; creating artificial labels merely to use the method would change the scientific question.</w:t>
      </w:r>
    </w:p>
    <w:p>
      <w:pPr>
        <w:pStyle w:val="Heading2"/>
      </w:pPr>
      <w:r>
        <w:rPr>
          <w:rFonts w:ascii="Cambria" w:hAnsi="Cambria"/>
          <w:color w:val="17365D"/>
        </w:rPr>
        <w:t>9.6 Why Not SHAP as the Project’s Main XAI Method</w:t>
      </w:r>
    </w:p>
    <w:p>
      <w:pPr>
        <w:pStyle w:val="BodyText"/>
        <w:jc w:val="both"/>
      </w:pPr>
      <w:r>
        <w:rPr>
          <w:rFonts w:ascii="Cambria" w:hAnsi="Cambria"/>
          <w:color w:val="222222"/>
          <w:sz w:val="21"/>
        </w:rPr>
        <w:t>SHAP is an important reference for additive explanations of predictive models [17], and the initial Chandra paper demonstrates its use with LightGBM [19]. The proposed detector is unsupervised, the sample may be small, and the explanation must map directly to POLIX product families. The study therefore intends to use detector-compatible, transparent contribution evidence rather than claiming SHAP-based classification explanations. SHAP may remain a comparison or future-validation option if a suitable prediction function and stable reference distribution are later justified.</w:t>
      </w:r>
    </w:p>
    <w:p>
      <w:pPr>
        <w:pStyle w:val="Heading2"/>
      </w:pPr>
      <w:r>
        <w:rPr>
          <w:rFonts w:ascii="Cambria" w:hAnsi="Cambria"/>
          <w:color w:val="17365D"/>
        </w:rPr>
        <w:t>9.7 Proposed Interpretation Rule</w:t>
      </w:r>
    </w:p>
    <w:p>
      <w:pPr>
        <w:pStyle w:val="BodyText"/>
        <w:jc w:val="both"/>
      </w:pPr>
      <w:r>
        <w:rPr>
          <w:rFonts w:ascii="Cambria" w:hAnsi="Cambria"/>
          <w:color w:val="222222"/>
          <w:sz w:val="21"/>
        </w:rPr>
        <w:t>The researcher-facing conclusion for an observation should preserve three separate statements:</w:t>
      </w:r>
    </w:p>
    <w:p>
      <w:pPr>
        <w:spacing w:after="40"/>
      </w:pPr>
      <w:r>
        <w:rPr>
          <w:rFonts w:ascii="Cambria" w:hAnsi="Cambria"/>
          <w:sz w:val="20"/>
        </w:rPr>
        <w:t xml:space="preserve">1. </w:t>
      </w:r>
      <w:r>
        <w:rPr>
          <w:rFonts w:ascii="Cambria" w:hAnsi="Cambria"/>
          <w:b/>
          <w:color w:val="222222"/>
          <w:sz w:val="20"/>
        </w:rPr>
        <w:t>Statistical status:</w:t>
      </w:r>
      <w:r>
        <w:rPr>
          <w:rFonts w:ascii="Cambria" w:hAnsi="Cambria"/>
          <w:color w:val="222222"/>
          <w:sz w:val="20"/>
        </w:rPr>
        <w:t xml:space="preserve"> ordinary or unusual relative to the analysed observation set.</w:t>
      </w:r>
    </w:p>
    <w:p>
      <w:pPr>
        <w:spacing w:after="40"/>
      </w:pPr>
      <w:r>
        <w:rPr>
          <w:rFonts w:ascii="Cambria" w:hAnsi="Cambria"/>
          <w:sz w:val="20"/>
        </w:rPr>
        <w:t xml:space="preserve">2. </w:t>
      </w:r>
      <w:r>
        <w:rPr>
          <w:rFonts w:ascii="Cambria" w:hAnsi="Cambria"/>
          <w:b/>
          <w:color w:val="222222"/>
          <w:sz w:val="20"/>
        </w:rPr>
        <w:t>Explanation status:</w:t>
      </w:r>
      <w:r>
        <w:rPr>
          <w:rFonts w:ascii="Cambria" w:hAnsi="Cambria"/>
          <w:color w:val="222222"/>
          <w:sz w:val="20"/>
        </w:rPr>
        <w:t xml:space="preserve"> the features and product families contributing to that status.</w:t>
      </w:r>
    </w:p>
    <w:p>
      <w:pPr>
        <w:spacing w:after="40"/>
      </w:pPr>
      <w:r>
        <w:rPr>
          <w:rFonts w:ascii="Cambria" w:hAnsi="Cambria"/>
          <w:sz w:val="20"/>
        </w:rPr>
        <w:t xml:space="preserve">3. </w:t>
      </w:r>
      <w:r>
        <w:rPr>
          <w:rFonts w:ascii="Cambria" w:hAnsi="Cambria"/>
          <w:b/>
          <w:color w:val="222222"/>
          <w:sz w:val="20"/>
        </w:rPr>
        <w:t>Physical diagnostic status:</w:t>
      </w:r>
      <w:r>
        <w:rPr>
          <w:rFonts w:ascii="Cambria" w:hAnsi="Cambria"/>
          <w:color w:val="222222"/>
          <w:sz w:val="20"/>
        </w:rPr>
        <w:t xml:space="preserve"> whether WeightedRoll/blank-sky comparison shows modulation-like behaviour that warrants further calibrated analysis.</w:t>
      </w:r>
    </w:p>
    <w:p>
      <w:pPr>
        <w:pStyle w:val="BodyText"/>
        <w:jc w:val="both"/>
      </w:pPr>
      <w:r>
        <w:rPr>
          <w:rFonts w:ascii="Cambria" w:hAnsi="Cambria"/>
          <w:color w:val="222222"/>
          <w:sz w:val="21"/>
        </w:rPr>
        <w:t>Only a domain expert, using calibration and source context, may decide what follow-up is scientifically justified.</w:t>
      </w:r>
    </w:p>
    <w:p>
      <w:pPr>
        <w:pStyle w:val="Heading1"/>
      </w:pPr>
      <w:r>
        <w:rPr>
          <w:rFonts w:ascii="Cambria" w:hAnsi="Cambria"/>
          <w:color w:val="17365D"/>
        </w:rPr>
        <w:t>10. Team Guide for Converting This Report into the Sample PPT</w:t>
      </w:r>
    </w:p>
    <w:p>
      <w:pPr>
        <w:pStyle w:val="BodyText"/>
        <w:jc w:val="both"/>
      </w:pPr>
      <w:r>
        <w:rPr>
          <w:rFonts w:ascii="Cambria" w:hAnsi="Cambria"/>
          <w:color w:val="222222"/>
          <w:sz w:val="21"/>
        </w:rPr>
        <w:t>This section is intentionally practical. It helps teammates shorten the report without changing the scientific meaning.</w:t>
      </w:r>
    </w:p>
    <w:tbl>
      <w:tblPr>
        <w:tblW w:type="auto" w:w="0"/>
        <w:jc w:val="center"/>
        <w:tblLayout w:type="autofit"/>
        <w:tblLook w:firstColumn="1" w:firstRow="1" w:lastColumn="0" w:lastRow="0" w:noHBand="0" w:noVBand="1" w:val="04A0"/>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Pr>
      <w:tblGrid>
        <w:gridCol w:w="2438"/>
        <w:gridCol w:w="2438"/>
        <w:gridCol w:w="2438"/>
        <w:gridCol w:w="2438"/>
      </w:tblGrid>
      <w:tr>
        <w:trPr>
          <w:tblHeader w:val="true"/>
        </w:trPr>
        <w:tc>
          <w:tcPr>
            <w:tcW w:type="dxa" w:w="2438"/>
            <w:shd w:fill="1F4E78"/>
            <w:tcMar>
              <w:top w:w="80" w:type="dxa"/>
              <w:start w:w="90" w:type="dxa"/>
              <w:bottom w:w="80" w:type="dxa"/>
              <w:end w:w="90" w:type="dxa"/>
            </w:tcMar>
            <w:vAlign w:val="center"/>
          </w:tcPr>
          <w:p>
            <w:pPr>
              <w:jc w:val="center"/>
            </w:pPr>
            <w:r>
              <w:rPr>
                <w:rFonts w:ascii="Cambria" w:hAnsi="Cambria"/>
                <w:b/>
                <w:color w:val="FFFFFF"/>
                <w:sz w:val="16"/>
              </w:rPr>
              <w:t>Sample-PPT heading</w:t>
            </w:r>
          </w:p>
        </w:tc>
        <w:tc>
          <w:tcPr>
            <w:tcW w:type="dxa" w:w="2438"/>
            <w:shd w:fill="1F4E78"/>
            <w:tcMar>
              <w:top w:w="80" w:type="dxa"/>
              <w:start w:w="90" w:type="dxa"/>
              <w:bottom w:w="80" w:type="dxa"/>
              <w:end w:w="90" w:type="dxa"/>
            </w:tcMar>
            <w:vAlign w:val="center"/>
          </w:tcPr>
          <w:p>
            <w:pPr>
              <w:jc w:val="center"/>
            </w:pPr>
            <w:r>
              <w:rPr>
                <w:rFonts w:ascii="Cambria" w:hAnsi="Cambria"/>
                <w:b/>
                <w:color w:val="FFFFFF"/>
                <w:sz w:val="16"/>
              </w:rPr>
              <w:t>Core message for the slide</w:t>
            </w:r>
          </w:p>
        </w:tc>
        <w:tc>
          <w:tcPr>
            <w:tcW w:type="dxa" w:w="2438"/>
            <w:shd w:fill="1F4E78"/>
            <w:tcMar>
              <w:top w:w="80" w:type="dxa"/>
              <w:start w:w="90" w:type="dxa"/>
              <w:bottom w:w="80" w:type="dxa"/>
              <w:end w:w="90" w:type="dxa"/>
            </w:tcMar>
            <w:vAlign w:val="center"/>
          </w:tcPr>
          <w:p>
            <w:pPr>
              <w:jc w:val="center"/>
            </w:pPr>
            <w:r>
              <w:rPr>
                <w:rFonts w:ascii="Cambria" w:hAnsi="Cambria"/>
                <w:b/>
                <w:color w:val="FFFFFF"/>
                <w:sz w:val="16"/>
              </w:rPr>
              <w:t>Suggested visual or structure</w:t>
            </w:r>
          </w:p>
        </w:tc>
        <w:tc>
          <w:tcPr>
            <w:tcW w:type="dxa" w:w="2438"/>
            <w:shd w:fill="1F4E78"/>
            <w:tcMar>
              <w:top w:w="80" w:type="dxa"/>
              <w:start w:w="90" w:type="dxa"/>
              <w:bottom w:w="80" w:type="dxa"/>
              <w:end w:w="90" w:type="dxa"/>
            </w:tcMar>
            <w:vAlign w:val="center"/>
          </w:tcPr>
          <w:p>
            <w:pPr>
              <w:jc w:val="center"/>
            </w:pPr>
            <w:r>
              <w:rPr>
                <w:rFonts w:ascii="Cambria" w:hAnsi="Cambria"/>
                <w:b/>
                <w:color w:val="FFFFFF"/>
                <w:sz w:val="16"/>
              </w:rPr>
              <w:t>What not to add</w:t>
            </w:r>
          </w:p>
        </w:tc>
      </w:tr>
      <w:tr>
        <w:tc>
          <w:tcPr>
            <w:tcW w:type="dxa" w:w="2438"/>
            <w:tcMar>
              <w:top w:w="80" w:type="dxa"/>
              <w:start w:w="90" w:type="dxa"/>
              <w:bottom w:w="80" w:type="dxa"/>
              <w:end w:w="90" w:type="dxa"/>
            </w:tcMar>
            <w:vAlign w:val="top"/>
          </w:tcPr>
          <w:p>
            <w:pPr>
              <w:spacing w:after="0"/>
            </w:pPr>
            <w:r>
              <w:rPr>
                <w:rFonts w:ascii="Cambria" w:hAnsi="Cambria"/>
                <w:color w:val="222222"/>
                <w:sz w:val="17"/>
              </w:rPr>
              <w:t>Abstract</w:t>
            </w:r>
          </w:p>
        </w:tc>
        <w:tc>
          <w:tcPr>
            <w:tcW w:type="dxa" w:w="2438"/>
            <w:tcMar>
              <w:top w:w="80" w:type="dxa"/>
              <w:start w:w="90" w:type="dxa"/>
              <w:bottom w:w="80" w:type="dxa"/>
              <w:end w:w="90" w:type="dxa"/>
            </w:tcMar>
            <w:vAlign w:val="top"/>
          </w:tcPr>
          <w:p>
            <w:pPr>
              <w:spacing w:after="0"/>
            </w:pPr>
            <w:r>
              <w:rPr>
                <w:rFonts w:ascii="Cambria" w:hAnsi="Cambria"/>
                <w:color w:val="222222"/>
                <w:sz w:val="17"/>
              </w:rPr>
              <w:t>Multi-product POLIX screening with unsupervised ML, product-aware explanation and independent physical diagnostic</w:t>
            </w:r>
          </w:p>
        </w:tc>
        <w:tc>
          <w:tcPr>
            <w:tcW w:type="dxa" w:w="2438"/>
            <w:tcMar>
              <w:top w:w="80" w:type="dxa"/>
              <w:start w:w="90" w:type="dxa"/>
              <w:bottom w:w="80" w:type="dxa"/>
              <w:end w:w="90" w:type="dxa"/>
            </w:tcMar>
            <w:vAlign w:val="top"/>
          </w:tcPr>
          <w:p>
            <w:pPr>
              <w:spacing w:after="0"/>
            </w:pPr>
            <w:r>
              <w:rPr>
                <w:rFonts w:ascii="Cambria" w:hAnsi="Cambria"/>
                <w:color w:val="222222"/>
                <w:sz w:val="17"/>
              </w:rPr>
              <w:t>One concise paragraph or five keywords</w:t>
            </w:r>
          </w:p>
        </w:tc>
        <w:tc>
          <w:tcPr>
            <w:tcW w:type="dxa" w:w="2438"/>
            <w:tcMar>
              <w:top w:w="80" w:type="dxa"/>
              <w:start w:w="90" w:type="dxa"/>
              <w:bottom w:w="80" w:type="dxa"/>
              <w:end w:w="90" w:type="dxa"/>
            </w:tcMar>
            <w:vAlign w:val="top"/>
          </w:tcPr>
          <w:p>
            <w:pPr>
              <w:spacing w:after="0"/>
            </w:pPr>
            <w:r>
              <w:rPr>
                <w:rFonts w:ascii="Cambria" w:hAnsi="Cambria"/>
                <w:color w:val="222222"/>
                <w:sz w:val="17"/>
              </w:rPr>
              <w:t>implementation status or results</w:t>
            </w:r>
          </w:p>
        </w:tc>
      </w:tr>
      <w:tr>
        <w:tc>
          <w:tcPr>
            <w:tcW w:type="dxa" w:w="2438"/>
            <w:tcMar>
              <w:top w:w="80" w:type="dxa"/>
              <w:start w:w="90" w:type="dxa"/>
              <w:bottom w:w="80" w:type="dxa"/>
              <w:end w:w="90" w:type="dxa"/>
            </w:tcMar>
            <w:vAlign w:val="top"/>
            <w:shd w:fill="F2F2F2"/>
          </w:tcPr>
          <w:p>
            <w:pPr>
              <w:spacing w:after="0"/>
            </w:pPr>
            <w:r>
              <w:rPr>
                <w:rFonts w:ascii="Cambria" w:hAnsi="Cambria"/>
                <w:color w:val="222222"/>
                <w:sz w:val="17"/>
              </w:rPr>
              <w:t>Base Paper</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Initial Chandra papers inspired ML/XAI thinking; the current base is a four-source set aligned with POLIX, anomaly detection, XAI and polarimetry</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“Initial influence → evolved foundation” comparison</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claim that LightGBM/SHAP were used</w:t>
            </w:r>
          </w:p>
        </w:tc>
      </w:tr>
      <w:tr>
        <w:tc>
          <w:tcPr>
            <w:tcW w:type="dxa" w:w="2438"/>
            <w:tcMar>
              <w:top w:w="80" w:type="dxa"/>
              <w:start w:w="90" w:type="dxa"/>
              <w:bottom w:w="80" w:type="dxa"/>
              <w:end w:w="90" w:type="dxa"/>
            </w:tcMar>
            <w:vAlign w:val="top"/>
          </w:tcPr>
          <w:p>
            <w:pPr>
              <w:spacing w:after="0"/>
            </w:pPr>
            <w:r>
              <w:rPr>
                <w:rFonts w:ascii="Cambria" w:hAnsi="Cambria"/>
                <w:color w:val="222222"/>
                <w:sz w:val="17"/>
              </w:rPr>
              <w:t>Literature Survey</w:t>
            </w:r>
          </w:p>
        </w:tc>
        <w:tc>
          <w:tcPr>
            <w:tcW w:type="dxa" w:w="2438"/>
            <w:tcMar>
              <w:top w:w="80" w:type="dxa"/>
              <w:start w:w="90" w:type="dxa"/>
              <w:bottom w:w="80" w:type="dxa"/>
              <w:end w:w="90" w:type="dxa"/>
            </w:tcMar>
            <w:vAlign w:val="top"/>
          </w:tcPr>
          <w:p>
            <w:pPr>
              <w:spacing w:after="0"/>
            </w:pPr>
            <w:r>
              <w:rPr>
                <w:rFonts w:ascii="Cambria" w:hAnsi="Cambria"/>
                <w:color w:val="222222"/>
                <w:sz w:val="17"/>
              </w:rPr>
              <w:t>Mission science, polarimetry, astronomical anomaly detection and scientific XAI converge but are not yet integrated for POLIX Level-2 screening</w:t>
            </w:r>
          </w:p>
        </w:tc>
        <w:tc>
          <w:tcPr>
            <w:tcW w:type="dxa" w:w="2438"/>
            <w:tcMar>
              <w:top w:w="80" w:type="dxa"/>
              <w:start w:w="90" w:type="dxa"/>
              <w:bottom w:w="80" w:type="dxa"/>
              <w:end w:w="90" w:type="dxa"/>
            </w:tcMar>
            <w:vAlign w:val="top"/>
          </w:tcPr>
          <w:p>
            <w:pPr>
              <w:spacing w:after="0"/>
            </w:pPr>
            <w:r>
              <w:rPr>
                <w:rFonts w:ascii="Cambria" w:hAnsi="Cambria"/>
                <w:color w:val="222222"/>
                <w:sz w:val="17"/>
              </w:rPr>
              <w:t>Four-theme literature map</w:t>
            </w:r>
          </w:p>
        </w:tc>
        <w:tc>
          <w:tcPr>
            <w:tcW w:type="dxa" w:w="2438"/>
            <w:tcMar>
              <w:top w:w="80" w:type="dxa"/>
              <w:start w:w="90" w:type="dxa"/>
              <w:bottom w:w="80" w:type="dxa"/>
              <w:end w:w="90" w:type="dxa"/>
            </w:tcMar>
            <w:vAlign w:val="top"/>
          </w:tcPr>
          <w:p>
            <w:pPr>
              <w:spacing w:after="0"/>
            </w:pPr>
            <w:r>
              <w:rPr>
                <w:rFonts w:ascii="Cambria" w:hAnsi="Cambria"/>
                <w:color w:val="222222"/>
                <w:sz w:val="17"/>
              </w:rPr>
              <w:t>unrelated paper list</w:t>
            </w:r>
          </w:p>
        </w:tc>
      </w:tr>
      <w:tr>
        <w:tc>
          <w:tcPr>
            <w:tcW w:type="dxa" w:w="2438"/>
            <w:tcMar>
              <w:top w:w="80" w:type="dxa"/>
              <w:start w:w="90" w:type="dxa"/>
              <w:bottom w:w="80" w:type="dxa"/>
              <w:end w:w="90" w:type="dxa"/>
            </w:tcMar>
            <w:vAlign w:val="top"/>
            <w:shd w:fill="F2F2F2"/>
          </w:tcPr>
          <w:p>
            <w:pPr>
              <w:spacing w:after="0"/>
            </w:pPr>
            <w:r>
              <w:rPr>
                <w:rFonts w:ascii="Cambria" w:hAnsi="Cambria"/>
                <w:color w:val="222222"/>
                <w:sz w:val="17"/>
              </w:rPr>
              <w:t>Existing System</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Manual multi-product inspection + standard utilities + target-specific analysis + generic ML/XAI</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Workflow with five blocks</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a single unverified website as the existing system</w:t>
            </w:r>
          </w:p>
        </w:tc>
      </w:tr>
      <w:tr>
        <w:tc>
          <w:tcPr>
            <w:tcW w:type="dxa" w:w="2438"/>
            <w:tcMar>
              <w:top w:w="80" w:type="dxa"/>
              <w:start w:w="90" w:type="dxa"/>
              <w:bottom w:w="80" w:type="dxa"/>
              <w:end w:w="90" w:type="dxa"/>
            </w:tcMar>
            <w:vAlign w:val="top"/>
          </w:tcPr>
          <w:p>
            <w:pPr>
              <w:spacing w:after="0"/>
            </w:pPr>
            <w:r>
              <w:rPr>
                <w:rFonts w:ascii="Cambria" w:hAnsi="Cambria"/>
                <w:color w:val="222222"/>
                <w:sz w:val="17"/>
              </w:rPr>
              <w:t>Advantages of Existing System</w:t>
            </w:r>
          </w:p>
        </w:tc>
        <w:tc>
          <w:tcPr>
            <w:tcW w:type="dxa" w:w="2438"/>
            <w:tcMar>
              <w:top w:w="80" w:type="dxa"/>
              <w:start w:w="90" w:type="dxa"/>
              <w:bottom w:w="80" w:type="dxa"/>
              <w:end w:w="90" w:type="dxa"/>
            </w:tcMar>
            <w:vAlign w:val="top"/>
          </w:tcPr>
          <w:p>
            <w:pPr>
              <w:spacing w:after="0"/>
            </w:pPr>
            <w:r>
              <w:rPr>
                <w:rFonts w:ascii="Cambria" w:hAnsi="Cambria"/>
                <w:color w:val="222222"/>
                <w:sz w:val="17"/>
              </w:rPr>
              <w:t>Scientific control, original-product access, official context and mature methods</w:t>
            </w:r>
          </w:p>
        </w:tc>
        <w:tc>
          <w:tcPr>
            <w:tcW w:type="dxa" w:w="2438"/>
            <w:tcMar>
              <w:top w:w="80" w:type="dxa"/>
              <w:start w:w="90" w:type="dxa"/>
              <w:bottom w:w="80" w:type="dxa"/>
              <w:end w:w="90" w:type="dxa"/>
            </w:tcMar>
            <w:vAlign w:val="top"/>
          </w:tcPr>
          <w:p>
            <w:pPr>
              <w:spacing w:after="0"/>
            </w:pPr>
            <w:r>
              <w:rPr>
                <w:rFonts w:ascii="Cambria" w:hAnsi="Cambria"/>
                <w:color w:val="222222"/>
                <w:sz w:val="17"/>
              </w:rPr>
              <w:t>Four concise bullets</w:t>
            </w:r>
          </w:p>
        </w:tc>
        <w:tc>
          <w:tcPr>
            <w:tcW w:type="dxa" w:w="2438"/>
            <w:tcMar>
              <w:top w:w="80" w:type="dxa"/>
              <w:start w:w="90" w:type="dxa"/>
              <w:bottom w:w="80" w:type="dxa"/>
              <w:end w:w="90" w:type="dxa"/>
            </w:tcMar>
            <w:vAlign w:val="top"/>
          </w:tcPr>
          <w:p>
            <w:pPr>
              <w:spacing w:after="0"/>
            </w:pPr>
            <w:r>
              <w:rPr>
                <w:rFonts w:ascii="Cambria" w:hAnsi="Cambria"/>
                <w:color w:val="222222"/>
                <w:sz w:val="17"/>
              </w:rPr>
              <w:t>blanket criticism of current scientific practice</w:t>
            </w:r>
          </w:p>
        </w:tc>
      </w:tr>
      <w:tr>
        <w:tc>
          <w:tcPr>
            <w:tcW w:type="dxa" w:w="2438"/>
            <w:tcMar>
              <w:top w:w="80" w:type="dxa"/>
              <w:start w:w="90" w:type="dxa"/>
              <w:bottom w:w="80" w:type="dxa"/>
              <w:end w:w="90" w:type="dxa"/>
            </w:tcMar>
            <w:vAlign w:val="top"/>
            <w:shd w:fill="F2F2F2"/>
          </w:tcPr>
          <w:p>
            <w:pPr>
              <w:spacing w:after="0"/>
            </w:pPr>
            <w:r>
              <w:rPr>
                <w:rFonts w:ascii="Cambria" w:hAnsi="Cambria"/>
                <w:color w:val="222222"/>
                <w:sz w:val="17"/>
              </w:rPr>
              <w:t>Disadvantages of Existing System</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Repetitive inspection, limited archive automation, no labels, opaque scores and calibration dependence</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Problem–impact pairs</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“manual analysis is inaccurate”</w:t>
            </w:r>
          </w:p>
        </w:tc>
      </w:tr>
      <w:tr>
        <w:tc>
          <w:tcPr>
            <w:tcW w:type="dxa" w:w="2438"/>
            <w:tcMar>
              <w:top w:w="80" w:type="dxa"/>
              <w:start w:w="90" w:type="dxa"/>
              <w:bottom w:w="80" w:type="dxa"/>
              <w:end w:w="90" w:type="dxa"/>
            </w:tcMar>
            <w:vAlign w:val="top"/>
          </w:tcPr>
          <w:p>
            <w:pPr>
              <w:spacing w:after="0"/>
            </w:pPr>
            <w:r>
              <w:rPr>
                <w:rFonts w:ascii="Cambria" w:hAnsi="Cambria"/>
                <w:color w:val="222222"/>
                <w:sz w:val="17"/>
              </w:rPr>
              <w:t>Proposed System</w:t>
            </w:r>
          </w:p>
        </w:tc>
        <w:tc>
          <w:tcPr>
            <w:tcW w:type="dxa" w:w="2438"/>
            <w:tcMar>
              <w:top w:w="80" w:type="dxa"/>
              <w:start w:w="90" w:type="dxa"/>
              <w:bottom w:w="80" w:type="dxa"/>
              <w:end w:w="90" w:type="dxa"/>
            </w:tcMar>
            <w:vAlign w:val="top"/>
          </w:tcPr>
          <w:p>
            <w:pPr>
              <w:spacing w:after="0"/>
            </w:pPr>
            <w:r>
              <w:rPr>
                <w:rFonts w:ascii="Cambria" w:hAnsi="Cambria"/>
                <w:color w:val="222222"/>
                <w:sz w:val="17"/>
              </w:rPr>
              <w:t>Interpretable multi-product representation → unsupervised ranking → product-aware evidence → separate modulation diagnostic</w:t>
            </w:r>
          </w:p>
        </w:tc>
        <w:tc>
          <w:tcPr>
            <w:tcW w:type="dxa" w:w="2438"/>
            <w:tcMar>
              <w:top w:w="80" w:type="dxa"/>
              <w:start w:w="90" w:type="dxa"/>
              <w:bottom w:w="80" w:type="dxa"/>
              <w:end w:w="90" w:type="dxa"/>
            </w:tcMar>
            <w:vAlign w:val="top"/>
          </w:tcPr>
          <w:p>
            <w:pPr>
              <w:spacing w:after="0"/>
            </w:pPr>
            <w:r>
              <w:rPr>
                <w:rFonts w:ascii="Cambria" w:hAnsi="Cambria"/>
                <w:color w:val="222222"/>
                <w:sz w:val="17"/>
              </w:rPr>
              <w:t>Use Figure 1</w:t>
            </w:r>
          </w:p>
        </w:tc>
        <w:tc>
          <w:tcPr>
            <w:tcW w:type="dxa" w:w="2438"/>
            <w:tcMar>
              <w:top w:w="80" w:type="dxa"/>
              <w:start w:w="90" w:type="dxa"/>
              <w:bottom w:w="80" w:type="dxa"/>
              <w:end w:w="90" w:type="dxa"/>
            </w:tcMar>
            <w:vAlign w:val="top"/>
          </w:tcPr>
          <w:p>
            <w:pPr>
              <w:spacing w:after="0"/>
            </w:pPr>
            <w:r>
              <w:rPr>
                <w:rFonts w:ascii="Cambria" w:hAnsi="Cambria"/>
                <w:color w:val="222222"/>
                <w:sz w:val="17"/>
              </w:rPr>
              <w:t>final performance or anomaly count</w:t>
            </w:r>
          </w:p>
        </w:tc>
      </w:tr>
      <w:tr>
        <w:tc>
          <w:tcPr>
            <w:tcW w:type="dxa" w:w="2438"/>
            <w:tcMar>
              <w:top w:w="80" w:type="dxa"/>
              <w:start w:w="90" w:type="dxa"/>
              <w:bottom w:w="80" w:type="dxa"/>
              <w:end w:w="90" w:type="dxa"/>
            </w:tcMar>
            <w:vAlign w:val="top"/>
            <w:shd w:fill="F2F2F2"/>
          </w:tcPr>
          <w:p>
            <w:pPr>
              <w:spacing w:after="0"/>
            </w:pPr>
            <w:r>
              <w:rPr>
                <w:rFonts w:ascii="Cambria" w:hAnsi="Cambria"/>
                <w:color w:val="222222"/>
                <w:sz w:val="17"/>
              </w:rPr>
              <w:t>Advantages of Proposed System</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prioritization, traceability, reproducibility, separation of evidence and extensibility</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Benefits grouped as scientist / data / method</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superiority claims without results</w:t>
            </w:r>
          </w:p>
        </w:tc>
      </w:tr>
      <w:tr>
        <w:tc>
          <w:tcPr>
            <w:tcW w:type="dxa" w:w="2438"/>
            <w:tcMar>
              <w:top w:w="80" w:type="dxa"/>
              <w:start w:w="90" w:type="dxa"/>
              <w:bottom w:w="80" w:type="dxa"/>
              <w:end w:w="90" w:type="dxa"/>
            </w:tcMar>
            <w:vAlign w:val="top"/>
          </w:tcPr>
          <w:p>
            <w:pPr>
              <w:spacing w:after="0"/>
            </w:pPr>
            <w:r>
              <w:rPr>
                <w:rFonts w:ascii="Cambria" w:hAnsi="Cambria"/>
                <w:color w:val="222222"/>
                <w:sz w:val="17"/>
              </w:rPr>
              <w:t>Disadvantages of Proposed System</w:t>
            </w:r>
          </w:p>
        </w:tc>
        <w:tc>
          <w:tcPr>
            <w:tcW w:type="dxa" w:w="2438"/>
            <w:tcMar>
              <w:top w:w="80" w:type="dxa"/>
              <w:start w:w="90" w:type="dxa"/>
              <w:bottom w:w="80" w:type="dxa"/>
              <w:end w:w="90" w:type="dxa"/>
            </w:tcMar>
            <w:vAlign w:val="top"/>
          </w:tcPr>
          <w:p>
            <w:pPr>
              <w:spacing w:after="0"/>
            </w:pPr>
            <w:r>
              <w:rPr>
                <w:rFonts w:ascii="Cambria" w:hAnsi="Cambria"/>
                <w:color w:val="222222"/>
                <w:sz w:val="17"/>
              </w:rPr>
              <w:t>small data, no labels, calibration dependence, model drift and expert-validation need</w:t>
            </w:r>
          </w:p>
        </w:tc>
        <w:tc>
          <w:tcPr>
            <w:tcW w:type="dxa" w:w="2438"/>
            <w:tcMar>
              <w:top w:w="80" w:type="dxa"/>
              <w:start w:w="90" w:type="dxa"/>
              <w:bottom w:w="80" w:type="dxa"/>
              <w:end w:w="90" w:type="dxa"/>
            </w:tcMar>
            <w:vAlign w:val="top"/>
          </w:tcPr>
          <w:p>
            <w:pPr>
              <w:spacing w:after="0"/>
            </w:pPr>
            <w:r>
              <w:rPr>
                <w:rFonts w:ascii="Cambria" w:hAnsi="Cambria"/>
                <w:color w:val="222222"/>
                <w:sz w:val="17"/>
              </w:rPr>
              <w:t>Limitation–mitigation table</w:t>
            </w:r>
          </w:p>
        </w:tc>
        <w:tc>
          <w:tcPr>
            <w:tcW w:type="dxa" w:w="2438"/>
            <w:tcMar>
              <w:top w:w="80" w:type="dxa"/>
              <w:start w:w="90" w:type="dxa"/>
              <w:bottom w:w="80" w:type="dxa"/>
              <w:end w:w="90" w:type="dxa"/>
            </w:tcMar>
            <w:vAlign w:val="top"/>
          </w:tcPr>
          <w:p>
            <w:pPr>
              <w:spacing w:after="0"/>
            </w:pPr>
            <w:r>
              <w:rPr>
                <w:rFonts w:ascii="Cambria" w:hAnsi="Cambria"/>
                <w:color w:val="222222"/>
                <w:sz w:val="17"/>
              </w:rPr>
              <w:t>hiding limitations</w:t>
            </w:r>
          </w:p>
        </w:tc>
      </w:tr>
      <w:tr>
        <w:tc>
          <w:tcPr>
            <w:tcW w:type="dxa" w:w="2438"/>
            <w:tcMar>
              <w:top w:w="80" w:type="dxa"/>
              <w:start w:w="90" w:type="dxa"/>
              <w:bottom w:w="80" w:type="dxa"/>
              <w:end w:w="90" w:type="dxa"/>
            </w:tcMar>
            <w:vAlign w:val="top"/>
            <w:shd w:fill="F2F2F2"/>
          </w:tcPr>
          <w:p>
            <w:pPr>
              <w:spacing w:after="0"/>
            </w:pPr>
            <w:r>
              <w:rPr>
                <w:rFonts w:ascii="Cambria" w:hAnsi="Cambria"/>
                <w:color w:val="222222"/>
                <w:sz w:val="17"/>
              </w:rPr>
              <w:t>Architecture / Flow Diagram</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Two branches remain separate until cautious interpretation</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Recreate Figure 1 in the sample template</w:t>
            </w:r>
          </w:p>
        </w:tc>
        <w:tc>
          <w:tcPr>
            <w:tcW w:type="dxa" w:w="2438"/>
            <w:tcMar>
              <w:top w:w="80" w:type="dxa"/>
              <w:start w:w="90" w:type="dxa"/>
              <w:bottom w:w="80" w:type="dxa"/>
              <w:end w:w="90" w:type="dxa"/>
            </w:tcMar>
            <w:vAlign w:val="top"/>
            <w:shd w:fill="F2F2F2"/>
          </w:tcPr>
          <w:p>
            <w:pPr>
              <w:spacing w:after="0"/>
            </w:pPr>
            <w:r>
              <w:rPr>
                <w:rFonts w:ascii="Cambria" w:hAnsi="Cambria"/>
                <w:color w:val="222222"/>
                <w:sz w:val="17"/>
              </w:rPr>
              <w:t>code modules, routes or screenshots</w:t>
            </w:r>
          </w:p>
        </w:tc>
      </w:tr>
      <w:tr>
        <w:tc>
          <w:tcPr>
            <w:tcW w:type="dxa" w:w="2438"/>
            <w:tcMar>
              <w:top w:w="80" w:type="dxa"/>
              <w:start w:w="90" w:type="dxa"/>
              <w:bottom w:w="80" w:type="dxa"/>
              <w:end w:w="90" w:type="dxa"/>
            </w:tcMar>
            <w:vAlign w:val="top"/>
          </w:tcPr>
          <w:p>
            <w:pPr>
              <w:spacing w:after="0"/>
            </w:pPr>
            <w:r>
              <w:rPr>
                <w:rFonts w:ascii="Cambria" w:hAnsi="Cambria"/>
                <w:color w:val="222222"/>
                <w:sz w:val="17"/>
              </w:rPr>
              <w:t>Architecture Explanation</w:t>
            </w:r>
          </w:p>
        </w:tc>
        <w:tc>
          <w:tcPr>
            <w:tcW w:type="dxa" w:w="2438"/>
            <w:tcMar>
              <w:top w:w="80" w:type="dxa"/>
              <w:start w:w="90" w:type="dxa"/>
              <w:bottom w:w="80" w:type="dxa"/>
              <w:end w:w="90" w:type="dxa"/>
            </w:tcMar>
            <w:vAlign w:val="top"/>
          </w:tcPr>
          <w:p>
            <w:pPr>
              <w:spacing w:after="0"/>
            </w:pPr>
            <w:r>
              <w:rPr>
                <w:rFonts w:ascii="Cambria" w:hAnsi="Cambria"/>
                <w:color w:val="222222"/>
                <w:sz w:val="17"/>
              </w:rPr>
              <w:t>Explain each block in one sentence and emphasize evidence boundaries</w:t>
            </w:r>
          </w:p>
        </w:tc>
        <w:tc>
          <w:tcPr>
            <w:tcW w:type="dxa" w:w="2438"/>
            <w:tcMar>
              <w:top w:w="80" w:type="dxa"/>
              <w:start w:w="90" w:type="dxa"/>
              <w:bottom w:w="80" w:type="dxa"/>
              <w:end w:w="90" w:type="dxa"/>
            </w:tcMar>
            <w:vAlign w:val="top"/>
          </w:tcPr>
          <w:p>
            <w:pPr>
              <w:spacing w:after="0"/>
            </w:pPr>
            <w:r>
              <w:rPr>
                <w:rFonts w:ascii="Cambria" w:hAnsi="Cambria"/>
                <w:color w:val="222222"/>
                <w:sz w:val="17"/>
              </w:rPr>
              <w:t>Numbered steps matching the diagram</w:t>
            </w:r>
          </w:p>
        </w:tc>
        <w:tc>
          <w:tcPr>
            <w:tcW w:type="dxa" w:w="2438"/>
            <w:tcMar>
              <w:top w:w="80" w:type="dxa"/>
              <w:start w:w="90" w:type="dxa"/>
              <w:bottom w:w="80" w:type="dxa"/>
              <w:end w:w="90" w:type="dxa"/>
            </w:tcMar>
            <w:vAlign w:val="top"/>
          </w:tcPr>
          <w:p>
            <w:pPr>
              <w:spacing w:after="0"/>
            </w:pPr>
            <w:r>
              <w:rPr>
                <w:rFonts w:ascii="Cambria" w:hAnsi="Cambria"/>
                <w:color w:val="222222"/>
                <w:sz w:val="17"/>
              </w:rPr>
              <w:t>detailed implementation or testing</w:t>
            </w:r>
          </w:p>
        </w:tc>
      </w:tr>
    </w:tbl>
    <w:p>
      <w:pPr>
        <w:spacing w:after="20"/>
      </w:pPr>
    </w:p>
    <w:p>
      <w:pPr>
        <w:pStyle w:val="Heading2"/>
      </w:pPr>
      <w:r>
        <w:rPr>
          <w:rFonts w:ascii="Cambria" w:hAnsi="Cambria"/>
          <w:color w:val="17365D"/>
        </w:rPr>
        <w:t>10.1 Suggested Slide Sequence</w:t>
      </w:r>
    </w:p>
    <w:p>
      <w:pPr>
        <w:spacing w:after="40"/>
      </w:pPr>
      <w:r>
        <w:rPr>
          <w:rFonts w:ascii="Cambria" w:hAnsi="Cambria"/>
          <w:sz w:val="20"/>
        </w:rPr>
        <w:t xml:space="preserve">1. </w:t>
      </w:r>
      <w:r>
        <w:rPr>
          <w:rFonts w:ascii="Cambria" w:hAnsi="Cambria"/>
          <w:color w:val="222222"/>
          <w:sz w:val="20"/>
        </w:rPr>
        <w:t>Title and team details.</w:t>
      </w:r>
    </w:p>
    <w:p>
      <w:pPr>
        <w:spacing w:after="40"/>
      </w:pPr>
      <w:r>
        <w:rPr>
          <w:rFonts w:ascii="Cambria" w:hAnsi="Cambria"/>
          <w:sz w:val="20"/>
        </w:rPr>
        <w:t xml:space="preserve">2. </w:t>
      </w:r>
      <w:r>
        <w:rPr>
          <w:rFonts w:ascii="Cambria" w:hAnsi="Cambria"/>
          <w:color w:val="222222"/>
          <w:sz w:val="20"/>
        </w:rPr>
        <w:t>Abstract / project snapshot.</w:t>
      </w:r>
    </w:p>
    <w:p>
      <w:pPr>
        <w:spacing w:after="40"/>
      </w:pPr>
      <w:r>
        <w:rPr>
          <w:rFonts w:ascii="Cambria" w:hAnsi="Cambria"/>
          <w:sz w:val="20"/>
        </w:rPr>
        <w:t xml:space="preserve">3. </w:t>
      </w:r>
      <w:r>
        <w:rPr>
          <w:rFonts w:ascii="Cambria" w:hAnsi="Cambria"/>
          <w:color w:val="222222"/>
          <w:sz w:val="20"/>
        </w:rPr>
        <w:t>Scientific background: why polarization adds information.</w:t>
      </w:r>
    </w:p>
    <w:p>
      <w:pPr>
        <w:spacing w:after="40"/>
      </w:pPr>
      <w:r>
        <w:rPr>
          <w:rFonts w:ascii="Cambria" w:hAnsi="Cambria"/>
          <w:sz w:val="20"/>
        </w:rPr>
        <w:t xml:space="preserve">4. </w:t>
      </w:r>
      <w:r>
        <w:rPr>
          <w:rFonts w:ascii="Cambria" w:hAnsi="Cambria"/>
          <w:color w:val="222222"/>
          <w:sz w:val="20"/>
        </w:rPr>
        <w:t>XPoSat, POLIX and Level-2 product context.</w:t>
      </w:r>
    </w:p>
    <w:p>
      <w:pPr>
        <w:spacing w:after="40"/>
      </w:pPr>
      <w:r>
        <w:rPr>
          <w:rFonts w:ascii="Cambria" w:hAnsi="Cambria"/>
          <w:sz w:val="20"/>
        </w:rPr>
        <w:t xml:space="preserve">5. </w:t>
      </w:r>
      <w:r>
        <w:rPr>
          <w:rFonts w:ascii="Cambria" w:hAnsi="Cambria"/>
          <w:color w:val="222222"/>
          <w:sz w:val="20"/>
        </w:rPr>
        <w:t>Problem statement, aim and objectives.</w:t>
      </w:r>
    </w:p>
    <w:p>
      <w:pPr>
        <w:spacing w:after="40"/>
      </w:pPr>
      <w:r>
        <w:rPr>
          <w:rFonts w:ascii="Cambria" w:hAnsi="Cambria"/>
          <w:sz w:val="20"/>
        </w:rPr>
        <w:t xml:space="preserve">6. </w:t>
      </w:r>
      <w:r>
        <w:rPr>
          <w:rFonts w:ascii="Cambria" w:hAnsi="Cambria"/>
          <w:color w:val="222222"/>
          <w:sz w:val="20"/>
        </w:rPr>
        <w:t>Base-paper evolution: Chandra inspiration versus the current method foundation.</w:t>
      </w:r>
    </w:p>
    <w:p>
      <w:pPr>
        <w:spacing w:after="40"/>
      </w:pPr>
      <w:r>
        <w:rPr>
          <w:rFonts w:ascii="Cambria" w:hAnsi="Cambria"/>
          <w:sz w:val="20"/>
        </w:rPr>
        <w:t xml:space="preserve">7. </w:t>
      </w:r>
      <w:r>
        <w:rPr>
          <w:rFonts w:ascii="Cambria" w:hAnsi="Cambria"/>
          <w:color w:val="222222"/>
          <w:sz w:val="20"/>
        </w:rPr>
        <w:t>Literature survey: missions and instrument literature.</w:t>
      </w:r>
    </w:p>
    <w:p>
      <w:pPr>
        <w:spacing w:after="40"/>
      </w:pPr>
      <w:r>
        <w:rPr>
          <w:rFonts w:ascii="Cambria" w:hAnsi="Cambria"/>
          <w:sz w:val="20"/>
        </w:rPr>
        <w:t xml:space="preserve">8. </w:t>
      </w:r>
      <w:r>
        <w:rPr>
          <w:rFonts w:ascii="Cambria" w:hAnsi="Cambria"/>
          <w:color w:val="222222"/>
          <w:sz w:val="20"/>
        </w:rPr>
        <w:t>Literature survey: ML, anomaly detection and XAI.</w:t>
      </w:r>
    </w:p>
    <w:p>
      <w:pPr>
        <w:spacing w:after="40"/>
      </w:pPr>
      <w:r>
        <w:rPr>
          <w:rFonts w:ascii="Cambria" w:hAnsi="Cambria"/>
          <w:sz w:val="20"/>
        </w:rPr>
        <w:t xml:space="preserve">9. </w:t>
      </w:r>
      <w:r>
        <w:rPr>
          <w:rFonts w:ascii="Cambria" w:hAnsi="Cambria"/>
          <w:color w:val="222222"/>
          <w:sz w:val="20"/>
        </w:rPr>
        <w:t>Literature synthesis and research gap.</w:t>
      </w:r>
    </w:p>
    <w:p>
      <w:pPr>
        <w:spacing w:after="40"/>
      </w:pPr>
      <w:r>
        <w:rPr>
          <w:rFonts w:ascii="Cambria" w:hAnsi="Cambria"/>
          <w:sz w:val="20"/>
        </w:rPr>
        <w:t xml:space="preserve">10. </w:t>
      </w:r>
      <w:r>
        <w:rPr>
          <w:rFonts w:ascii="Cambria" w:hAnsi="Cambria"/>
          <w:color w:val="222222"/>
          <w:sz w:val="20"/>
        </w:rPr>
        <w:t>Existing system / approaches.</w:t>
      </w:r>
    </w:p>
    <w:p>
      <w:pPr>
        <w:spacing w:after="40"/>
      </w:pPr>
      <w:r>
        <w:rPr>
          <w:rFonts w:ascii="Cambria" w:hAnsi="Cambria"/>
          <w:sz w:val="20"/>
        </w:rPr>
        <w:t xml:space="preserve">11. </w:t>
      </w:r>
      <w:r>
        <w:rPr>
          <w:rFonts w:ascii="Cambria" w:hAnsi="Cambria"/>
          <w:color w:val="222222"/>
          <w:sz w:val="20"/>
        </w:rPr>
        <w:t>Advantages and disadvantages of existing approaches.</w:t>
      </w:r>
    </w:p>
    <w:p>
      <w:pPr>
        <w:spacing w:after="40"/>
      </w:pPr>
      <w:r>
        <w:rPr>
          <w:rFonts w:ascii="Cambria" w:hAnsi="Cambria"/>
          <w:sz w:val="20"/>
        </w:rPr>
        <w:t xml:space="preserve">12. </w:t>
      </w:r>
      <w:r>
        <w:rPr>
          <w:rFonts w:ascii="Cambria" w:hAnsi="Cambria"/>
          <w:color w:val="222222"/>
          <w:sz w:val="20"/>
        </w:rPr>
        <w:t>Proposed conceptual system.</w:t>
      </w:r>
    </w:p>
    <w:p>
      <w:pPr>
        <w:spacing w:after="40"/>
      </w:pPr>
      <w:r>
        <w:rPr>
          <w:rFonts w:ascii="Cambria" w:hAnsi="Cambria"/>
          <w:sz w:val="20"/>
        </w:rPr>
        <w:t xml:space="preserve">13. </w:t>
      </w:r>
      <w:r>
        <w:rPr>
          <w:rFonts w:ascii="Cambria" w:hAnsi="Cambria"/>
          <w:color w:val="222222"/>
          <w:sz w:val="20"/>
        </w:rPr>
        <w:t>Advantages and expected limitations.</w:t>
      </w:r>
    </w:p>
    <w:p>
      <w:pPr>
        <w:spacing w:after="40"/>
      </w:pPr>
      <w:r>
        <w:rPr>
          <w:rFonts w:ascii="Cambria" w:hAnsi="Cambria"/>
          <w:sz w:val="20"/>
        </w:rPr>
        <w:t xml:space="preserve">14. </w:t>
      </w:r>
      <w:r>
        <w:rPr>
          <w:rFonts w:ascii="Cambria" w:hAnsi="Cambria"/>
          <w:color w:val="222222"/>
          <w:sz w:val="20"/>
        </w:rPr>
        <w:t>Architecture / flow diagram.</w:t>
      </w:r>
    </w:p>
    <w:p>
      <w:pPr>
        <w:spacing w:after="40"/>
      </w:pPr>
      <w:r>
        <w:rPr>
          <w:rFonts w:ascii="Cambria" w:hAnsi="Cambria"/>
          <w:sz w:val="20"/>
        </w:rPr>
        <w:t xml:space="preserve">15. </w:t>
      </w:r>
      <w:r>
        <w:rPr>
          <w:rFonts w:ascii="Cambria" w:hAnsi="Cambria"/>
          <w:color w:val="222222"/>
          <w:sz w:val="20"/>
        </w:rPr>
        <w:t>Architecture explanation and Review-I boundaries.</w:t>
      </w:r>
    </w:p>
    <w:p>
      <w:pPr>
        <w:spacing w:after="40"/>
      </w:pPr>
      <w:r>
        <w:rPr>
          <w:rFonts w:ascii="Cambria" w:hAnsi="Cambria"/>
          <w:sz w:val="20"/>
        </w:rPr>
        <w:t xml:space="preserve">16. </w:t>
      </w:r>
      <w:r>
        <w:rPr>
          <w:rFonts w:ascii="Cambria" w:hAnsi="Cambria"/>
          <w:color w:val="222222"/>
          <w:sz w:val="20"/>
        </w:rPr>
        <w:t>References.</w:t>
      </w:r>
    </w:p>
    <w:p>
      <w:pPr>
        <w:pStyle w:val="Heading2"/>
      </w:pPr>
      <w:r>
        <w:rPr>
          <w:rFonts w:ascii="Cambria" w:hAnsi="Cambria"/>
          <w:color w:val="17365D"/>
        </w:rPr>
        <w:t>10.2 Speaking Guidance</w:t>
      </w:r>
    </w:p>
    <w:p>
      <w:pPr>
        <w:pStyle w:val="ListBullet"/>
      </w:pPr>
      <w:r>
        <w:rPr>
          <w:rFonts w:ascii="Cambria" w:hAnsi="Cambria"/>
          <w:color w:val="222222"/>
          <w:sz w:val="20"/>
        </w:rPr>
        <w:t>Use “the proposed study,” “the project aims to,” “the framework is intended to,” and “the planned methodology.”</w:t>
      </w:r>
    </w:p>
    <w:p>
      <w:pPr>
        <w:pStyle w:val="ListBullet"/>
      </w:pPr>
      <w:r>
        <w:rPr>
          <w:rFonts w:ascii="Cambria" w:hAnsi="Cambria"/>
          <w:color w:val="222222"/>
          <w:sz w:val="20"/>
        </w:rPr>
        <w:t>Say “screening” or “prioritization,” not “classification,” when describing the evolved project.</w:t>
      </w:r>
    </w:p>
    <w:p>
      <w:pPr>
        <w:pStyle w:val="ListBullet"/>
      </w:pPr>
      <w:r>
        <w:rPr>
          <w:rFonts w:ascii="Cambria" w:hAnsi="Cambria"/>
          <w:color w:val="222222"/>
          <w:sz w:val="20"/>
        </w:rPr>
        <w:t>Say “statistically unusual observation,” not “discovery” or “astrophysical anomaly.”</w:t>
      </w:r>
    </w:p>
    <w:p>
      <w:pPr>
        <w:pStyle w:val="ListBullet"/>
      </w:pPr>
      <w:r>
        <w:rPr>
          <w:rFonts w:ascii="Cambria" w:hAnsi="Cambria"/>
          <w:color w:val="222222"/>
          <w:sz w:val="20"/>
        </w:rPr>
        <w:t>Say “fitted modulation phase,” not “official polarization angle.”</w:t>
      </w:r>
    </w:p>
    <w:p>
      <w:pPr>
        <w:pStyle w:val="ListBullet"/>
      </w:pPr>
      <w:r>
        <w:rPr>
          <w:rFonts w:ascii="Cambria" w:hAnsi="Cambria"/>
          <w:color w:val="222222"/>
          <w:sz w:val="20"/>
        </w:rPr>
        <w:t>Say “modulation diagnostic,” not “calibrated polarization degree.”</w:t>
      </w:r>
    </w:p>
    <w:p>
      <w:pPr>
        <w:pStyle w:val="ListBullet"/>
      </w:pPr>
      <w:r>
        <w:rPr>
          <w:rFonts w:ascii="Cambria" w:hAnsi="Cambria"/>
          <w:color w:val="222222"/>
          <w:sz w:val="20"/>
        </w:rPr>
        <w:t>If asked about SHAP, explain that it was reviewed through the initial Chandra study but not adopted because the final task is unsupervised and product-aware.</w:t>
      </w:r>
    </w:p>
    <w:p>
      <w:pPr>
        <w:pStyle w:val="Heading2"/>
      </w:pPr>
      <w:r>
        <w:rPr>
          <w:rFonts w:ascii="Cambria" w:hAnsi="Cambria"/>
          <w:color w:val="17365D"/>
        </w:rPr>
        <w:t>10.3 Recommended Team Editing Process</w:t>
      </w:r>
    </w:p>
    <w:p>
      <w:pPr>
        <w:spacing w:after="40"/>
      </w:pPr>
      <w:r>
        <w:rPr>
          <w:rFonts w:ascii="Cambria" w:hAnsi="Cambria"/>
          <w:sz w:val="20"/>
        </w:rPr>
        <w:t xml:space="preserve">1. </w:t>
      </w:r>
      <w:r>
        <w:rPr>
          <w:rFonts w:ascii="Cambria" w:hAnsi="Cambria"/>
          <w:color w:val="222222"/>
          <w:sz w:val="20"/>
        </w:rPr>
        <w:t>Fill all title-page placeholders and confirm the review date with the guide.</w:t>
      </w:r>
    </w:p>
    <w:p>
      <w:pPr>
        <w:spacing w:after="40"/>
      </w:pPr>
      <w:r>
        <w:rPr>
          <w:rFonts w:ascii="Cambria" w:hAnsi="Cambria"/>
          <w:sz w:val="20"/>
        </w:rPr>
        <w:t xml:space="preserve">2. </w:t>
      </w:r>
      <w:r>
        <w:rPr>
          <w:rFonts w:ascii="Cambria" w:hAnsi="Cambria"/>
          <w:color w:val="222222"/>
          <w:sz w:val="20"/>
        </w:rPr>
        <w:t>Agree on one vocabulary list: observation screening, product-aware explanation, independent modulation diagnostic.</w:t>
      </w:r>
    </w:p>
    <w:p>
      <w:pPr>
        <w:spacing w:after="40"/>
      </w:pPr>
      <w:r>
        <w:rPr>
          <w:rFonts w:ascii="Cambria" w:hAnsi="Cambria"/>
          <w:sz w:val="20"/>
        </w:rPr>
        <w:t xml:space="preserve">3. </w:t>
      </w:r>
      <w:r>
        <w:rPr>
          <w:rFonts w:ascii="Cambria" w:hAnsi="Cambria"/>
          <w:color w:val="222222"/>
          <w:sz w:val="20"/>
        </w:rPr>
        <w:t>Assign one teammate to verify mission/instrument facts and another to verify ML/XAI wording.</w:t>
      </w:r>
    </w:p>
    <w:p>
      <w:pPr>
        <w:spacing w:after="40"/>
      </w:pPr>
      <w:r>
        <w:rPr>
          <w:rFonts w:ascii="Cambria" w:hAnsi="Cambria"/>
          <w:sz w:val="20"/>
        </w:rPr>
        <w:t xml:space="preserve">4. </w:t>
      </w:r>
      <w:r>
        <w:rPr>
          <w:rFonts w:ascii="Cambria" w:hAnsi="Cambria"/>
          <w:color w:val="222222"/>
          <w:sz w:val="20"/>
        </w:rPr>
        <w:t>Reduce each slide to one message and move detailed explanations to speaker notes.</w:t>
      </w:r>
    </w:p>
    <w:p>
      <w:pPr>
        <w:spacing w:after="40"/>
      </w:pPr>
      <w:r>
        <w:rPr>
          <w:rFonts w:ascii="Cambria" w:hAnsi="Cambria"/>
          <w:sz w:val="20"/>
        </w:rPr>
        <w:t xml:space="preserve">5. </w:t>
      </w:r>
      <w:r>
        <w:rPr>
          <w:rFonts w:ascii="Cambria" w:hAnsi="Cambria"/>
          <w:color w:val="222222"/>
          <w:sz w:val="20"/>
        </w:rPr>
        <w:t>Keep citations in the slide footer for every technical claim.</w:t>
      </w:r>
    </w:p>
    <w:p>
      <w:pPr>
        <w:spacing w:after="40"/>
      </w:pPr>
      <w:r>
        <w:rPr>
          <w:rFonts w:ascii="Cambria" w:hAnsi="Cambria"/>
          <w:sz w:val="20"/>
        </w:rPr>
        <w:t xml:space="preserve">6. </w:t>
      </w:r>
      <w:r>
        <w:rPr>
          <w:rFonts w:ascii="Cambria" w:hAnsi="Cambria"/>
          <w:color w:val="222222"/>
          <w:sz w:val="20"/>
        </w:rPr>
        <w:t>Conduct a rehearsal in which each member answers the classification-versus-anomaly question.</w:t>
      </w:r>
    </w:p>
    <w:p>
      <w:pPr>
        <w:spacing w:after="40"/>
      </w:pPr>
      <w:r>
        <w:rPr>
          <w:rFonts w:ascii="Cambria" w:hAnsi="Cambria"/>
          <w:sz w:val="20"/>
        </w:rPr>
        <w:t xml:space="preserve">7. </w:t>
      </w:r>
      <w:r>
        <w:rPr>
          <w:rFonts w:ascii="Cambria" w:hAnsi="Cambria"/>
          <w:color w:val="222222"/>
          <w:sz w:val="20"/>
        </w:rPr>
        <w:t>Run the scientific-claim checklist in Section 12 before submission.</w:t>
      </w:r>
    </w:p>
    <w:p>
      <w:pPr>
        <w:pStyle w:val="Heading1"/>
        <w:pageBreakBefore/>
      </w:pPr>
      <w:r>
        <w:rPr>
          <w:rFonts w:ascii="Cambria" w:hAnsi="Cambria"/>
          <w:color w:val="17365D"/>
        </w:rPr>
        <w:t>11. Condensed Literature Comparison Matrix</w:t>
      </w:r>
    </w:p>
    <w:p>
      <w:pPr>
        <w:pStyle w:val="BodyText"/>
        <w:jc w:val="both"/>
      </w:pPr>
      <w:r>
        <w:rPr>
          <w:rFonts w:ascii="Cambria" w:hAnsi="Cambria"/>
          <w:color w:val="222222"/>
          <w:sz w:val="21"/>
        </w:rPr>
        <w:t>The matrix below is designed for team understanding. It compares the strongest sources by the exact contribution and limitation relevant to the project.</w:t>
      </w:r>
    </w:p>
    <w:tbl>
      <w:tblPr>
        <w:tblW w:type="auto" w:w="0"/>
        <w:jc w:val="center"/>
        <w:tblLayout w:type="fixed"/>
        <w:tblLook w:firstColumn="1" w:firstRow="1" w:lastColumn="0" w:lastRow="0" w:noHBand="0" w:noVBand="1" w:val="04A0"/>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Pr>
      <w:tblGrid>
        <w:gridCol w:w="1950"/>
        <w:gridCol w:w="1950"/>
        <w:gridCol w:w="1950"/>
        <w:gridCol w:w="1950"/>
        <w:gridCol w:w="1950"/>
      </w:tblGrid>
      <w:tr>
        <w:trPr>
          <w:tblHeader w:val="true"/>
        </w:trPr>
        <w:tc>
          <w:tcPr>
            <w:tcW w:type="dxa" w:w="624"/>
            <w:shd w:fill="1F4E78"/>
            <w:tcMar>
              <w:top w:w="70" w:type="dxa"/>
              <w:start w:w="70" w:type="dxa"/>
              <w:bottom w:w="70" w:type="dxa"/>
              <w:end w:w="70" w:type="dxa"/>
            </w:tcMar>
          </w:tcPr>
          <w:p>
            <w:pPr>
              <w:jc w:val="center"/>
            </w:pPr>
            <w:r>
              <w:rPr>
                <w:rFonts w:ascii="Cambria" w:hAnsi="Cambria"/>
                <w:b/>
                <w:color w:val="FFFFFF"/>
                <w:sz w:val="15"/>
              </w:rPr>
              <w:t>Ref.</w:t>
            </w:r>
          </w:p>
        </w:tc>
        <w:tc>
          <w:tcPr>
            <w:tcW w:type="dxa" w:w="2041"/>
            <w:shd w:fill="1F4E78"/>
            <w:tcMar>
              <w:top w:w="70" w:type="dxa"/>
              <w:start w:w="70" w:type="dxa"/>
              <w:bottom w:w="70" w:type="dxa"/>
              <w:end w:w="70" w:type="dxa"/>
            </w:tcMar>
          </w:tcPr>
          <w:p>
            <w:pPr>
              <w:jc w:val="center"/>
            </w:pPr>
            <w:r>
              <w:rPr>
                <w:rFonts w:ascii="Cambria" w:hAnsi="Cambria"/>
                <w:b/>
                <w:color w:val="FFFFFF"/>
                <w:sz w:val="15"/>
              </w:rPr>
              <w:t>Source</w:t>
            </w:r>
          </w:p>
        </w:tc>
        <w:tc>
          <w:tcPr>
            <w:tcW w:type="dxa" w:w="2438"/>
            <w:shd w:fill="1F4E78"/>
            <w:tcMar>
              <w:top w:w="70" w:type="dxa"/>
              <w:start w:w="70" w:type="dxa"/>
              <w:bottom w:w="70" w:type="dxa"/>
              <w:end w:w="70" w:type="dxa"/>
            </w:tcMar>
          </w:tcPr>
          <w:p>
            <w:pPr>
              <w:jc w:val="center"/>
            </w:pPr>
            <w:r>
              <w:rPr>
                <w:rFonts w:ascii="Cambria" w:hAnsi="Cambria"/>
                <w:b/>
                <w:color w:val="FFFFFF"/>
                <w:sz w:val="15"/>
              </w:rPr>
              <w:t>Contribution</w:t>
            </w:r>
          </w:p>
        </w:tc>
        <w:tc>
          <w:tcPr>
            <w:tcW w:type="dxa" w:w="2494"/>
            <w:shd w:fill="1F4E78"/>
            <w:tcMar>
              <w:top w:w="70" w:type="dxa"/>
              <w:start w:w="70" w:type="dxa"/>
              <w:bottom w:w="70" w:type="dxa"/>
              <w:end w:w="70" w:type="dxa"/>
            </w:tcMar>
          </w:tcPr>
          <w:p>
            <w:pPr>
              <w:jc w:val="center"/>
            </w:pPr>
            <w:r>
              <w:rPr>
                <w:rFonts w:ascii="Cambria" w:hAnsi="Cambria"/>
                <w:b/>
                <w:color w:val="FFFFFF"/>
                <w:sz w:val="15"/>
              </w:rPr>
              <w:t>Limitation for this project</w:t>
            </w:r>
          </w:p>
        </w:tc>
        <w:tc>
          <w:tcPr>
            <w:tcW w:type="dxa" w:w="1928"/>
            <w:shd w:fill="1F4E78"/>
            <w:tcMar>
              <w:top w:w="70" w:type="dxa"/>
              <w:start w:w="70" w:type="dxa"/>
              <w:bottom w:w="70" w:type="dxa"/>
              <w:end w:w="70" w:type="dxa"/>
            </w:tcMar>
          </w:tcPr>
          <w:p>
            <w:pPr>
              <w:jc w:val="center"/>
            </w:pPr>
            <w:r>
              <w:rPr>
                <w:rFonts w:ascii="Cambria" w:hAnsi="Cambria"/>
                <w:b/>
                <w:color w:val="FFFFFF"/>
                <w:sz w:val="15"/>
              </w:rPr>
              <w:t>Role in proposed work</w:t>
            </w:r>
          </w:p>
        </w:tc>
      </w:tr>
      <w:tr>
        <w:tc>
          <w:tcPr>
            <w:tcW w:type="dxa" w:w="1950"/>
            <w:tcMar>
              <w:top w:w="55" w:type="dxa"/>
              <w:start w:w="65" w:type="dxa"/>
              <w:bottom w:w="55" w:type="dxa"/>
              <w:end w:w="65" w:type="dxa"/>
            </w:tcMar>
          </w:tcPr>
          <w:p>
            <w:pPr>
              <w:spacing w:after="0"/>
            </w:pPr>
            <w:r>
              <w:rPr>
                <w:rFonts w:ascii="Cambria" w:hAnsi="Cambria"/>
                <w:color w:val="222222"/>
                <w:sz w:val="14"/>
              </w:rPr>
              <w:t>[1]</w:t>
            </w:r>
          </w:p>
        </w:tc>
        <w:tc>
          <w:tcPr>
            <w:tcW w:type="dxa" w:w="1950"/>
            <w:tcMar>
              <w:top w:w="55" w:type="dxa"/>
              <w:start w:w="65" w:type="dxa"/>
              <w:bottom w:w="55" w:type="dxa"/>
              <w:end w:w="65" w:type="dxa"/>
            </w:tcMar>
          </w:tcPr>
          <w:p>
            <w:pPr>
              <w:spacing w:after="0"/>
            </w:pPr>
            <w:r>
              <w:rPr>
                <w:rFonts w:ascii="Cambria" w:hAnsi="Cambria"/>
                <w:color w:val="222222"/>
                <w:sz w:val="14"/>
              </w:rPr>
              <w:t>ISRO XPoSat mission page</w:t>
            </w:r>
          </w:p>
        </w:tc>
        <w:tc>
          <w:tcPr>
            <w:tcW w:type="dxa" w:w="1950"/>
            <w:tcMar>
              <w:top w:w="55" w:type="dxa"/>
              <w:start w:w="65" w:type="dxa"/>
              <w:bottom w:w="55" w:type="dxa"/>
              <w:end w:w="65" w:type="dxa"/>
            </w:tcMar>
          </w:tcPr>
          <w:p>
            <w:pPr>
              <w:spacing w:after="0"/>
            </w:pPr>
            <w:r>
              <w:rPr>
                <w:rFonts w:ascii="Cambria" w:hAnsi="Cambria"/>
                <w:color w:val="222222"/>
                <w:sz w:val="14"/>
              </w:rPr>
              <w:t>Official mission purpose, payload roles and bands</w:t>
            </w:r>
          </w:p>
        </w:tc>
        <w:tc>
          <w:tcPr>
            <w:tcW w:type="dxa" w:w="1950"/>
            <w:tcMar>
              <w:top w:w="55" w:type="dxa"/>
              <w:start w:w="65" w:type="dxa"/>
              <w:bottom w:w="55" w:type="dxa"/>
              <w:end w:w="65" w:type="dxa"/>
            </w:tcMar>
          </w:tcPr>
          <w:p>
            <w:pPr>
              <w:spacing w:after="0"/>
            </w:pPr>
            <w:r>
              <w:rPr>
                <w:rFonts w:ascii="Cambria" w:hAnsi="Cambria"/>
                <w:color w:val="222222"/>
                <w:sz w:val="14"/>
              </w:rPr>
              <w:t>Not a Level-2 analysis method</w:t>
            </w:r>
          </w:p>
        </w:tc>
        <w:tc>
          <w:tcPr>
            <w:tcW w:type="dxa" w:w="1950"/>
            <w:tcMar>
              <w:top w:w="55" w:type="dxa"/>
              <w:start w:w="65" w:type="dxa"/>
              <w:bottom w:w="55" w:type="dxa"/>
              <w:end w:w="65" w:type="dxa"/>
            </w:tcMar>
          </w:tcPr>
          <w:p>
            <w:pPr>
              <w:spacing w:after="0"/>
            </w:pPr>
            <w:r>
              <w:rPr>
                <w:rFonts w:ascii="Cambria" w:hAnsi="Cambria"/>
                <w:color w:val="222222"/>
                <w:sz w:val="14"/>
              </w:rPr>
              <w:t>Mission context</w:t>
            </w:r>
          </w:p>
        </w:tc>
      </w:tr>
      <w:tr>
        <w:tc>
          <w:tcPr>
            <w:tcW w:type="dxa" w:w="1950"/>
            <w:tcMar>
              <w:top w:w="55" w:type="dxa"/>
              <w:start w:w="65" w:type="dxa"/>
              <w:bottom w:w="55" w:type="dxa"/>
              <w:end w:w="65" w:type="dxa"/>
            </w:tcMar>
            <w:shd w:fill="F2F2F2"/>
          </w:tcPr>
          <w:p>
            <w:pPr>
              <w:spacing w:after="0"/>
            </w:pPr>
            <w:r>
              <w:rPr>
                <w:rFonts w:ascii="Cambria" w:hAnsi="Cambria"/>
                <w:color w:val="222222"/>
                <w:sz w:val="14"/>
              </w:rPr>
              <w:t>[2]</w:t>
            </w:r>
          </w:p>
        </w:tc>
        <w:tc>
          <w:tcPr>
            <w:tcW w:type="dxa" w:w="1950"/>
            <w:tcMar>
              <w:top w:w="55" w:type="dxa"/>
              <w:start w:w="65" w:type="dxa"/>
              <w:bottom w:w="55" w:type="dxa"/>
              <w:end w:w="65" w:type="dxa"/>
            </w:tcMar>
            <w:shd w:fill="F2F2F2"/>
          </w:tcPr>
          <w:p>
            <w:pPr>
              <w:spacing w:after="0"/>
            </w:pPr>
            <w:r>
              <w:rPr>
                <w:rFonts w:ascii="Cambria" w:hAnsi="Cambria"/>
                <w:color w:val="222222"/>
                <w:sz w:val="14"/>
              </w:rPr>
              <w:t>POLIX Level-2 User Handbook</w:t>
            </w:r>
          </w:p>
        </w:tc>
        <w:tc>
          <w:tcPr>
            <w:tcW w:type="dxa" w:w="1950"/>
            <w:tcMar>
              <w:top w:w="55" w:type="dxa"/>
              <w:start w:w="65" w:type="dxa"/>
              <w:bottom w:w="55" w:type="dxa"/>
              <w:end w:w="65" w:type="dxa"/>
            </w:tcMar>
            <w:shd w:fill="F2F2F2"/>
          </w:tcPr>
          <w:p>
            <w:pPr>
              <w:spacing w:after="0"/>
            </w:pPr>
            <w:r>
              <w:rPr>
                <w:rFonts w:ascii="Cambria" w:hAnsi="Cambria"/>
                <w:color w:val="222222"/>
                <w:sz w:val="14"/>
              </w:rPr>
              <w:t>Instrument design, 48 anodes, products and WeightedRoll limitation</w:t>
            </w:r>
          </w:p>
        </w:tc>
        <w:tc>
          <w:tcPr>
            <w:tcW w:type="dxa" w:w="1950"/>
            <w:tcMar>
              <w:top w:w="55" w:type="dxa"/>
              <w:start w:w="65" w:type="dxa"/>
              <w:bottom w:w="55" w:type="dxa"/>
              <w:end w:w="65" w:type="dxa"/>
            </w:tcMar>
            <w:shd w:fill="F2F2F2"/>
          </w:tcPr>
          <w:p>
            <w:pPr>
              <w:spacing w:after="0"/>
            </w:pPr>
            <w:r>
              <w:rPr>
                <w:rFonts w:ascii="Cambria" w:hAnsi="Cambria"/>
                <w:color w:val="222222"/>
                <w:sz w:val="14"/>
              </w:rPr>
              <w:t>Operational handbook; background procedure remains calibration-dependent</w:t>
            </w:r>
          </w:p>
        </w:tc>
        <w:tc>
          <w:tcPr>
            <w:tcW w:type="dxa" w:w="1950"/>
            <w:tcMar>
              <w:top w:w="55" w:type="dxa"/>
              <w:start w:w="65" w:type="dxa"/>
              <w:bottom w:w="55" w:type="dxa"/>
              <w:end w:w="65" w:type="dxa"/>
            </w:tcMar>
            <w:shd w:fill="F2F2F2"/>
          </w:tcPr>
          <w:p>
            <w:pPr>
              <w:spacing w:after="0"/>
            </w:pPr>
            <w:r>
              <w:rPr>
                <w:rFonts w:ascii="Cambria" w:hAnsi="Cambria"/>
                <w:color w:val="222222"/>
                <w:sz w:val="14"/>
              </w:rPr>
              <w:t>Primary data/instrument foundation</w:t>
            </w:r>
          </w:p>
        </w:tc>
      </w:tr>
      <w:tr>
        <w:tc>
          <w:tcPr>
            <w:tcW w:type="dxa" w:w="1950"/>
            <w:tcMar>
              <w:top w:w="55" w:type="dxa"/>
              <w:start w:w="65" w:type="dxa"/>
              <w:bottom w:w="55" w:type="dxa"/>
              <w:end w:w="65" w:type="dxa"/>
            </w:tcMar>
          </w:tcPr>
          <w:p>
            <w:pPr>
              <w:spacing w:after="0"/>
            </w:pPr>
            <w:r>
              <w:rPr>
                <w:rFonts w:ascii="Cambria" w:hAnsi="Cambria"/>
                <w:color w:val="222222"/>
                <w:sz w:val="14"/>
              </w:rPr>
              <w:t>[3]</w:t>
            </w:r>
          </w:p>
        </w:tc>
        <w:tc>
          <w:tcPr>
            <w:tcW w:type="dxa" w:w="1950"/>
            <w:tcMar>
              <w:top w:w="55" w:type="dxa"/>
              <w:start w:w="65" w:type="dxa"/>
              <w:bottom w:w="55" w:type="dxa"/>
              <w:end w:w="65" w:type="dxa"/>
            </w:tcMar>
          </w:tcPr>
          <w:p>
            <w:pPr>
              <w:spacing w:after="0"/>
            </w:pPr>
            <w:r>
              <w:rPr>
                <w:rFonts w:ascii="Cambria" w:hAnsi="Cambria"/>
                <w:color w:val="222222"/>
                <w:sz w:val="14"/>
              </w:rPr>
              <w:t>ISSDC/ISDA XPoSat archive</w:t>
            </w:r>
          </w:p>
        </w:tc>
        <w:tc>
          <w:tcPr>
            <w:tcW w:type="dxa" w:w="1950"/>
            <w:tcMar>
              <w:top w:w="55" w:type="dxa"/>
              <w:start w:w="65" w:type="dxa"/>
              <w:bottom w:w="55" w:type="dxa"/>
              <w:end w:w="65" w:type="dxa"/>
            </w:tcMar>
          </w:tcPr>
          <w:p>
            <w:pPr>
              <w:spacing w:after="0"/>
            </w:pPr>
            <w:r>
              <w:rPr>
                <w:rFonts w:ascii="Cambria" w:hAnsi="Cambria"/>
                <w:color w:val="222222"/>
                <w:sz w:val="14"/>
              </w:rPr>
              <w:t>Official archive provenance and acknowledgement context</w:t>
            </w:r>
          </w:p>
        </w:tc>
        <w:tc>
          <w:tcPr>
            <w:tcW w:type="dxa" w:w="1950"/>
            <w:tcMar>
              <w:top w:w="55" w:type="dxa"/>
              <w:start w:w="65" w:type="dxa"/>
              <w:bottom w:w="55" w:type="dxa"/>
              <w:end w:w="65" w:type="dxa"/>
            </w:tcMar>
          </w:tcPr>
          <w:p>
            <w:pPr>
              <w:spacing w:after="0"/>
            </w:pPr>
            <w:r>
              <w:rPr>
                <w:rFonts w:ascii="Cambria" w:hAnsi="Cambria"/>
                <w:color w:val="222222"/>
                <w:sz w:val="14"/>
              </w:rPr>
              <w:t>Limited scientific method detail</w:t>
            </w:r>
          </w:p>
        </w:tc>
        <w:tc>
          <w:tcPr>
            <w:tcW w:type="dxa" w:w="1950"/>
            <w:tcMar>
              <w:top w:w="55" w:type="dxa"/>
              <w:start w:w="65" w:type="dxa"/>
              <w:bottom w:w="55" w:type="dxa"/>
              <w:end w:w="65" w:type="dxa"/>
            </w:tcMar>
          </w:tcPr>
          <w:p>
            <w:pPr>
              <w:spacing w:after="0"/>
            </w:pPr>
            <w:r>
              <w:rPr>
                <w:rFonts w:ascii="Cambria" w:hAnsi="Cambria"/>
                <w:color w:val="222222"/>
                <w:sz w:val="14"/>
              </w:rPr>
              <w:t>Data provenance</w:t>
            </w:r>
          </w:p>
        </w:tc>
      </w:tr>
      <w:tr>
        <w:tc>
          <w:tcPr>
            <w:tcW w:type="dxa" w:w="1950"/>
            <w:tcMar>
              <w:top w:w="55" w:type="dxa"/>
              <w:start w:w="65" w:type="dxa"/>
              <w:bottom w:w="55" w:type="dxa"/>
              <w:end w:w="65" w:type="dxa"/>
            </w:tcMar>
            <w:shd w:fill="F2F2F2"/>
          </w:tcPr>
          <w:p>
            <w:pPr>
              <w:spacing w:after="0"/>
            </w:pPr>
            <w:r>
              <w:rPr>
                <w:rFonts w:ascii="Cambria" w:hAnsi="Cambria"/>
                <w:color w:val="222222"/>
                <w:sz w:val="14"/>
              </w:rPr>
              <w:t>[4]</w:t>
            </w:r>
          </w:p>
        </w:tc>
        <w:tc>
          <w:tcPr>
            <w:tcW w:type="dxa" w:w="1950"/>
            <w:tcMar>
              <w:top w:w="55" w:type="dxa"/>
              <w:start w:w="65" w:type="dxa"/>
              <w:bottom w:w="55" w:type="dxa"/>
              <w:end w:w="65" w:type="dxa"/>
            </w:tcMar>
            <w:shd w:fill="F2F2F2"/>
          </w:tcPr>
          <w:p>
            <w:pPr>
              <w:spacing w:after="0"/>
            </w:pPr>
            <w:r>
              <w:rPr>
                <w:rFonts w:ascii="Cambria" w:hAnsi="Cambria"/>
                <w:color w:val="222222"/>
                <w:sz w:val="14"/>
              </w:rPr>
              <w:t>Saini, Madhu and Karidhal (2025)</w:t>
            </w:r>
          </w:p>
        </w:tc>
        <w:tc>
          <w:tcPr>
            <w:tcW w:type="dxa" w:w="1950"/>
            <w:tcMar>
              <w:top w:w="55" w:type="dxa"/>
              <w:start w:w="65" w:type="dxa"/>
              <w:bottom w:w="55" w:type="dxa"/>
              <w:end w:w="65" w:type="dxa"/>
            </w:tcMar>
            <w:shd w:fill="F2F2F2"/>
          </w:tcPr>
          <w:p>
            <w:pPr>
              <w:spacing w:after="0"/>
            </w:pPr>
            <w:r>
              <w:rPr>
                <w:rFonts w:ascii="Cambria" w:hAnsi="Cambria"/>
                <w:color w:val="222222"/>
                <w:sz w:val="14"/>
              </w:rPr>
              <w:t>Peer-reviewed XPoSat mission design and operations</w:t>
            </w:r>
          </w:p>
        </w:tc>
        <w:tc>
          <w:tcPr>
            <w:tcW w:type="dxa" w:w="1950"/>
            <w:tcMar>
              <w:top w:w="55" w:type="dxa"/>
              <w:start w:w="65" w:type="dxa"/>
              <w:bottom w:w="55" w:type="dxa"/>
              <w:end w:w="65" w:type="dxa"/>
            </w:tcMar>
            <w:shd w:fill="F2F2F2"/>
          </w:tcPr>
          <w:p>
            <w:pPr>
              <w:spacing w:after="0"/>
            </w:pPr>
            <w:r>
              <w:rPr>
                <w:rFonts w:ascii="Cambria" w:hAnsi="Cambria"/>
                <w:color w:val="222222"/>
                <w:sz w:val="14"/>
              </w:rPr>
              <w:t>No archive anomaly framework</w:t>
            </w:r>
          </w:p>
        </w:tc>
        <w:tc>
          <w:tcPr>
            <w:tcW w:type="dxa" w:w="1950"/>
            <w:tcMar>
              <w:top w:w="55" w:type="dxa"/>
              <w:start w:w="65" w:type="dxa"/>
              <w:bottom w:w="55" w:type="dxa"/>
              <w:end w:w="65" w:type="dxa"/>
            </w:tcMar>
            <w:shd w:fill="F2F2F2"/>
          </w:tcPr>
          <w:p>
            <w:pPr>
              <w:spacing w:after="0"/>
            </w:pPr>
            <w:r>
              <w:rPr>
                <w:rFonts w:ascii="Cambria" w:hAnsi="Cambria"/>
                <w:color w:val="222222"/>
                <w:sz w:val="14"/>
              </w:rPr>
              <w:t>Mission foundation</w:t>
            </w:r>
          </w:p>
        </w:tc>
      </w:tr>
      <w:tr>
        <w:tc>
          <w:tcPr>
            <w:tcW w:type="dxa" w:w="1950"/>
            <w:tcMar>
              <w:top w:w="55" w:type="dxa"/>
              <w:start w:w="65" w:type="dxa"/>
              <w:bottom w:w="55" w:type="dxa"/>
              <w:end w:w="65" w:type="dxa"/>
            </w:tcMar>
          </w:tcPr>
          <w:p>
            <w:pPr>
              <w:spacing w:after="0"/>
            </w:pPr>
            <w:r>
              <w:rPr>
                <w:rFonts w:ascii="Cambria" w:hAnsi="Cambria"/>
                <w:color w:val="222222"/>
                <w:sz w:val="14"/>
              </w:rPr>
              <w:t>[5]</w:t>
            </w:r>
          </w:p>
        </w:tc>
        <w:tc>
          <w:tcPr>
            <w:tcW w:type="dxa" w:w="1950"/>
            <w:tcMar>
              <w:top w:w="55" w:type="dxa"/>
              <w:start w:w="65" w:type="dxa"/>
              <w:bottom w:w="55" w:type="dxa"/>
              <w:end w:w="65" w:type="dxa"/>
            </w:tcMar>
          </w:tcPr>
          <w:p>
            <w:pPr>
              <w:spacing w:after="0"/>
            </w:pPr>
            <w:r>
              <w:rPr>
                <w:rFonts w:ascii="Cambria" w:hAnsi="Cambria"/>
                <w:color w:val="222222"/>
                <w:sz w:val="14"/>
              </w:rPr>
              <w:t>Weisskopf et al. (2002)</w:t>
            </w:r>
          </w:p>
        </w:tc>
        <w:tc>
          <w:tcPr>
            <w:tcW w:type="dxa" w:w="1950"/>
            <w:tcMar>
              <w:top w:w="55" w:type="dxa"/>
              <w:start w:w="65" w:type="dxa"/>
              <w:bottom w:w="55" w:type="dxa"/>
              <w:end w:w="65" w:type="dxa"/>
            </w:tcMar>
          </w:tcPr>
          <w:p>
            <w:pPr>
              <w:spacing w:after="0"/>
            </w:pPr>
            <w:r>
              <w:rPr>
                <w:rFonts w:ascii="Cambria" w:hAnsi="Cambria"/>
                <w:color w:val="222222"/>
                <w:sz w:val="14"/>
              </w:rPr>
              <w:t>Chandra imaging and spectroscopy capability</w:t>
            </w:r>
          </w:p>
        </w:tc>
        <w:tc>
          <w:tcPr>
            <w:tcW w:type="dxa" w:w="1950"/>
            <w:tcMar>
              <w:top w:w="55" w:type="dxa"/>
              <w:start w:w="65" w:type="dxa"/>
              <w:bottom w:w="55" w:type="dxa"/>
              <w:end w:w="65" w:type="dxa"/>
            </w:tcMar>
          </w:tcPr>
          <w:p>
            <w:pPr>
              <w:spacing w:after="0"/>
            </w:pPr>
            <w:r>
              <w:rPr>
                <w:rFonts w:ascii="Cambria" w:hAnsi="Cambria"/>
                <w:color w:val="222222"/>
                <w:sz w:val="14"/>
              </w:rPr>
              <w:t>Not a dedicated polarimetry mission</w:t>
            </w:r>
          </w:p>
        </w:tc>
        <w:tc>
          <w:tcPr>
            <w:tcW w:type="dxa" w:w="1950"/>
            <w:tcMar>
              <w:top w:w="55" w:type="dxa"/>
              <w:start w:w="65" w:type="dxa"/>
              <w:bottom w:w="55" w:type="dxa"/>
              <w:end w:w="65" w:type="dxa"/>
            </w:tcMar>
          </w:tcPr>
          <w:p>
            <w:pPr>
              <w:spacing w:after="0"/>
            </w:pPr>
            <w:r>
              <w:rPr>
                <w:rFonts w:ascii="Cambria" w:hAnsi="Cambria"/>
                <w:color w:val="222222"/>
                <w:sz w:val="14"/>
              </w:rPr>
              <w:t>Mission distinction</w:t>
            </w:r>
          </w:p>
        </w:tc>
      </w:tr>
      <w:tr>
        <w:tc>
          <w:tcPr>
            <w:tcW w:type="dxa" w:w="1950"/>
            <w:tcMar>
              <w:top w:w="55" w:type="dxa"/>
              <w:start w:w="65" w:type="dxa"/>
              <w:bottom w:w="55" w:type="dxa"/>
              <w:end w:w="65" w:type="dxa"/>
            </w:tcMar>
            <w:shd w:fill="F2F2F2"/>
          </w:tcPr>
          <w:p>
            <w:pPr>
              <w:spacing w:after="0"/>
            </w:pPr>
            <w:r>
              <w:rPr>
                <w:rFonts w:ascii="Cambria" w:hAnsi="Cambria"/>
                <w:color w:val="222222"/>
                <w:sz w:val="14"/>
              </w:rPr>
              <w:t>[6]</w:t>
            </w:r>
          </w:p>
        </w:tc>
        <w:tc>
          <w:tcPr>
            <w:tcW w:type="dxa" w:w="1950"/>
            <w:tcMar>
              <w:top w:w="55" w:type="dxa"/>
              <w:start w:w="65" w:type="dxa"/>
              <w:bottom w:w="55" w:type="dxa"/>
              <w:end w:w="65" w:type="dxa"/>
            </w:tcMar>
            <w:shd w:fill="F2F2F2"/>
          </w:tcPr>
          <w:p>
            <w:pPr>
              <w:spacing w:after="0"/>
            </w:pPr>
            <w:r>
              <w:rPr>
                <w:rFonts w:ascii="Cambria" w:hAnsi="Cambria"/>
                <w:color w:val="222222"/>
                <w:sz w:val="14"/>
              </w:rPr>
              <w:t>Weisskopf et al. (2022)</w:t>
            </w:r>
          </w:p>
        </w:tc>
        <w:tc>
          <w:tcPr>
            <w:tcW w:type="dxa" w:w="1950"/>
            <w:tcMar>
              <w:top w:w="55" w:type="dxa"/>
              <w:start w:w="65" w:type="dxa"/>
              <w:bottom w:w="55" w:type="dxa"/>
              <w:end w:w="65" w:type="dxa"/>
            </w:tcMar>
            <w:shd w:fill="F2F2F2"/>
          </w:tcPr>
          <w:p>
            <w:pPr>
              <w:spacing w:after="0"/>
            </w:pPr>
            <w:r>
              <w:rPr>
                <w:rFonts w:ascii="Cambria" w:hAnsi="Cambria"/>
                <w:color w:val="222222"/>
                <w:sz w:val="14"/>
              </w:rPr>
              <w:t>IXPE imaging polarimetry design</w:t>
            </w:r>
          </w:p>
        </w:tc>
        <w:tc>
          <w:tcPr>
            <w:tcW w:type="dxa" w:w="1950"/>
            <w:tcMar>
              <w:top w:w="55" w:type="dxa"/>
              <w:start w:w="65" w:type="dxa"/>
              <w:bottom w:w="55" w:type="dxa"/>
              <w:end w:w="65" w:type="dxa"/>
            </w:tcMar>
            <w:shd w:fill="F2F2F2"/>
          </w:tcPr>
          <w:p>
            <w:pPr>
              <w:spacing w:after="0"/>
            </w:pPr>
            <w:r>
              <w:rPr>
                <w:rFonts w:ascii="Cambria" w:hAnsi="Cambria"/>
                <w:color w:val="222222"/>
                <w:sz w:val="14"/>
              </w:rPr>
              <w:t>Different detector and energy band from POLIX</w:t>
            </w:r>
          </w:p>
        </w:tc>
        <w:tc>
          <w:tcPr>
            <w:tcW w:type="dxa" w:w="1950"/>
            <w:tcMar>
              <w:top w:w="55" w:type="dxa"/>
              <w:start w:w="65" w:type="dxa"/>
              <w:bottom w:w="55" w:type="dxa"/>
              <w:end w:w="65" w:type="dxa"/>
            </w:tcMar>
            <w:shd w:fill="F2F2F2"/>
          </w:tcPr>
          <w:p>
            <w:pPr>
              <w:spacing w:after="0"/>
            </w:pPr>
            <w:r>
              <w:rPr>
                <w:rFonts w:ascii="Cambria" w:hAnsi="Cambria"/>
                <w:color w:val="222222"/>
                <w:sz w:val="14"/>
              </w:rPr>
              <w:t>Polarimetry mission comparison</w:t>
            </w:r>
          </w:p>
        </w:tc>
      </w:tr>
      <w:tr>
        <w:tc>
          <w:tcPr>
            <w:tcW w:type="dxa" w:w="1950"/>
            <w:tcMar>
              <w:top w:w="55" w:type="dxa"/>
              <w:start w:w="65" w:type="dxa"/>
              <w:bottom w:w="55" w:type="dxa"/>
              <w:end w:w="65" w:type="dxa"/>
            </w:tcMar>
          </w:tcPr>
          <w:p>
            <w:pPr>
              <w:spacing w:after="0"/>
            </w:pPr>
            <w:r>
              <w:rPr>
                <w:rFonts w:ascii="Cambria" w:hAnsi="Cambria"/>
                <w:color w:val="222222"/>
                <w:sz w:val="14"/>
              </w:rPr>
              <w:t>[7]</w:t>
            </w:r>
          </w:p>
        </w:tc>
        <w:tc>
          <w:tcPr>
            <w:tcW w:type="dxa" w:w="1950"/>
            <w:tcMar>
              <w:top w:w="55" w:type="dxa"/>
              <w:start w:w="65" w:type="dxa"/>
              <w:bottom w:w="55" w:type="dxa"/>
              <w:end w:w="65" w:type="dxa"/>
            </w:tcMar>
          </w:tcPr>
          <w:p>
            <w:pPr>
              <w:spacing w:after="0"/>
            </w:pPr>
            <w:r>
              <w:rPr>
                <w:rFonts w:ascii="Cambria" w:hAnsi="Cambria"/>
                <w:color w:val="222222"/>
                <w:sz w:val="14"/>
              </w:rPr>
              <w:t>Fabiani (2018)</w:t>
            </w:r>
          </w:p>
        </w:tc>
        <w:tc>
          <w:tcPr>
            <w:tcW w:type="dxa" w:w="1950"/>
            <w:tcMar>
              <w:top w:w="55" w:type="dxa"/>
              <w:start w:w="65" w:type="dxa"/>
              <w:bottom w:w="55" w:type="dxa"/>
              <w:end w:w="65" w:type="dxa"/>
            </w:tcMar>
          </w:tcPr>
          <w:p>
            <w:pPr>
              <w:spacing w:after="0"/>
            </w:pPr>
            <w:r>
              <w:rPr>
                <w:rFonts w:ascii="Cambria" w:hAnsi="Cambria"/>
                <w:color w:val="222222"/>
                <w:sz w:val="14"/>
              </w:rPr>
              <w:t>X-ray polarimetry instrumentation and science foundations</w:t>
            </w:r>
          </w:p>
        </w:tc>
        <w:tc>
          <w:tcPr>
            <w:tcW w:type="dxa" w:w="1950"/>
            <w:tcMar>
              <w:top w:w="55" w:type="dxa"/>
              <w:start w:w="65" w:type="dxa"/>
              <w:bottom w:w="55" w:type="dxa"/>
              <w:end w:w="65" w:type="dxa"/>
            </w:tcMar>
          </w:tcPr>
          <w:p>
            <w:pPr>
              <w:spacing w:after="0"/>
            </w:pPr>
            <w:r>
              <w:rPr>
                <w:rFonts w:ascii="Cambria" w:hAnsi="Cambria"/>
                <w:color w:val="222222"/>
                <w:sz w:val="14"/>
              </w:rPr>
              <w:t>Broad review; mission values require current official sources</w:t>
            </w:r>
          </w:p>
        </w:tc>
        <w:tc>
          <w:tcPr>
            <w:tcW w:type="dxa" w:w="1950"/>
            <w:tcMar>
              <w:top w:w="55" w:type="dxa"/>
              <w:start w:w="65" w:type="dxa"/>
              <w:bottom w:w="55" w:type="dxa"/>
              <w:end w:w="65" w:type="dxa"/>
            </w:tcMar>
          </w:tcPr>
          <w:p>
            <w:pPr>
              <w:spacing w:after="0"/>
            </w:pPr>
            <w:r>
              <w:rPr>
                <w:rFonts w:ascii="Cambria" w:hAnsi="Cambria"/>
                <w:color w:val="222222"/>
                <w:sz w:val="14"/>
              </w:rPr>
              <w:t>Conceptual polarization background</w:t>
            </w:r>
          </w:p>
        </w:tc>
      </w:tr>
      <w:tr>
        <w:tc>
          <w:tcPr>
            <w:tcW w:type="dxa" w:w="1950"/>
            <w:tcMar>
              <w:top w:w="55" w:type="dxa"/>
              <w:start w:w="65" w:type="dxa"/>
              <w:bottom w:w="55" w:type="dxa"/>
              <w:end w:w="65" w:type="dxa"/>
            </w:tcMar>
            <w:shd w:fill="F2F2F2"/>
          </w:tcPr>
          <w:p>
            <w:pPr>
              <w:spacing w:after="0"/>
            </w:pPr>
            <w:r>
              <w:rPr>
                <w:rFonts w:ascii="Cambria" w:hAnsi="Cambria"/>
                <w:color w:val="222222"/>
                <w:sz w:val="14"/>
              </w:rPr>
              <w:t>[8]</w:t>
            </w:r>
          </w:p>
        </w:tc>
        <w:tc>
          <w:tcPr>
            <w:tcW w:type="dxa" w:w="1950"/>
            <w:tcMar>
              <w:top w:w="55" w:type="dxa"/>
              <w:start w:w="65" w:type="dxa"/>
              <w:bottom w:w="55" w:type="dxa"/>
              <w:end w:w="65" w:type="dxa"/>
            </w:tcMar>
            <w:shd w:fill="F2F2F2"/>
          </w:tcPr>
          <w:p>
            <w:pPr>
              <w:spacing w:after="0"/>
            </w:pPr>
            <w:r>
              <w:rPr>
                <w:rFonts w:ascii="Cambria" w:hAnsi="Cambria"/>
                <w:color w:val="222222"/>
                <w:sz w:val="14"/>
              </w:rPr>
              <w:t>Kislat et al. (2015)</w:t>
            </w:r>
          </w:p>
        </w:tc>
        <w:tc>
          <w:tcPr>
            <w:tcW w:type="dxa" w:w="1950"/>
            <w:tcMar>
              <w:top w:w="55" w:type="dxa"/>
              <w:start w:w="65" w:type="dxa"/>
              <w:bottom w:w="55" w:type="dxa"/>
              <w:end w:w="65" w:type="dxa"/>
            </w:tcMar>
            <w:shd w:fill="F2F2F2"/>
          </w:tcPr>
          <w:p>
            <w:pPr>
              <w:spacing w:after="0"/>
            </w:pPr>
            <w:r>
              <w:rPr>
                <w:rFonts w:ascii="Cambria" w:hAnsi="Cambria"/>
                <w:color w:val="222222"/>
                <w:sz w:val="14"/>
              </w:rPr>
              <w:t>Stokes Q/U, background and polarimetric statistics</w:t>
            </w:r>
          </w:p>
        </w:tc>
        <w:tc>
          <w:tcPr>
            <w:tcW w:type="dxa" w:w="1950"/>
            <w:tcMar>
              <w:top w:w="55" w:type="dxa"/>
              <w:start w:w="65" w:type="dxa"/>
              <w:bottom w:w="55" w:type="dxa"/>
              <w:end w:w="65" w:type="dxa"/>
            </w:tcMar>
            <w:shd w:fill="F2F2F2"/>
          </w:tcPr>
          <w:p>
            <w:pPr>
              <w:spacing w:after="0"/>
            </w:pPr>
            <w:r>
              <w:rPr>
                <w:rFonts w:ascii="Cambria" w:hAnsi="Cambria"/>
                <w:color w:val="222222"/>
                <w:sz w:val="14"/>
              </w:rPr>
              <w:t>Not POLIX-product specific</w:t>
            </w:r>
          </w:p>
        </w:tc>
        <w:tc>
          <w:tcPr>
            <w:tcW w:type="dxa" w:w="1950"/>
            <w:tcMar>
              <w:top w:w="55" w:type="dxa"/>
              <w:start w:w="65" w:type="dxa"/>
              <w:bottom w:w="55" w:type="dxa"/>
              <w:end w:w="65" w:type="dxa"/>
            </w:tcMar>
            <w:shd w:fill="F2F2F2"/>
          </w:tcPr>
          <w:p>
            <w:pPr>
              <w:spacing w:after="0"/>
            </w:pPr>
            <w:r>
              <w:rPr>
                <w:rFonts w:ascii="Cambria" w:hAnsi="Cambria"/>
                <w:color w:val="222222"/>
                <w:sz w:val="14"/>
              </w:rPr>
              <w:t>Physical-analysis foundation</w:t>
            </w:r>
          </w:p>
        </w:tc>
      </w:tr>
      <w:tr>
        <w:tc>
          <w:tcPr>
            <w:tcW w:type="dxa" w:w="1950"/>
            <w:tcMar>
              <w:top w:w="55" w:type="dxa"/>
              <w:start w:w="65" w:type="dxa"/>
              <w:bottom w:w="55" w:type="dxa"/>
              <w:end w:w="65" w:type="dxa"/>
            </w:tcMar>
          </w:tcPr>
          <w:p>
            <w:pPr>
              <w:spacing w:after="0"/>
            </w:pPr>
            <w:r>
              <w:rPr>
                <w:rFonts w:ascii="Cambria" w:hAnsi="Cambria"/>
                <w:color w:val="222222"/>
                <w:sz w:val="14"/>
              </w:rPr>
              <w:t>[9]</w:t>
            </w:r>
          </w:p>
        </w:tc>
        <w:tc>
          <w:tcPr>
            <w:tcW w:type="dxa" w:w="1950"/>
            <w:tcMar>
              <w:top w:w="55" w:type="dxa"/>
              <w:start w:w="65" w:type="dxa"/>
              <w:bottom w:w="55" w:type="dxa"/>
              <w:end w:w="65" w:type="dxa"/>
            </w:tcMar>
          </w:tcPr>
          <w:p>
            <w:pPr>
              <w:spacing w:after="0"/>
            </w:pPr>
            <w:r>
              <w:rPr>
                <w:rFonts w:ascii="Cambria" w:hAnsi="Cambria"/>
                <w:color w:val="222222"/>
                <w:sz w:val="14"/>
              </w:rPr>
              <w:t>Doroshenko et al. (2022)</w:t>
            </w:r>
          </w:p>
        </w:tc>
        <w:tc>
          <w:tcPr>
            <w:tcW w:type="dxa" w:w="1950"/>
            <w:tcMar>
              <w:top w:w="55" w:type="dxa"/>
              <w:start w:w="65" w:type="dxa"/>
              <w:bottom w:w="55" w:type="dxa"/>
              <w:end w:w="65" w:type="dxa"/>
            </w:tcMar>
          </w:tcPr>
          <w:p>
            <w:pPr>
              <w:spacing w:after="0"/>
            </w:pPr>
            <w:r>
              <w:rPr>
                <w:rFonts w:ascii="Cambria" w:hAnsi="Cambria"/>
                <w:color w:val="222222"/>
                <w:sz w:val="14"/>
              </w:rPr>
              <w:t>Phase-resolved IXPE constraints on Her X-1 geometry</w:t>
            </w:r>
          </w:p>
        </w:tc>
        <w:tc>
          <w:tcPr>
            <w:tcW w:type="dxa" w:w="1950"/>
            <w:tcMar>
              <w:top w:w="55" w:type="dxa"/>
              <w:start w:w="65" w:type="dxa"/>
              <w:bottom w:w="55" w:type="dxa"/>
              <w:end w:w="65" w:type="dxa"/>
            </w:tcMar>
          </w:tcPr>
          <w:p>
            <w:pPr>
              <w:spacing w:after="0"/>
            </w:pPr>
            <w:r>
              <w:rPr>
                <w:rFonts w:ascii="Cambria" w:hAnsi="Cambria"/>
                <w:color w:val="222222"/>
                <w:sz w:val="14"/>
              </w:rPr>
              <w:t>Source- and mission-specific calibrated study</w:t>
            </w:r>
          </w:p>
        </w:tc>
        <w:tc>
          <w:tcPr>
            <w:tcW w:type="dxa" w:w="1950"/>
            <w:tcMar>
              <w:top w:w="55" w:type="dxa"/>
              <w:start w:w="65" w:type="dxa"/>
              <w:bottom w:w="55" w:type="dxa"/>
              <w:end w:w="65" w:type="dxa"/>
            </w:tcMar>
          </w:tcPr>
          <w:p>
            <w:pPr>
              <w:spacing w:after="0"/>
            </w:pPr>
            <w:r>
              <w:rPr>
                <w:rFonts w:ascii="Cambria" w:hAnsi="Cambria"/>
                <w:color w:val="222222"/>
                <w:sz w:val="14"/>
              </w:rPr>
              <w:t>Timing and geometry motivation</w:t>
            </w:r>
          </w:p>
        </w:tc>
      </w:tr>
      <w:tr>
        <w:tc>
          <w:tcPr>
            <w:tcW w:type="dxa" w:w="1950"/>
            <w:tcMar>
              <w:top w:w="55" w:type="dxa"/>
              <w:start w:w="65" w:type="dxa"/>
              <w:bottom w:w="55" w:type="dxa"/>
              <w:end w:w="65" w:type="dxa"/>
            </w:tcMar>
            <w:shd w:fill="F2F2F2"/>
          </w:tcPr>
          <w:p>
            <w:pPr>
              <w:spacing w:after="0"/>
            </w:pPr>
            <w:r>
              <w:rPr>
                <w:rFonts w:ascii="Cambria" w:hAnsi="Cambria"/>
                <w:color w:val="222222"/>
                <w:sz w:val="14"/>
              </w:rPr>
              <w:t>[10]</w:t>
            </w:r>
          </w:p>
        </w:tc>
        <w:tc>
          <w:tcPr>
            <w:tcW w:type="dxa" w:w="1950"/>
            <w:tcMar>
              <w:top w:w="55" w:type="dxa"/>
              <w:start w:w="65" w:type="dxa"/>
              <w:bottom w:w="55" w:type="dxa"/>
              <w:end w:w="65" w:type="dxa"/>
            </w:tcMar>
            <w:shd w:fill="F2F2F2"/>
          </w:tcPr>
          <w:p>
            <w:pPr>
              <w:spacing w:after="0"/>
            </w:pPr>
            <w:r>
              <w:rPr>
                <w:rFonts w:ascii="Cambria" w:hAnsi="Cambria"/>
                <w:color w:val="222222"/>
                <w:sz w:val="14"/>
              </w:rPr>
              <w:t>Krawczynski et al. (2022)</w:t>
            </w:r>
          </w:p>
        </w:tc>
        <w:tc>
          <w:tcPr>
            <w:tcW w:type="dxa" w:w="1950"/>
            <w:tcMar>
              <w:top w:w="55" w:type="dxa"/>
              <w:start w:w="65" w:type="dxa"/>
              <w:bottom w:w="55" w:type="dxa"/>
              <w:end w:w="65" w:type="dxa"/>
            </w:tcMar>
            <w:shd w:fill="F2F2F2"/>
          </w:tcPr>
          <w:p>
            <w:pPr>
              <w:spacing w:after="0"/>
            </w:pPr>
            <w:r>
              <w:rPr>
                <w:rFonts w:ascii="Cambria" w:hAnsi="Cambria"/>
                <w:color w:val="222222"/>
                <w:sz w:val="14"/>
              </w:rPr>
              <w:t>Cyg X-1 polarization constrains disc/jet geometry</w:t>
            </w:r>
          </w:p>
        </w:tc>
        <w:tc>
          <w:tcPr>
            <w:tcW w:type="dxa" w:w="1950"/>
            <w:tcMar>
              <w:top w:w="55" w:type="dxa"/>
              <w:start w:w="65" w:type="dxa"/>
              <w:bottom w:w="55" w:type="dxa"/>
              <w:end w:w="65" w:type="dxa"/>
            </w:tcMar>
            <w:shd w:fill="F2F2F2"/>
          </w:tcPr>
          <w:p>
            <w:pPr>
              <w:spacing w:after="0"/>
            </w:pPr>
            <w:r>
              <w:rPr>
                <w:rFonts w:ascii="Cambria" w:hAnsi="Cambria"/>
                <w:color w:val="222222"/>
                <w:sz w:val="14"/>
              </w:rPr>
              <w:t>Cannot be transferred directly to POLIX anomaly scores</w:t>
            </w:r>
          </w:p>
        </w:tc>
        <w:tc>
          <w:tcPr>
            <w:tcW w:type="dxa" w:w="1950"/>
            <w:tcMar>
              <w:top w:w="55" w:type="dxa"/>
              <w:start w:w="65" w:type="dxa"/>
              <w:bottom w:w="55" w:type="dxa"/>
              <w:end w:w="65" w:type="dxa"/>
            </w:tcMar>
            <w:shd w:fill="F2F2F2"/>
          </w:tcPr>
          <w:p>
            <w:pPr>
              <w:spacing w:after="0"/>
            </w:pPr>
            <w:r>
              <w:rPr>
                <w:rFonts w:ascii="Cambria" w:hAnsi="Cambria"/>
                <w:color w:val="222222"/>
                <w:sz w:val="14"/>
              </w:rPr>
              <w:t>Scientific motivation</w:t>
            </w:r>
          </w:p>
        </w:tc>
      </w:tr>
      <w:tr>
        <w:tc>
          <w:tcPr>
            <w:tcW w:type="dxa" w:w="1950"/>
            <w:tcMar>
              <w:top w:w="55" w:type="dxa"/>
              <w:start w:w="65" w:type="dxa"/>
              <w:bottom w:w="55" w:type="dxa"/>
              <w:end w:w="65" w:type="dxa"/>
            </w:tcMar>
          </w:tcPr>
          <w:p>
            <w:pPr>
              <w:spacing w:after="0"/>
            </w:pPr>
            <w:r>
              <w:rPr>
                <w:rFonts w:ascii="Cambria" w:hAnsi="Cambria"/>
                <w:color w:val="222222"/>
                <w:sz w:val="14"/>
              </w:rPr>
              <w:t>[11]</w:t>
            </w:r>
          </w:p>
        </w:tc>
        <w:tc>
          <w:tcPr>
            <w:tcW w:type="dxa" w:w="1950"/>
            <w:tcMar>
              <w:top w:w="55" w:type="dxa"/>
              <w:start w:w="65" w:type="dxa"/>
              <w:bottom w:w="55" w:type="dxa"/>
              <w:end w:w="65" w:type="dxa"/>
            </w:tcMar>
          </w:tcPr>
          <w:p>
            <w:pPr>
              <w:spacing w:after="0"/>
            </w:pPr>
            <w:r>
              <w:rPr>
                <w:rFonts w:ascii="Cambria" w:hAnsi="Cambria"/>
                <w:color w:val="222222"/>
                <w:sz w:val="14"/>
              </w:rPr>
              <w:t>Bucciantini et al. (2023)</w:t>
            </w:r>
          </w:p>
        </w:tc>
        <w:tc>
          <w:tcPr>
            <w:tcW w:type="dxa" w:w="1950"/>
            <w:tcMar>
              <w:top w:w="55" w:type="dxa"/>
              <w:start w:w="65" w:type="dxa"/>
              <w:bottom w:w="55" w:type="dxa"/>
              <w:end w:w="65" w:type="dxa"/>
            </w:tcMar>
          </w:tcPr>
          <w:p>
            <w:pPr>
              <w:spacing w:after="0"/>
            </w:pPr>
            <w:r>
              <w:rPr>
                <w:rFonts w:ascii="Cambria" w:hAnsi="Cambria"/>
                <w:color w:val="222222"/>
                <w:sz w:val="14"/>
              </w:rPr>
              <w:t>Spatial/phase-resolved Crab polarimetry</w:t>
            </w:r>
          </w:p>
        </w:tc>
        <w:tc>
          <w:tcPr>
            <w:tcW w:type="dxa" w:w="1950"/>
            <w:tcMar>
              <w:top w:w="55" w:type="dxa"/>
              <w:start w:w="65" w:type="dxa"/>
              <w:bottom w:w="55" w:type="dxa"/>
              <w:end w:w="65" w:type="dxa"/>
            </w:tcMar>
          </w:tcPr>
          <w:p>
            <w:pPr>
              <w:spacing w:after="0"/>
            </w:pPr>
            <w:r>
              <w:rPr>
                <w:rFonts w:ascii="Cambria" w:hAnsi="Cambria"/>
                <w:color w:val="222222"/>
                <w:sz w:val="14"/>
              </w:rPr>
              <w:t>IXPE imaging not available to POLIX</w:t>
            </w:r>
          </w:p>
        </w:tc>
        <w:tc>
          <w:tcPr>
            <w:tcW w:type="dxa" w:w="1950"/>
            <w:tcMar>
              <w:top w:w="55" w:type="dxa"/>
              <w:start w:w="65" w:type="dxa"/>
              <w:bottom w:w="55" w:type="dxa"/>
              <w:end w:w="65" w:type="dxa"/>
            </w:tcMar>
          </w:tcPr>
          <w:p>
            <w:pPr>
              <w:spacing w:after="0"/>
            </w:pPr>
            <w:r>
              <w:rPr>
                <w:rFonts w:ascii="Cambria" w:hAnsi="Cambria"/>
                <w:color w:val="222222"/>
                <w:sz w:val="14"/>
              </w:rPr>
              <w:t>Aggregation caution</w:t>
            </w:r>
          </w:p>
        </w:tc>
      </w:tr>
      <w:tr>
        <w:tc>
          <w:tcPr>
            <w:tcW w:type="dxa" w:w="1950"/>
            <w:tcMar>
              <w:top w:w="55" w:type="dxa"/>
              <w:start w:w="65" w:type="dxa"/>
              <w:bottom w:w="55" w:type="dxa"/>
              <w:end w:w="65" w:type="dxa"/>
            </w:tcMar>
            <w:shd w:fill="F2F2F2"/>
          </w:tcPr>
          <w:p>
            <w:pPr>
              <w:spacing w:after="0"/>
            </w:pPr>
            <w:r>
              <w:rPr>
                <w:rFonts w:ascii="Cambria" w:hAnsi="Cambria"/>
                <w:color w:val="222222"/>
                <w:sz w:val="14"/>
              </w:rPr>
              <w:t>[12]</w:t>
            </w:r>
          </w:p>
        </w:tc>
        <w:tc>
          <w:tcPr>
            <w:tcW w:type="dxa" w:w="1950"/>
            <w:tcMar>
              <w:top w:w="55" w:type="dxa"/>
              <w:start w:w="65" w:type="dxa"/>
              <w:bottom w:w="55" w:type="dxa"/>
              <w:end w:w="65" w:type="dxa"/>
            </w:tcMar>
            <w:shd w:fill="F2F2F2"/>
          </w:tcPr>
          <w:p>
            <w:pPr>
              <w:spacing w:after="0"/>
            </w:pPr>
            <w:r>
              <w:rPr>
                <w:rFonts w:ascii="Cambria" w:hAnsi="Cambria"/>
                <w:color w:val="222222"/>
                <w:sz w:val="14"/>
              </w:rPr>
              <w:t>Pearson (1901)</w:t>
            </w:r>
          </w:p>
        </w:tc>
        <w:tc>
          <w:tcPr>
            <w:tcW w:type="dxa" w:w="1950"/>
            <w:tcMar>
              <w:top w:w="55" w:type="dxa"/>
              <w:start w:w="65" w:type="dxa"/>
              <w:bottom w:w="55" w:type="dxa"/>
              <w:end w:w="65" w:type="dxa"/>
            </w:tcMar>
            <w:shd w:fill="F2F2F2"/>
          </w:tcPr>
          <w:p>
            <w:pPr>
              <w:spacing w:after="0"/>
            </w:pPr>
            <w:r>
              <w:rPr>
                <w:rFonts w:ascii="Cambria" w:hAnsi="Cambria"/>
                <w:color w:val="222222"/>
                <w:sz w:val="14"/>
              </w:rPr>
              <w:t>Foundation of principal-component representation</w:t>
            </w:r>
          </w:p>
        </w:tc>
        <w:tc>
          <w:tcPr>
            <w:tcW w:type="dxa" w:w="1950"/>
            <w:tcMar>
              <w:top w:w="55" w:type="dxa"/>
              <w:start w:w="65" w:type="dxa"/>
              <w:bottom w:w="55" w:type="dxa"/>
              <w:end w:w="65" w:type="dxa"/>
            </w:tcMar>
            <w:shd w:fill="F2F2F2"/>
          </w:tcPr>
          <w:p>
            <w:pPr>
              <w:spacing w:after="0"/>
            </w:pPr>
            <w:r>
              <w:rPr>
                <w:rFonts w:ascii="Cambria" w:hAnsi="Cambria"/>
                <w:color w:val="222222"/>
                <w:sz w:val="14"/>
              </w:rPr>
              <w:t>Variance is not physical importance</w:t>
            </w:r>
          </w:p>
        </w:tc>
        <w:tc>
          <w:tcPr>
            <w:tcW w:type="dxa" w:w="1950"/>
            <w:tcMar>
              <w:top w:w="55" w:type="dxa"/>
              <w:start w:w="65" w:type="dxa"/>
              <w:bottom w:w="55" w:type="dxa"/>
              <w:end w:w="65" w:type="dxa"/>
            </w:tcMar>
            <w:shd w:fill="F2F2F2"/>
          </w:tcPr>
          <w:p>
            <w:pPr>
              <w:spacing w:after="0"/>
            </w:pPr>
            <w:r>
              <w:rPr>
                <w:rFonts w:ascii="Cambria" w:hAnsi="Cambria"/>
                <w:color w:val="222222"/>
                <w:sz w:val="14"/>
              </w:rPr>
              <w:t>Exploratory structure</w:t>
            </w:r>
          </w:p>
        </w:tc>
      </w:tr>
      <w:tr>
        <w:tc>
          <w:tcPr>
            <w:tcW w:type="dxa" w:w="1950"/>
            <w:tcMar>
              <w:top w:w="55" w:type="dxa"/>
              <w:start w:w="65" w:type="dxa"/>
              <w:bottom w:w="55" w:type="dxa"/>
              <w:end w:w="65" w:type="dxa"/>
            </w:tcMar>
          </w:tcPr>
          <w:p>
            <w:pPr>
              <w:spacing w:after="0"/>
            </w:pPr>
            <w:r>
              <w:rPr>
                <w:rFonts w:ascii="Cambria" w:hAnsi="Cambria"/>
                <w:color w:val="222222"/>
                <w:sz w:val="14"/>
              </w:rPr>
              <w:t>[13]</w:t>
            </w:r>
          </w:p>
        </w:tc>
        <w:tc>
          <w:tcPr>
            <w:tcW w:type="dxa" w:w="1950"/>
            <w:tcMar>
              <w:top w:w="55" w:type="dxa"/>
              <w:start w:w="65" w:type="dxa"/>
              <w:bottom w:w="55" w:type="dxa"/>
              <w:end w:w="65" w:type="dxa"/>
            </w:tcMar>
          </w:tcPr>
          <w:p>
            <w:pPr>
              <w:spacing w:after="0"/>
            </w:pPr>
            <w:r>
              <w:rPr>
                <w:rFonts w:ascii="Cambria" w:hAnsi="Cambria"/>
                <w:color w:val="222222"/>
                <w:sz w:val="14"/>
              </w:rPr>
              <w:t>MacQueen (1967)</w:t>
            </w:r>
          </w:p>
        </w:tc>
        <w:tc>
          <w:tcPr>
            <w:tcW w:type="dxa" w:w="1950"/>
            <w:tcMar>
              <w:top w:w="55" w:type="dxa"/>
              <w:start w:w="65" w:type="dxa"/>
              <w:bottom w:w="55" w:type="dxa"/>
              <w:end w:w="65" w:type="dxa"/>
            </w:tcMar>
          </w:tcPr>
          <w:p>
            <w:pPr>
              <w:spacing w:after="0"/>
            </w:pPr>
            <w:r>
              <w:rPr>
                <w:rFonts w:ascii="Cambria" w:hAnsi="Cambria"/>
                <w:color w:val="222222"/>
                <w:sz w:val="14"/>
              </w:rPr>
              <w:t>KMeans clustering method</w:t>
            </w:r>
          </w:p>
        </w:tc>
        <w:tc>
          <w:tcPr>
            <w:tcW w:type="dxa" w:w="1950"/>
            <w:tcMar>
              <w:top w:w="55" w:type="dxa"/>
              <w:start w:w="65" w:type="dxa"/>
              <w:bottom w:w="55" w:type="dxa"/>
              <w:end w:w="65" w:type="dxa"/>
            </w:tcMar>
          </w:tcPr>
          <w:p>
            <w:pPr>
              <w:spacing w:after="0"/>
            </w:pPr>
            <w:r>
              <w:rPr>
                <w:rFonts w:ascii="Cambria" w:hAnsi="Cambria"/>
                <w:color w:val="222222"/>
                <w:sz w:val="14"/>
              </w:rPr>
              <w:t>Requires scaling and k; cluster shape assumptions</w:t>
            </w:r>
          </w:p>
        </w:tc>
        <w:tc>
          <w:tcPr>
            <w:tcW w:type="dxa" w:w="1950"/>
            <w:tcMar>
              <w:top w:w="55" w:type="dxa"/>
              <w:start w:w="65" w:type="dxa"/>
              <w:bottom w:w="55" w:type="dxa"/>
              <w:end w:w="65" w:type="dxa"/>
            </w:tcMar>
          </w:tcPr>
          <w:p>
            <w:pPr>
              <w:spacing w:after="0"/>
            </w:pPr>
            <w:r>
              <w:rPr>
                <w:rFonts w:ascii="Cambria" w:hAnsi="Cambria"/>
                <w:color w:val="222222"/>
                <w:sz w:val="14"/>
              </w:rPr>
              <w:t>Exploratory grouping</w:t>
            </w:r>
          </w:p>
        </w:tc>
      </w:tr>
      <w:tr>
        <w:tc>
          <w:tcPr>
            <w:tcW w:type="dxa" w:w="1950"/>
            <w:tcMar>
              <w:top w:w="55" w:type="dxa"/>
              <w:start w:w="65" w:type="dxa"/>
              <w:bottom w:w="55" w:type="dxa"/>
              <w:end w:w="65" w:type="dxa"/>
            </w:tcMar>
            <w:shd w:fill="F2F2F2"/>
          </w:tcPr>
          <w:p>
            <w:pPr>
              <w:spacing w:after="0"/>
            </w:pPr>
            <w:r>
              <w:rPr>
                <w:rFonts w:ascii="Cambria" w:hAnsi="Cambria"/>
                <w:color w:val="222222"/>
                <w:sz w:val="14"/>
              </w:rPr>
              <w:t>[14]</w:t>
            </w:r>
          </w:p>
        </w:tc>
        <w:tc>
          <w:tcPr>
            <w:tcW w:type="dxa" w:w="1950"/>
            <w:tcMar>
              <w:top w:w="55" w:type="dxa"/>
              <w:start w:w="65" w:type="dxa"/>
              <w:bottom w:w="55" w:type="dxa"/>
              <w:end w:w="65" w:type="dxa"/>
            </w:tcMar>
            <w:shd w:fill="F2F2F2"/>
          </w:tcPr>
          <w:p>
            <w:pPr>
              <w:spacing w:after="0"/>
            </w:pPr>
            <w:r>
              <w:rPr>
                <w:rFonts w:ascii="Cambria" w:hAnsi="Cambria"/>
                <w:color w:val="222222"/>
                <w:sz w:val="14"/>
              </w:rPr>
              <w:t>Liu, Ting and Zhou (2008)</w:t>
            </w:r>
          </w:p>
        </w:tc>
        <w:tc>
          <w:tcPr>
            <w:tcW w:type="dxa" w:w="1950"/>
            <w:tcMar>
              <w:top w:w="55" w:type="dxa"/>
              <w:start w:w="65" w:type="dxa"/>
              <w:bottom w:w="55" w:type="dxa"/>
              <w:end w:w="65" w:type="dxa"/>
            </w:tcMar>
            <w:shd w:fill="F2F2F2"/>
          </w:tcPr>
          <w:p>
            <w:pPr>
              <w:spacing w:after="0"/>
            </w:pPr>
            <w:r>
              <w:rPr>
                <w:rFonts w:ascii="Cambria" w:hAnsi="Cambria"/>
                <w:color w:val="222222"/>
                <w:sz w:val="14"/>
              </w:rPr>
              <w:t>Isolation Forest anomaly detection</w:t>
            </w:r>
          </w:p>
        </w:tc>
        <w:tc>
          <w:tcPr>
            <w:tcW w:type="dxa" w:w="1950"/>
            <w:tcMar>
              <w:top w:w="55" w:type="dxa"/>
              <w:start w:w="65" w:type="dxa"/>
              <w:bottom w:w="55" w:type="dxa"/>
              <w:end w:w="65" w:type="dxa"/>
            </w:tcMar>
            <w:shd w:fill="F2F2F2"/>
          </w:tcPr>
          <w:p>
            <w:pPr>
              <w:spacing w:after="0"/>
            </w:pPr>
            <w:r>
              <w:rPr>
                <w:rFonts w:ascii="Cambria" w:hAnsi="Cambria"/>
                <w:color w:val="222222"/>
                <w:sz w:val="14"/>
              </w:rPr>
              <w:t>Sample- and parameter-dependent; no causal meaning</w:t>
            </w:r>
          </w:p>
        </w:tc>
        <w:tc>
          <w:tcPr>
            <w:tcW w:type="dxa" w:w="1950"/>
            <w:tcMar>
              <w:top w:w="55" w:type="dxa"/>
              <w:start w:w="65" w:type="dxa"/>
              <w:bottom w:w="55" w:type="dxa"/>
              <w:end w:w="65" w:type="dxa"/>
            </w:tcMar>
            <w:shd w:fill="F2F2F2"/>
          </w:tcPr>
          <w:p>
            <w:pPr>
              <w:spacing w:after="0"/>
            </w:pPr>
            <w:r>
              <w:rPr>
                <w:rFonts w:ascii="Cambria" w:hAnsi="Cambria"/>
                <w:color w:val="222222"/>
                <w:sz w:val="14"/>
              </w:rPr>
              <w:t>Candidate screening method</w:t>
            </w:r>
          </w:p>
        </w:tc>
      </w:tr>
      <w:tr>
        <w:tc>
          <w:tcPr>
            <w:tcW w:type="dxa" w:w="1950"/>
            <w:tcMar>
              <w:top w:w="55" w:type="dxa"/>
              <w:start w:w="65" w:type="dxa"/>
              <w:bottom w:w="55" w:type="dxa"/>
              <w:end w:w="65" w:type="dxa"/>
            </w:tcMar>
          </w:tcPr>
          <w:p>
            <w:pPr>
              <w:spacing w:after="0"/>
            </w:pPr>
            <w:r>
              <w:rPr>
                <w:rFonts w:ascii="Cambria" w:hAnsi="Cambria"/>
                <w:color w:val="222222"/>
                <w:sz w:val="14"/>
              </w:rPr>
              <w:t>[15]</w:t>
            </w:r>
          </w:p>
        </w:tc>
        <w:tc>
          <w:tcPr>
            <w:tcW w:type="dxa" w:w="1950"/>
            <w:tcMar>
              <w:top w:w="55" w:type="dxa"/>
              <w:start w:w="65" w:type="dxa"/>
              <w:bottom w:w="55" w:type="dxa"/>
              <w:end w:w="65" w:type="dxa"/>
            </w:tcMar>
          </w:tcPr>
          <w:p>
            <w:pPr>
              <w:spacing w:after="0"/>
            </w:pPr>
            <w:r>
              <w:rPr>
                <w:rFonts w:ascii="Cambria" w:hAnsi="Cambria"/>
                <w:color w:val="222222"/>
                <w:sz w:val="14"/>
              </w:rPr>
              <w:t>Baron and Poznanski (2017)</w:t>
            </w:r>
          </w:p>
        </w:tc>
        <w:tc>
          <w:tcPr>
            <w:tcW w:type="dxa" w:w="1950"/>
            <w:tcMar>
              <w:top w:w="55" w:type="dxa"/>
              <w:start w:w="65" w:type="dxa"/>
              <w:bottom w:w="55" w:type="dxa"/>
              <w:end w:w="65" w:type="dxa"/>
            </w:tcMar>
          </w:tcPr>
          <w:p>
            <w:pPr>
              <w:spacing w:after="0"/>
            </w:pPr>
            <w:r>
              <w:rPr>
                <w:rFonts w:ascii="Cambria" w:hAnsi="Cambria"/>
                <w:color w:val="222222"/>
                <w:sz w:val="14"/>
              </w:rPr>
              <w:t>Astronomical outlier ranking at archive scale</w:t>
            </w:r>
          </w:p>
        </w:tc>
        <w:tc>
          <w:tcPr>
            <w:tcW w:type="dxa" w:w="1950"/>
            <w:tcMar>
              <w:top w:w="55" w:type="dxa"/>
              <w:start w:w="65" w:type="dxa"/>
              <w:bottom w:w="55" w:type="dxa"/>
              <w:end w:w="65" w:type="dxa"/>
            </w:tcMar>
          </w:tcPr>
          <w:p>
            <w:pPr>
              <w:spacing w:after="0"/>
            </w:pPr>
            <w:r>
              <w:rPr>
                <w:rFonts w:ascii="Cambria" w:hAnsi="Cambria"/>
                <w:color w:val="222222"/>
                <w:sz w:val="14"/>
              </w:rPr>
              <w:t>Very large homogeneous dataset unlike POLIX sample</w:t>
            </w:r>
          </w:p>
        </w:tc>
        <w:tc>
          <w:tcPr>
            <w:tcW w:type="dxa" w:w="1950"/>
            <w:tcMar>
              <w:top w:w="55" w:type="dxa"/>
              <w:start w:w="65" w:type="dxa"/>
              <w:bottom w:w="55" w:type="dxa"/>
              <w:end w:w="65" w:type="dxa"/>
            </w:tcMar>
          </w:tcPr>
          <w:p>
            <w:pPr>
              <w:spacing w:after="0"/>
            </w:pPr>
            <w:r>
              <w:rPr>
                <w:rFonts w:ascii="Cambria" w:hAnsi="Cambria"/>
                <w:color w:val="222222"/>
                <w:sz w:val="14"/>
              </w:rPr>
              <w:t>Prioritization precedent</w:t>
            </w:r>
          </w:p>
        </w:tc>
      </w:tr>
      <w:tr>
        <w:tc>
          <w:tcPr>
            <w:tcW w:type="dxa" w:w="1950"/>
            <w:tcMar>
              <w:top w:w="55" w:type="dxa"/>
              <w:start w:w="65" w:type="dxa"/>
              <w:bottom w:w="55" w:type="dxa"/>
              <w:end w:w="65" w:type="dxa"/>
            </w:tcMar>
            <w:shd w:fill="F2F2F2"/>
          </w:tcPr>
          <w:p>
            <w:pPr>
              <w:spacing w:after="0"/>
            </w:pPr>
            <w:r>
              <w:rPr>
                <w:rFonts w:ascii="Cambria" w:hAnsi="Cambria"/>
                <w:color w:val="222222"/>
                <w:sz w:val="14"/>
              </w:rPr>
              <w:t>[16]</w:t>
            </w:r>
          </w:p>
        </w:tc>
        <w:tc>
          <w:tcPr>
            <w:tcW w:type="dxa" w:w="1950"/>
            <w:tcMar>
              <w:top w:w="55" w:type="dxa"/>
              <w:start w:w="65" w:type="dxa"/>
              <w:bottom w:w="55" w:type="dxa"/>
              <w:end w:w="65" w:type="dxa"/>
            </w:tcMar>
            <w:shd w:fill="F2F2F2"/>
          </w:tcPr>
          <w:p>
            <w:pPr>
              <w:spacing w:after="0"/>
            </w:pPr>
            <w:r>
              <w:rPr>
                <w:rFonts w:ascii="Cambria" w:hAnsi="Cambria"/>
                <w:color w:val="222222"/>
                <w:sz w:val="14"/>
              </w:rPr>
              <w:t>Lochner and Bassett (2021)</w:t>
            </w:r>
          </w:p>
        </w:tc>
        <w:tc>
          <w:tcPr>
            <w:tcW w:type="dxa" w:w="1950"/>
            <w:tcMar>
              <w:top w:w="55" w:type="dxa"/>
              <w:start w:w="65" w:type="dxa"/>
              <w:bottom w:w="55" w:type="dxa"/>
              <w:end w:w="65" w:type="dxa"/>
            </w:tcMar>
            <w:shd w:fill="F2F2F2"/>
          </w:tcPr>
          <w:p>
            <w:pPr>
              <w:spacing w:after="0"/>
            </w:pPr>
            <w:r>
              <w:rPr>
                <w:rFonts w:ascii="Cambria" w:hAnsi="Cambria"/>
                <w:color w:val="222222"/>
                <w:sz w:val="14"/>
              </w:rPr>
              <w:t>Human-in-the-loop astronomical anomaly discovery</w:t>
            </w:r>
          </w:p>
        </w:tc>
        <w:tc>
          <w:tcPr>
            <w:tcW w:type="dxa" w:w="1950"/>
            <w:tcMar>
              <w:top w:w="55" w:type="dxa"/>
              <w:start w:w="65" w:type="dxa"/>
              <w:bottom w:w="55" w:type="dxa"/>
              <w:end w:w="65" w:type="dxa"/>
            </w:tcMar>
            <w:shd w:fill="F2F2F2"/>
          </w:tcPr>
          <w:p>
            <w:pPr>
              <w:spacing w:after="0"/>
            </w:pPr>
            <w:r>
              <w:rPr>
                <w:rFonts w:ascii="Cambria" w:hAnsi="Cambria"/>
                <w:color w:val="222222"/>
                <w:sz w:val="14"/>
              </w:rPr>
              <w:t>Generic framework without POLIX semantics</w:t>
            </w:r>
          </w:p>
        </w:tc>
        <w:tc>
          <w:tcPr>
            <w:tcW w:type="dxa" w:w="1950"/>
            <w:tcMar>
              <w:top w:w="55" w:type="dxa"/>
              <w:start w:w="65" w:type="dxa"/>
              <w:bottom w:w="55" w:type="dxa"/>
              <w:end w:w="65" w:type="dxa"/>
            </w:tcMar>
            <w:shd w:fill="F2F2F2"/>
          </w:tcPr>
          <w:p>
            <w:pPr>
              <w:spacing w:after="0"/>
            </w:pPr>
            <w:r>
              <w:rPr>
                <w:rFonts w:ascii="Cambria" w:hAnsi="Cambria"/>
                <w:color w:val="222222"/>
                <w:sz w:val="14"/>
              </w:rPr>
              <w:t>Researcher-facing design precedent</w:t>
            </w:r>
          </w:p>
        </w:tc>
      </w:tr>
      <w:tr>
        <w:tc>
          <w:tcPr>
            <w:tcW w:type="dxa" w:w="1950"/>
            <w:tcMar>
              <w:top w:w="55" w:type="dxa"/>
              <w:start w:w="65" w:type="dxa"/>
              <w:bottom w:w="55" w:type="dxa"/>
              <w:end w:w="65" w:type="dxa"/>
            </w:tcMar>
          </w:tcPr>
          <w:p>
            <w:pPr>
              <w:spacing w:after="0"/>
            </w:pPr>
            <w:r>
              <w:rPr>
                <w:rFonts w:ascii="Cambria" w:hAnsi="Cambria"/>
                <w:color w:val="222222"/>
                <w:sz w:val="14"/>
              </w:rPr>
              <w:t>[17]</w:t>
            </w:r>
          </w:p>
        </w:tc>
        <w:tc>
          <w:tcPr>
            <w:tcW w:type="dxa" w:w="1950"/>
            <w:tcMar>
              <w:top w:w="55" w:type="dxa"/>
              <w:start w:w="65" w:type="dxa"/>
              <w:bottom w:w="55" w:type="dxa"/>
              <w:end w:w="65" w:type="dxa"/>
            </w:tcMar>
          </w:tcPr>
          <w:p>
            <w:pPr>
              <w:spacing w:after="0"/>
            </w:pPr>
            <w:r>
              <w:rPr>
                <w:rFonts w:ascii="Cambria" w:hAnsi="Cambria"/>
                <w:color w:val="222222"/>
                <w:sz w:val="14"/>
              </w:rPr>
              <w:t>Lundberg and Lee (2017)</w:t>
            </w:r>
          </w:p>
        </w:tc>
        <w:tc>
          <w:tcPr>
            <w:tcW w:type="dxa" w:w="1950"/>
            <w:tcMar>
              <w:top w:w="55" w:type="dxa"/>
              <w:start w:w="65" w:type="dxa"/>
              <w:bottom w:w="55" w:type="dxa"/>
              <w:end w:w="65" w:type="dxa"/>
            </w:tcMar>
          </w:tcPr>
          <w:p>
            <w:pPr>
              <w:spacing w:after="0"/>
            </w:pPr>
            <w:r>
              <w:rPr>
                <w:rFonts w:ascii="Cambria" w:hAnsi="Cambria"/>
                <w:color w:val="222222"/>
                <w:sz w:val="14"/>
              </w:rPr>
              <w:t>SHAP additive feature attribution</w:t>
            </w:r>
          </w:p>
        </w:tc>
        <w:tc>
          <w:tcPr>
            <w:tcW w:type="dxa" w:w="1950"/>
            <w:tcMar>
              <w:top w:w="55" w:type="dxa"/>
              <w:start w:w="65" w:type="dxa"/>
              <w:bottom w:w="55" w:type="dxa"/>
              <w:end w:w="65" w:type="dxa"/>
            </w:tcMar>
          </w:tcPr>
          <w:p>
            <w:pPr>
              <w:spacing w:after="0"/>
            </w:pPr>
            <w:r>
              <w:rPr>
                <w:rFonts w:ascii="Cambria" w:hAnsi="Cambria"/>
                <w:color w:val="222222"/>
                <w:sz w:val="14"/>
              </w:rPr>
              <w:t>Primarily predictive-model explanation; not causality</w:t>
            </w:r>
          </w:p>
        </w:tc>
        <w:tc>
          <w:tcPr>
            <w:tcW w:type="dxa" w:w="1950"/>
            <w:tcMar>
              <w:top w:w="55" w:type="dxa"/>
              <w:start w:w="65" w:type="dxa"/>
              <w:bottom w:w="55" w:type="dxa"/>
              <w:end w:w="65" w:type="dxa"/>
            </w:tcMar>
          </w:tcPr>
          <w:p>
            <w:pPr>
              <w:spacing w:after="0"/>
            </w:pPr>
            <w:r>
              <w:rPr>
                <w:rFonts w:ascii="Cambria" w:hAnsi="Cambria"/>
                <w:color w:val="222222"/>
                <w:sz w:val="14"/>
              </w:rPr>
              <w:t>XAI reference, not adopted method</w:t>
            </w:r>
          </w:p>
        </w:tc>
      </w:tr>
      <w:tr>
        <w:tc>
          <w:tcPr>
            <w:tcW w:type="dxa" w:w="1950"/>
            <w:tcMar>
              <w:top w:w="55" w:type="dxa"/>
              <w:start w:w="65" w:type="dxa"/>
              <w:bottom w:w="55" w:type="dxa"/>
              <w:end w:w="65" w:type="dxa"/>
            </w:tcMar>
            <w:shd w:fill="F2F2F2"/>
          </w:tcPr>
          <w:p>
            <w:pPr>
              <w:spacing w:after="0"/>
            </w:pPr>
            <w:r>
              <w:rPr>
                <w:rFonts w:ascii="Cambria" w:hAnsi="Cambria"/>
                <w:color w:val="222222"/>
                <w:sz w:val="14"/>
              </w:rPr>
              <w:t>[18]</w:t>
            </w:r>
          </w:p>
        </w:tc>
        <w:tc>
          <w:tcPr>
            <w:tcW w:type="dxa" w:w="1950"/>
            <w:tcMar>
              <w:top w:w="55" w:type="dxa"/>
              <w:start w:w="65" w:type="dxa"/>
              <w:bottom w:w="55" w:type="dxa"/>
              <w:end w:w="65" w:type="dxa"/>
            </w:tcMar>
            <w:shd w:fill="F2F2F2"/>
          </w:tcPr>
          <w:p>
            <w:pPr>
              <w:spacing w:after="0"/>
            </w:pPr>
            <w:r>
              <w:rPr>
                <w:rFonts w:ascii="Cambria" w:hAnsi="Cambria"/>
                <w:color w:val="222222"/>
                <w:sz w:val="14"/>
              </w:rPr>
              <w:t>Yepmo, Smits and Pivert (2022)</w:t>
            </w:r>
          </w:p>
        </w:tc>
        <w:tc>
          <w:tcPr>
            <w:tcW w:type="dxa" w:w="1950"/>
            <w:tcMar>
              <w:top w:w="55" w:type="dxa"/>
              <w:start w:w="65" w:type="dxa"/>
              <w:bottom w:w="55" w:type="dxa"/>
              <w:end w:w="65" w:type="dxa"/>
            </w:tcMar>
            <w:shd w:fill="F2F2F2"/>
          </w:tcPr>
          <w:p>
            <w:pPr>
              <w:spacing w:after="0"/>
            </w:pPr>
            <w:r>
              <w:rPr>
                <w:rFonts w:ascii="Cambria" w:hAnsi="Cambria"/>
                <w:color w:val="222222"/>
                <w:sz w:val="14"/>
              </w:rPr>
              <w:t>Taxonomy of anomaly explanations</w:t>
            </w:r>
          </w:p>
        </w:tc>
        <w:tc>
          <w:tcPr>
            <w:tcW w:type="dxa" w:w="1950"/>
            <w:tcMar>
              <w:top w:w="55" w:type="dxa"/>
              <w:start w:w="65" w:type="dxa"/>
              <w:bottom w:w="55" w:type="dxa"/>
              <w:end w:w="65" w:type="dxa"/>
            </w:tcMar>
            <w:shd w:fill="F2F2F2"/>
          </w:tcPr>
          <w:p>
            <w:pPr>
              <w:spacing w:after="0"/>
            </w:pPr>
            <w:r>
              <w:rPr>
                <w:rFonts w:ascii="Cambria" w:hAnsi="Cambria"/>
                <w:color w:val="222222"/>
                <w:sz w:val="14"/>
              </w:rPr>
              <w:t>General; no astronomy product semantics</w:t>
            </w:r>
          </w:p>
        </w:tc>
        <w:tc>
          <w:tcPr>
            <w:tcW w:type="dxa" w:w="1950"/>
            <w:tcMar>
              <w:top w:w="55" w:type="dxa"/>
              <w:start w:w="65" w:type="dxa"/>
              <w:bottom w:w="55" w:type="dxa"/>
              <w:end w:w="65" w:type="dxa"/>
            </w:tcMar>
            <w:shd w:fill="F2F2F2"/>
          </w:tcPr>
          <w:p>
            <w:pPr>
              <w:spacing w:after="0"/>
            </w:pPr>
            <w:r>
              <w:rPr>
                <w:rFonts w:ascii="Cambria" w:hAnsi="Cambria"/>
                <w:color w:val="222222"/>
                <w:sz w:val="14"/>
              </w:rPr>
              <w:t>XAI foundation</w:t>
            </w:r>
          </w:p>
        </w:tc>
      </w:tr>
      <w:tr>
        <w:tc>
          <w:tcPr>
            <w:tcW w:type="dxa" w:w="1950"/>
            <w:tcMar>
              <w:top w:w="55" w:type="dxa"/>
              <w:start w:w="65" w:type="dxa"/>
              <w:bottom w:w="55" w:type="dxa"/>
              <w:end w:w="65" w:type="dxa"/>
            </w:tcMar>
          </w:tcPr>
          <w:p>
            <w:pPr>
              <w:spacing w:after="0"/>
            </w:pPr>
            <w:r>
              <w:rPr>
                <w:rFonts w:ascii="Cambria" w:hAnsi="Cambria"/>
                <w:color w:val="222222"/>
                <w:sz w:val="14"/>
              </w:rPr>
              <w:t>[19]</w:t>
            </w:r>
          </w:p>
        </w:tc>
        <w:tc>
          <w:tcPr>
            <w:tcW w:type="dxa" w:w="1950"/>
            <w:tcMar>
              <w:top w:w="55" w:type="dxa"/>
              <w:start w:w="65" w:type="dxa"/>
              <w:bottom w:w="55" w:type="dxa"/>
              <w:end w:w="65" w:type="dxa"/>
            </w:tcMar>
          </w:tcPr>
          <w:p>
            <w:pPr>
              <w:spacing w:after="0"/>
            </w:pPr>
            <w:r>
              <w:rPr>
                <w:rFonts w:ascii="Cambria" w:hAnsi="Cambria"/>
                <w:color w:val="222222"/>
                <w:sz w:val="14"/>
              </w:rPr>
              <w:t>Kumaran, Mandal and Bhattacharyya (2026)</w:t>
            </w:r>
          </w:p>
        </w:tc>
        <w:tc>
          <w:tcPr>
            <w:tcW w:type="dxa" w:w="1950"/>
            <w:tcMar>
              <w:top w:w="55" w:type="dxa"/>
              <w:start w:w="65" w:type="dxa"/>
              <w:bottom w:w="55" w:type="dxa"/>
              <w:end w:w="65" w:type="dxa"/>
            </w:tcMar>
          </w:tcPr>
          <w:p>
            <w:pPr>
              <w:spacing w:after="0"/>
            </w:pPr>
            <w:r>
              <w:rPr>
                <w:rFonts w:ascii="Cambria" w:hAnsi="Cambria"/>
                <w:color w:val="222222"/>
                <w:sz w:val="14"/>
              </w:rPr>
              <w:t>LightGBM + SHAP classification of Chandra sources</w:t>
            </w:r>
          </w:p>
        </w:tc>
        <w:tc>
          <w:tcPr>
            <w:tcW w:type="dxa" w:w="1950"/>
            <w:tcMar>
              <w:top w:w="55" w:type="dxa"/>
              <w:start w:w="65" w:type="dxa"/>
              <w:bottom w:w="55" w:type="dxa"/>
              <w:end w:w="65" w:type="dxa"/>
            </w:tcMar>
          </w:tcPr>
          <w:p>
            <w:pPr>
              <w:spacing w:after="0"/>
            </w:pPr>
            <w:r>
              <w:rPr>
                <w:rFonts w:ascii="Cambria" w:hAnsi="Cambria"/>
                <w:color w:val="222222"/>
                <w:sz w:val="14"/>
              </w:rPr>
              <w:t>Supervised source classification; not the evolved task</w:t>
            </w:r>
          </w:p>
        </w:tc>
        <w:tc>
          <w:tcPr>
            <w:tcW w:type="dxa" w:w="1950"/>
            <w:tcMar>
              <w:top w:w="55" w:type="dxa"/>
              <w:start w:w="65" w:type="dxa"/>
              <w:bottom w:w="55" w:type="dxa"/>
              <w:end w:w="65" w:type="dxa"/>
            </w:tcMar>
          </w:tcPr>
          <w:p>
            <w:pPr>
              <w:spacing w:after="0"/>
            </w:pPr>
            <w:r>
              <w:rPr>
                <w:rFonts w:ascii="Cambria" w:hAnsi="Cambria"/>
                <w:color w:val="222222"/>
                <w:sz w:val="14"/>
              </w:rPr>
              <w:t>Initial conceptual influence only</w:t>
            </w:r>
          </w:p>
        </w:tc>
      </w:tr>
      <w:tr>
        <w:tc>
          <w:tcPr>
            <w:tcW w:type="dxa" w:w="1950"/>
            <w:tcMar>
              <w:top w:w="55" w:type="dxa"/>
              <w:start w:w="65" w:type="dxa"/>
              <w:bottom w:w="55" w:type="dxa"/>
              <w:end w:w="65" w:type="dxa"/>
            </w:tcMar>
            <w:shd w:fill="F2F2F2"/>
          </w:tcPr>
          <w:p>
            <w:pPr>
              <w:spacing w:after="0"/>
            </w:pPr>
            <w:r>
              <w:rPr>
                <w:rFonts w:ascii="Cambria" w:hAnsi="Cambria"/>
                <w:color w:val="222222"/>
                <w:sz w:val="14"/>
              </w:rPr>
              <w:t>[20]</w:t>
            </w:r>
          </w:p>
        </w:tc>
        <w:tc>
          <w:tcPr>
            <w:tcW w:type="dxa" w:w="1950"/>
            <w:tcMar>
              <w:top w:w="55" w:type="dxa"/>
              <w:start w:w="65" w:type="dxa"/>
              <w:bottom w:w="55" w:type="dxa"/>
              <w:end w:w="65" w:type="dxa"/>
            </w:tcMar>
            <w:shd w:fill="F2F2F2"/>
          </w:tcPr>
          <w:p>
            <w:pPr>
              <w:spacing w:after="0"/>
            </w:pPr>
            <w:r>
              <w:rPr>
                <w:rFonts w:ascii="Cambria" w:hAnsi="Cambria"/>
                <w:color w:val="222222"/>
                <w:sz w:val="14"/>
              </w:rPr>
              <w:t>Pérez-Díaz et al. (2024)</w:t>
            </w:r>
          </w:p>
        </w:tc>
        <w:tc>
          <w:tcPr>
            <w:tcW w:type="dxa" w:w="1950"/>
            <w:tcMar>
              <w:top w:w="55" w:type="dxa"/>
              <w:start w:w="65" w:type="dxa"/>
              <w:bottom w:w="55" w:type="dxa"/>
              <w:end w:w="65" w:type="dxa"/>
            </w:tcMar>
            <w:shd w:fill="F2F2F2"/>
          </w:tcPr>
          <w:p>
            <w:pPr>
              <w:spacing w:after="0"/>
            </w:pPr>
            <w:r>
              <w:rPr>
                <w:rFonts w:ascii="Cambria" w:hAnsi="Cambria"/>
                <w:color w:val="222222"/>
                <w:sz w:val="14"/>
              </w:rPr>
              <w:t>Unsupervised ML for astrophysical X-ray-source classification</w:t>
            </w:r>
          </w:p>
        </w:tc>
        <w:tc>
          <w:tcPr>
            <w:tcW w:type="dxa" w:w="1950"/>
            <w:tcMar>
              <w:top w:w="55" w:type="dxa"/>
              <w:start w:w="65" w:type="dxa"/>
              <w:bottom w:w="55" w:type="dxa"/>
              <w:end w:w="65" w:type="dxa"/>
            </w:tcMar>
            <w:shd w:fill="F2F2F2"/>
          </w:tcPr>
          <w:p>
            <w:pPr>
              <w:spacing w:after="0"/>
            </w:pPr>
            <w:r>
              <w:rPr>
                <w:rFonts w:ascii="Cambria" w:hAnsi="Cambria"/>
                <w:color w:val="222222"/>
                <w:sz w:val="14"/>
              </w:rPr>
              <w:t>Still class-oriented rather than observation anomaly screening</w:t>
            </w:r>
          </w:p>
        </w:tc>
        <w:tc>
          <w:tcPr>
            <w:tcW w:type="dxa" w:w="1950"/>
            <w:tcMar>
              <w:top w:w="55" w:type="dxa"/>
              <w:start w:w="65" w:type="dxa"/>
              <w:bottom w:w="55" w:type="dxa"/>
              <w:end w:w="65" w:type="dxa"/>
            </w:tcMar>
            <w:shd w:fill="F2F2F2"/>
          </w:tcPr>
          <w:p>
            <w:pPr>
              <w:spacing w:after="0"/>
            </w:pPr>
            <w:r>
              <w:rPr>
                <w:rFonts w:ascii="Cambria" w:hAnsi="Cambria"/>
                <w:color w:val="222222"/>
                <w:sz w:val="14"/>
              </w:rPr>
              <w:t>Influenced unsupervised direction</w:t>
            </w:r>
          </w:p>
        </w:tc>
      </w:tr>
    </w:tbl>
    <w:p/>
    <w:tbl>
      <w:tblPr>
        <w:tblW w:type="auto" w:w="0"/>
        <w:jc w:val="center"/>
        <w:tblLayout w:type="autofit"/>
        <w:tblLook w:firstColumn="1" w:firstRow="1" w:lastColumn="0" w:lastRow="0" w:noHBand="0" w:noVBand="1" w:val="04A0"/>
        <w:tblBorders>
          <w:top w:val="single" w:sz="8" w:space="0" w:color="DDEBF7"/>
          <w:left w:val="single" w:sz="8" w:space="0" w:color="DDEBF7"/>
          <w:bottom w:val="single" w:sz="8" w:space="0" w:color="DDEBF7"/>
          <w:right w:val="single" w:sz="8" w:space="0" w:color="DDEBF7"/>
          <w:insideH w:val="single" w:sz="8" w:space="0" w:color="DDEBF7"/>
          <w:insideV w:val="single" w:sz="8" w:space="0" w:color="DDEBF7"/>
        </w:tblBorders>
      </w:tblPr>
      <w:tblGrid>
        <w:gridCol w:w="9752"/>
      </w:tblGrid>
      <w:tr>
        <w:tc>
          <w:tcPr>
            <w:tcW w:type="dxa" w:w="9752"/>
            <w:shd w:fill="DDEBF7"/>
            <w:tcMar>
              <w:top w:w="130" w:type="dxa"/>
              <w:start w:w="150" w:type="dxa"/>
              <w:bottom w:w="130" w:type="dxa"/>
              <w:end w:w="150" w:type="dxa"/>
            </w:tcMar>
          </w:tcPr>
          <w:p>
            <w:pPr>
              <w:spacing w:after="60"/>
            </w:pPr>
            <w:r>
              <w:rPr>
                <w:rFonts w:ascii="Cambria" w:hAnsi="Cambria"/>
                <w:b/>
                <w:color w:val="17365D"/>
                <w:sz w:val="21"/>
              </w:rPr>
              <w:t>Synthesis</w:t>
            </w:r>
          </w:p>
          <w:p>
            <w:pPr>
              <w:spacing w:after="0"/>
            </w:pPr>
            <w:r>
              <w:rPr>
                <w:rFonts w:ascii="Cambria" w:hAnsi="Cambria"/>
                <w:color w:val="222222"/>
                <w:sz w:val="20"/>
              </w:rPr>
              <w:t>The sources form complementary layers rather than one complete precedent. POLIX documents define the data; polarimetry papers define physical inference; astronomy ML papers define screening; and XAI papers define explanation. The proposed research investigates their integration while preserving calibration and causal boundaries.</w:t>
            </w:r>
          </w:p>
        </w:tc>
      </w:tr>
    </w:tbl>
    <w:p>
      <w:pPr>
        <w:spacing w:after="20"/>
      </w:pPr>
    </w:p>
    <w:p>
      <w:pPr>
        <w:pStyle w:val="Heading1"/>
        <w:pageBreakBefore/>
      </w:pPr>
      <w:r>
        <w:rPr>
          <w:rFonts w:ascii="Cambria" w:hAnsi="Cambria"/>
          <w:color w:val="17365D"/>
        </w:rPr>
        <w:t>12. Viva Questions, Risk Register and Quality Controls</w:t>
      </w:r>
    </w:p>
    <w:p>
      <w:pPr>
        <w:pStyle w:val="Heading2"/>
        <w:pageBreakBefore/>
      </w:pPr>
      <w:r>
        <w:rPr>
          <w:rFonts w:ascii="Cambria" w:hAnsi="Cambria"/>
          <w:color w:val="17365D"/>
        </w:rPr>
        <w:t>12.1 Likely Viva Questions and Clear Answers</w:t>
      </w:r>
    </w:p>
    <w:p>
      <w:pPr>
        <w:pStyle w:val="Heading3"/>
      </w:pPr>
      <w:r>
        <w:rPr>
          <w:rFonts w:ascii="Cambria" w:hAnsi="Cambria"/>
          <w:color w:val="0F6B78"/>
        </w:rPr>
        <w:t>What is the exact problem being solved?</w:t>
      </w:r>
    </w:p>
    <w:p>
      <w:pPr>
        <w:pStyle w:val="BodyText"/>
        <w:jc w:val="both"/>
      </w:pPr>
      <w:r>
        <w:rPr>
          <w:rFonts w:ascii="Cambria" w:hAnsi="Cambria"/>
          <w:color w:val="222222"/>
          <w:sz w:val="21"/>
        </w:rPr>
        <w:t>The project aims to screen POLIX Level-2 observation bundles automatically when no trusted anomaly labels are available, explain unusualness at feature and product level, and compare it cautiously with a separate modulation diagnostic.</w:t>
      </w:r>
    </w:p>
    <w:p>
      <w:pPr>
        <w:pStyle w:val="Heading3"/>
      </w:pPr>
      <w:r>
        <w:rPr>
          <w:rFonts w:ascii="Cambria" w:hAnsi="Cambria"/>
          <w:color w:val="0F6B78"/>
        </w:rPr>
        <w:t>Is the project classifying astronomical sources?</w:t>
      </w:r>
    </w:p>
    <w:p>
      <w:pPr>
        <w:pStyle w:val="BodyText"/>
        <w:jc w:val="both"/>
      </w:pPr>
      <w:r>
        <w:rPr>
          <w:rFonts w:ascii="Cambria" w:hAnsi="Cambria"/>
          <w:color w:val="222222"/>
          <w:sz w:val="21"/>
        </w:rPr>
        <w:t>No. The unit of analysis is a POLIX observation, and the intended output is a relative screening or priority status. It does not predict whether the source is a black hole, pulsar, star or other astrophysical class.</w:t>
      </w:r>
    </w:p>
    <w:p>
      <w:pPr>
        <w:pStyle w:val="Heading3"/>
      </w:pPr>
      <w:r>
        <w:rPr>
          <w:rFonts w:ascii="Cambria" w:hAnsi="Cambria"/>
          <w:color w:val="0F6B78"/>
        </w:rPr>
        <w:t>Why were the Chandra papers called base papers initially?</w:t>
      </w:r>
    </w:p>
    <w:p>
      <w:pPr>
        <w:pStyle w:val="BodyText"/>
        <w:jc w:val="both"/>
      </w:pPr>
      <w:r>
        <w:rPr>
          <w:rFonts w:ascii="Cambria" w:hAnsi="Cambria"/>
          <w:color w:val="222222"/>
          <w:sz w:val="21"/>
        </w:rPr>
        <w:t>They offered early examples of ML and interpretability for X-ray data. As the available data and objective became clearer, the project moved from source classification toward unsupervised POLIX observation screening. They are now described accurately as conceptual influences.</w:t>
      </w:r>
    </w:p>
    <w:p>
      <w:pPr>
        <w:pStyle w:val="Heading3"/>
      </w:pPr>
      <w:r>
        <w:rPr>
          <w:rFonts w:ascii="Cambria" w:hAnsi="Cambria"/>
          <w:color w:val="0F6B78"/>
        </w:rPr>
        <w:t>Are LightGBM and SHAP used?</w:t>
      </w:r>
    </w:p>
    <w:p>
      <w:pPr>
        <w:pStyle w:val="BodyText"/>
        <w:jc w:val="both"/>
      </w:pPr>
      <w:r>
        <w:rPr>
          <w:rFonts w:ascii="Cambria" w:hAnsi="Cambria"/>
          <w:color w:val="222222"/>
          <w:sz w:val="21"/>
        </w:rPr>
        <w:t>No. LightGBM and SHAP belong to the supervised Chandra classification paper [19]. They are discussed in the literature survey but are not claimed as methods in the evolved project.</w:t>
      </w:r>
    </w:p>
    <w:p>
      <w:pPr>
        <w:pStyle w:val="Heading3"/>
      </w:pPr>
      <w:r>
        <w:rPr>
          <w:rFonts w:ascii="Cambria" w:hAnsi="Cambria"/>
          <w:color w:val="0F6B78"/>
        </w:rPr>
        <w:t>Why use unsupervised learning?</w:t>
      </w:r>
    </w:p>
    <w:p>
      <w:pPr>
        <w:pStyle w:val="BodyText"/>
        <w:jc w:val="both"/>
      </w:pPr>
      <w:r>
        <w:rPr>
          <w:rFonts w:ascii="Cambria" w:hAnsi="Cambria"/>
          <w:color w:val="222222"/>
          <w:sz w:val="21"/>
        </w:rPr>
        <w:t>There are no trusted observation-level anomaly labels. Unsupervised methods can rank or group observations without claiming known classes, but their results still require stability checks and expert review.</w:t>
      </w:r>
    </w:p>
    <w:p>
      <w:pPr>
        <w:pStyle w:val="Heading3"/>
      </w:pPr>
      <w:r>
        <w:rPr>
          <w:rFonts w:ascii="Cambria" w:hAnsi="Cambria"/>
          <w:color w:val="0F6B78"/>
        </w:rPr>
        <w:t>What does explainable AI mean here?</w:t>
      </w:r>
    </w:p>
    <w:p>
      <w:pPr>
        <w:pStyle w:val="BodyText"/>
        <w:jc w:val="both"/>
      </w:pPr>
      <w:r>
        <w:rPr>
          <w:rFonts w:ascii="Cambria" w:hAnsi="Cambria"/>
          <w:color w:val="222222"/>
          <w:sz w:val="21"/>
        </w:rPr>
        <w:t>It means showing which interpretable feature values contributed to an observation’s score and identifying the Level-2 product family from which each feature was derived. It does not mean explaining physical causality automatically.</w:t>
      </w:r>
    </w:p>
    <w:p>
      <w:pPr>
        <w:pStyle w:val="Heading3"/>
      </w:pPr>
      <w:r>
        <w:rPr>
          <w:rFonts w:ascii="Cambria" w:hAnsi="Cambria"/>
          <w:color w:val="0F6B78"/>
        </w:rPr>
        <w:t>Why is WeightedRoll excluded from primary anomaly features?</w:t>
      </w:r>
    </w:p>
    <w:p>
      <w:pPr>
        <w:pStyle w:val="BodyText"/>
        <w:jc w:val="both"/>
      </w:pPr>
      <w:r>
        <w:rPr>
          <w:rFonts w:ascii="Cambria" w:hAnsi="Cambria"/>
          <w:color w:val="222222"/>
          <w:sz w:val="21"/>
        </w:rPr>
        <w:t>The separation prevents circular confirmation and keeps physical modulation evidence independent from the statistical screening features.</w:t>
      </w:r>
    </w:p>
    <w:p>
      <w:pPr>
        <w:pStyle w:val="Heading3"/>
      </w:pPr>
      <w:r>
        <w:rPr>
          <w:rFonts w:ascii="Cambria" w:hAnsi="Cambria"/>
          <w:color w:val="0F6B78"/>
        </w:rPr>
        <w:t>Does a fitted sinusoidal phase equal polarization angle?</w:t>
      </w:r>
    </w:p>
    <w:p>
      <w:pPr>
        <w:pStyle w:val="BodyText"/>
        <w:jc w:val="both"/>
      </w:pPr>
      <w:r>
        <w:rPr>
          <w:rFonts w:ascii="Cambria" w:hAnsi="Cambria"/>
          <w:color w:val="222222"/>
          <w:sz w:val="21"/>
        </w:rPr>
        <w:t>No. A fitted phase is a parameter of the observed modulation curve. Converting it to an official sky polarization angle requires detector conventions, orientation information, background treatment and calibration.</w:t>
      </w:r>
    </w:p>
    <w:p>
      <w:pPr>
        <w:pStyle w:val="Heading3"/>
      </w:pPr>
      <w:r>
        <w:rPr>
          <w:rFonts w:ascii="Cambria" w:hAnsi="Cambria"/>
          <w:color w:val="0F6B78"/>
        </w:rPr>
        <w:t>Can raw modulation amplitude be called polarization degree?</w:t>
      </w:r>
    </w:p>
    <w:p>
      <w:pPr>
        <w:pStyle w:val="BodyText"/>
        <w:jc w:val="both"/>
      </w:pPr>
      <w:r>
        <w:rPr>
          <w:rFonts w:ascii="Cambria" w:hAnsi="Cambria"/>
          <w:color w:val="222222"/>
          <w:sz w:val="21"/>
        </w:rPr>
        <w:t>No. Calibrated PD requires an appropriate modulation factor, background handling and response/calibration information. WeightedRoll contains source and background contributions.</w:t>
      </w:r>
    </w:p>
    <w:p>
      <w:pPr>
        <w:pStyle w:val="Heading3"/>
      </w:pPr>
      <w:r>
        <w:rPr>
          <w:rFonts w:ascii="Cambria" w:hAnsi="Cambria"/>
          <w:color w:val="0F6B78"/>
        </w:rPr>
        <w:t>Why compare with blank sky?</w:t>
      </w:r>
    </w:p>
    <w:p>
      <w:pPr>
        <w:pStyle w:val="BodyText"/>
        <w:jc w:val="both"/>
      </w:pPr>
      <w:r>
        <w:rPr>
          <w:rFonts w:ascii="Cambria" w:hAnsi="Cambria"/>
          <w:color w:val="222222"/>
          <w:sz w:val="21"/>
        </w:rPr>
        <w:t>Blank-sky observations provide an empirical view of instrumental/background behaviour. They are a diagnostic reference, but not automatically an exact background subtraction for every source observation.</w:t>
      </w:r>
    </w:p>
    <w:p>
      <w:pPr>
        <w:pStyle w:val="Heading3"/>
      </w:pPr>
      <w:r>
        <w:rPr>
          <w:rFonts w:ascii="Cambria" w:hAnsi="Cambria"/>
          <w:color w:val="0F6B78"/>
        </w:rPr>
        <w:t>Why is Chandra mentioned if this is an XPoSat project?</w:t>
      </w:r>
    </w:p>
    <w:p>
      <w:pPr>
        <w:pStyle w:val="BodyText"/>
        <w:jc w:val="both"/>
      </w:pPr>
      <w:r>
        <w:rPr>
          <w:rFonts w:ascii="Cambria" w:hAnsi="Cambria"/>
          <w:color w:val="222222"/>
          <w:sz w:val="21"/>
        </w:rPr>
        <w:t>Chandra provides context for imaging/spectroscopy and for the initial ML-source literature. It is not described as a polarimetry mission and its data are not the primary project input.</w:t>
      </w:r>
    </w:p>
    <w:p>
      <w:pPr>
        <w:pStyle w:val="Heading3"/>
      </w:pPr>
      <w:r>
        <w:rPr>
          <w:rFonts w:ascii="Cambria" w:hAnsi="Cambria"/>
          <w:color w:val="0F6B78"/>
        </w:rPr>
        <w:t>What is the expected contribution?</w:t>
      </w:r>
    </w:p>
    <w:p>
      <w:pPr>
        <w:pStyle w:val="BodyText"/>
        <w:jc w:val="both"/>
      </w:pPr>
      <w:r>
        <w:rPr>
          <w:rFonts w:ascii="Cambria" w:hAnsi="Cambria"/>
          <w:color w:val="222222"/>
          <w:sz w:val="21"/>
        </w:rPr>
        <w:t>A traceable method for prioritizing POLIX observations across multiple Level-2 product families while maintaining a clear separation between ML unusualness and physical polarimetry evidence.</w:t>
      </w:r>
    </w:p>
    <w:p>
      <w:pPr>
        <w:pStyle w:val="Heading2"/>
        <w:pageBreakBefore/>
      </w:pPr>
      <w:r>
        <w:rPr>
          <w:rFonts w:ascii="Cambria" w:hAnsi="Cambria"/>
          <w:color w:val="17365D"/>
        </w:rPr>
        <w:t>12.2 Risk and Mitigation Register</w:t>
      </w:r>
    </w:p>
    <w:tbl>
      <w:tblPr>
        <w:tblW w:type="auto" w:w="0"/>
        <w:jc w:val="center"/>
        <w:tblLayout w:type="autofit"/>
        <w:tblLook w:firstColumn="1" w:firstRow="1" w:lastColumn="0" w:lastRow="0" w:noHBand="0" w:noVBand="1" w:val="04A0"/>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Pr>
      <w:tblGrid>
        <w:gridCol w:w="3251"/>
        <w:gridCol w:w="3251"/>
        <w:gridCol w:w="3251"/>
      </w:tblGrid>
      <w:tr>
        <w:trPr>
          <w:tblHeader w:val="true"/>
        </w:trPr>
        <w:tc>
          <w:tcPr>
            <w:tcW w:type="dxa" w:w="3251"/>
            <w:shd w:fill="1F4E78"/>
            <w:tcMar>
              <w:top w:w="80" w:type="dxa"/>
              <w:start w:w="90" w:type="dxa"/>
              <w:bottom w:w="80" w:type="dxa"/>
              <w:end w:w="90" w:type="dxa"/>
            </w:tcMar>
            <w:vAlign w:val="center"/>
          </w:tcPr>
          <w:p>
            <w:pPr>
              <w:jc w:val="center"/>
            </w:pPr>
            <w:r>
              <w:rPr>
                <w:rFonts w:ascii="Cambria" w:hAnsi="Cambria"/>
                <w:b/>
                <w:color w:val="FFFFFF"/>
                <w:sz w:val="16"/>
              </w:rPr>
              <w:t>Risk</w:t>
            </w:r>
          </w:p>
        </w:tc>
        <w:tc>
          <w:tcPr>
            <w:tcW w:type="dxa" w:w="3251"/>
            <w:shd w:fill="1F4E78"/>
            <w:tcMar>
              <w:top w:w="80" w:type="dxa"/>
              <w:start w:w="90" w:type="dxa"/>
              <w:bottom w:w="80" w:type="dxa"/>
              <w:end w:w="90" w:type="dxa"/>
            </w:tcMar>
            <w:vAlign w:val="center"/>
          </w:tcPr>
          <w:p>
            <w:pPr>
              <w:jc w:val="center"/>
            </w:pPr>
            <w:r>
              <w:rPr>
                <w:rFonts w:ascii="Cambria" w:hAnsi="Cambria"/>
                <w:b/>
                <w:color w:val="FFFFFF"/>
                <w:sz w:val="16"/>
              </w:rPr>
              <w:t>Why it matters</w:t>
            </w:r>
          </w:p>
        </w:tc>
        <w:tc>
          <w:tcPr>
            <w:tcW w:type="dxa" w:w="3251"/>
            <w:shd w:fill="1F4E78"/>
            <w:tcMar>
              <w:top w:w="80" w:type="dxa"/>
              <w:start w:w="90" w:type="dxa"/>
              <w:bottom w:w="80" w:type="dxa"/>
              <w:end w:w="90" w:type="dxa"/>
            </w:tcMar>
            <w:vAlign w:val="center"/>
          </w:tcPr>
          <w:p>
            <w:pPr>
              <w:jc w:val="center"/>
            </w:pPr>
            <w:r>
              <w:rPr>
                <w:rFonts w:ascii="Cambria" w:hAnsi="Cambria"/>
                <w:b/>
                <w:color w:val="FFFFFF"/>
                <w:sz w:val="16"/>
              </w:rPr>
              <w:t>Planned mitigation</w:t>
            </w:r>
          </w:p>
        </w:tc>
      </w:tr>
      <w:tr>
        <w:tc>
          <w:tcPr>
            <w:tcW w:type="dxa" w:w="3251"/>
            <w:tcMar>
              <w:top w:w="80" w:type="dxa"/>
              <w:start w:w="90" w:type="dxa"/>
              <w:bottom w:w="80" w:type="dxa"/>
              <w:end w:w="90" w:type="dxa"/>
            </w:tcMar>
            <w:vAlign w:val="top"/>
          </w:tcPr>
          <w:p>
            <w:pPr>
              <w:spacing w:after="0"/>
            </w:pPr>
            <w:r>
              <w:rPr>
                <w:rFonts w:ascii="Cambria" w:hAnsi="Cambria"/>
                <w:color w:val="222222"/>
                <w:sz w:val="17"/>
              </w:rPr>
              <w:t>Small observation set</w:t>
            </w:r>
          </w:p>
        </w:tc>
        <w:tc>
          <w:tcPr>
            <w:tcW w:type="dxa" w:w="3251"/>
            <w:tcMar>
              <w:top w:w="80" w:type="dxa"/>
              <w:start w:w="90" w:type="dxa"/>
              <w:bottom w:w="80" w:type="dxa"/>
              <w:end w:w="90" w:type="dxa"/>
            </w:tcMar>
            <w:vAlign w:val="top"/>
          </w:tcPr>
          <w:p>
            <w:pPr>
              <w:spacing w:after="0"/>
            </w:pPr>
            <w:r>
              <w:rPr>
                <w:rFonts w:ascii="Cambria" w:hAnsi="Cambria"/>
                <w:color w:val="222222"/>
                <w:sz w:val="17"/>
              </w:rPr>
              <w:t>rankings and clusters may be unstable</w:t>
            </w:r>
          </w:p>
        </w:tc>
        <w:tc>
          <w:tcPr>
            <w:tcW w:type="dxa" w:w="3251"/>
            <w:tcMar>
              <w:top w:w="80" w:type="dxa"/>
              <w:start w:w="90" w:type="dxa"/>
              <w:bottom w:w="80" w:type="dxa"/>
              <w:end w:w="90" w:type="dxa"/>
            </w:tcMar>
            <w:vAlign w:val="top"/>
          </w:tcPr>
          <w:p>
            <w:pPr>
              <w:spacing w:after="0"/>
            </w:pPr>
            <w:r>
              <w:rPr>
                <w:rFonts w:ascii="Cambria" w:hAnsi="Cambria"/>
                <w:color w:val="222222"/>
                <w:sz w:val="17"/>
              </w:rPr>
              <w:t>repeat analyses across seeds/settings; report sensitivity; prefer transparent features</w:t>
            </w:r>
          </w:p>
        </w:tc>
      </w:tr>
      <w:tr>
        <w:tc>
          <w:tcPr>
            <w:tcW w:type="dxa" w:w="3251"/>
            <w:tcMar>
              <w:top w:w="80" w:type="dxa"/>
              <w:start w:w="90" w:type="dxa"/>
              <w:bottom w:w="80" w:type="dxa"/>
              <w:end w:w="90" w:type="dxa"/>
            </w:tcMar>
            <w:vAlign w:val="top"/>
            <w:shd w:fill="F2F2F2"/>
          </w:tcPr>
          <w:p>
            <w:pPr>
              <w:spacing w:after="0"/>
            </w:pPr>
            <w:r>
              <w:rPr>
                <w:rFonts w:ascii="Cambria" w:hAnsi="Cambria"/>
                <w:color w:val="222222"/>
                <w:sz w:val="17"/>
              </w:rPr>
              <w:t>No trusted anomaly labels</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conventional accuracy cannot be computed</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use expert review, stability checks, synthetic/controlled checks where justified, and cautious language</w:t>
            </w:r>
          </w:p>
        </w:tc>
      </w:tr>
      <w:tr>
        <w:tc>
          <w:tcPr>
            <w:tcW w:type="dxa" w:w="3251"/>
            <w:tcMar>
              <w:top w:w="80" w:type="dxa"/>
              <w:start w:w="90" w:type="dxa"/>
              <w:bottom w:w="80" w:type="dxa"/>
              <w:end w:w="90" w:type="dxa"/>
            </w:tcMar>
            <w:vAlign w:val="top"/>
          </w:tcPr>
          <w:p>
            <w:pPr>
              <w:spacing w:after="0"/>
            </w:pPr>
            <w:r>
              <w:rPr>
                <w:rFonts w:ascii="Cambria" w:hAnsi="Cambria"/>
                <w:color w:val="222222"/>
                <w:sz w:val="17"/>
              </w:rPr>
              <w:t>Heterogeneous products</w:t>
            </w:r>
          </w:p>
        </w:tc>
        <w:tc>
          <w:tcPr>
            <w:tcW w:type="dxa" w:w="3251"/>
            <w:tcMar>
              <w:top w:w="80" w:type="dxa"/>
              <w:start w:w="90" w:type="dxa"/>
              <w:bottom w:w="80" w:type="dxa"/>
              <w:end w:w="90" w:type="dxa"/>
            </w:tcMar>
            <w:vAlign w:val="top"/>
          </w:tcPr>
          <w:p>
            <w:pPr>
              <w:spacing w:after="0"/>
            </w:pPr>
            <w:r>
              <w:rPr>
                <w:rFonts w:ascii="Cambria" w:hAnsi="Cambria"/>
                <w:color w:val="222222"/>
                <w:sz w:val="17"/>
              </w:rPr>
              <w:t>features can mix incompatible meanings</w:t>
            </w:r>
          </w:p>
        </w:tc>
        <w:tc>
          <w:tcPr>
            <w:tcW w:type="dxa" w:w="3251"/>
            <w:tcMar>
              <w:top w:w="80" w:type="dxa"/>
              <w:start w:w="90" w:type="dxa"/>
              <w:bottom w:w="80" w:type="dxa"/>
              <w:end w:w="90" w:type="dxa"/>
            </w:tcMar>
            <w:vAlign w:val="top"/>
          </w:tcPr>
          <w:p>
            <w:pPr>
              <w:spacing w:after="0"/>
            </w:pPr>
            <w:r>
              <w:rPr>
                <w:rFonts w:ascii="Cambria" w:hAnsi="Cambria"/>
                <w:color w:val="222222"/>
                <w:sz w:val="17"/>
              </w:rPr>
              <w:t>retain product provenance and product-specific definitions</w:t>
            </w:r>
          </w:p>
        </w:tc>
      </w:tr>
      <w:tr>
        <w:tc>
          <w:tcPr>
            <w:tcW w:type="dxa" w:w="3251"/>
            <w:tcMar>
              <w:top w:w="80" w:type="dxa"/>
              <w:start w:w="90" w:type="dxa"/>
              <w:bottom w:w="80" w:type="dxa"/>
              <w:end w:w="90" w:type="dxa"/>
            </w:tcMar>
            <w:vAlign w:val="top"/>
            <w:shd w:fill="F2F2F2"/>
          </w:tcPr>
          <w:p>
            <w:pPr>
              <w:spacing w:after="0"/>
            </w:pPr>
            <w:r>
              <w:rPr>
                <w:rFonts w:ascii="Cambria" w:hAnsi="Cambria"/>
                <w:color w:val="222222"/>
                <w:sz w:val="17"/>
              </w:rPr>
              <w:t>Exposure effects</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low or uneven exposure can mimic unusual structure</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include exposure diagnostics and examine them before physical interpretation</w:t>
            </w:r>
          </w:p>
        </w:tc>
      </w:tr>
      <w:tr>
        <w:tc>
          <w:tcPr>
            <w:tcW w:type="dxa" w:w="3251"/>
            <w:tcMar>
              <w:top w:w="80" w:type="dxa"/>
              <w:start w:w="90" w:type="dxa"/>
              <w:bottom w:w="80" w:type="dxa"/>
              <w:end w:w="90" w:type="dxa"/>
            </w:tcMar>
            <w:vAlign w:val="top"/>
          </w:tcPr>
          <w:p>
            <w:pPr>
              <w:spacing w:after="0"/>
            </w:pPr>
            <w:r>
              <w:rPr>
                <w:rFonts w:ascii="Cambria" w:hAnsi="Cambria"/>
                <w:color w:val="222222"/>
                <w:sz w:val="17"/>
              </w:rPr>
              <w:t>Detector imbalance</w:t>
            </w:r>
          </w:p>
        </w:tc>
        <w:tc>
          <w:tcPr>
            <w:tcW w:type="dxa" w:w="3251"/>
            <w:tcMar>
              <w:top w:w="80" w:type="dxa"/>
              <w:start w:w="90" w:type="dxa"/>
              <w:bottom w:w="80" w:type="dxa"/>
              <w:end w:w="90" w:type="dxa"/>
            </w:tcMar>
            <w:vAlign w:val="top"/>
          </w:tcPr>
          <w:p>
            <w:pPr>
              <w:spacing w:after="0"/>
            </w:pPr>
            <w:r>
              <w:rPr>
                <w:rFonts w:ascii="Cambria" w:hAnsi="Cambria"/>
                <w:color w:val="222222"/>
                <w:sz w:val="17"/>
              </w:rPr>
              <w:t>one detector can dominate aggregate behaviour</w:t>
            </w:r>
          </w:p>
        </w:tc>
        <w:tc>
          <w:tcPr>
            <w:tcW w:type="dxa" w:w="3251"/>
            <w:tcMar>
              <w:top w:w="80" w:type="dxa"/>
              <w:start w:w="90" w:type="dxa"/>
              <w:bottom w:w="80" w:type="dxa"/>
              <w:end w:w="90" w:type="dxa"/>
            </w:tcMar>
            <w:vAlign w:val="top"/>
          </w:tcPr>
          <w:p>
            <w:pPr>
              <w:spacing w:after="0"/>
            </w:pPr>
            <w:r>
              <w:rPr>
                <w:rFonts w:ascii="Cambria" w:hAnsi="Cambria"/>
                <w:color w:val="222222"/>
                <w:sz w:val="17"/>
              </w:rPr>
              <w:t>retain detector-wise summaries and trace explanations back to the detector product</w:t>
            </w:r>
          </w:p>
        </w:tc>
      </w:tr>
      <w:tr>
        <w:tc>
          <w:tcPr>
            <w:tcW w:type="dxa" w:w="3251"/>
            <w:tcMar>
              <w:top w:w="80" w:type="dxa"/>
              <w:start w:w="90" w:type="dxa"/>
              <w:bottom w:w="80" w:type="dxa"/>
              <w:end w:w="90" w:type="dxa"/>
            </w:tcMar>
            <w:vAlign w:val="top"/>
            <w:shd w:fill="F2F2F2"/>
          </w:tcPr>
          <w:p>
            <w:pPr>
              <w:spacing w:after="0"/>
            </w:pPr>
            <w:r>
              <w:rPr>
                <w:rFonts w:ascii="Cambria" w:hAnsi="Cambria"/>
                <w:color w:val="222222"/>
                <w:sz w:val="17"/>
              </w:rPr>
              <w:t>Background contribution in WeightedRoll</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raw modulation can be misread as source polarization</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compare with blank sky, report background limitation and avoid calibrated PD/PA claims</w:t>
            </w:r>
          </w:p>
        </w:tc>
      </w:tr>
      <w:tr>
        <w:tc>
          <w:tcPr>
            <w:tcW w:type="dxa" w:w="3251"/>
            <w:tcMar>
              <w:top w:w="80" w:type="dxa"/>
              <w:start w:w="90" w:type="dxa"/>
              <w:bottom w:w="80" w:type="dxa"/>
              <w:end w:w="90" w:type="dxa"/>
            </w:tcMar>
            <w:vAlign w:val="top"/>
          </w:tcPr>
          <w:p>
            <w:pPr>
              <w:spacing w:after="0"/>
            </w:pPr>
            <w:r>
              <w:rPr>
                <w:rFonts w:ascii="Cambria" w:hAnsi="Cambria"/>
                <w:color w:val="222222"/>
                <w:sz w:val="17"/>
              </w:rPr>
              <w:t>Model drift with new data</w:t>
            </w:r>
          </w:p>
        </w:tc>
        <w:tc>
          <w:tcPr>
            <w:tcW w:type="dxa" w:w="3251"/>
            <w:tcMar>
              <w:top w:w="80" w:type="dxa"/>
              <w:start w:w="90" w:type="dxa"/>
              <w:bottom w:w="80" w:type="dxa"/>
              <w:end w:w="90" w:type="dxa"/>
            </w:tcMar>
            <w:vAlign w:val="top"/>
          </w:tcPr>
          <w:p>
            <w:pPr>
              <w:spacing w:after="0"/>
            </w:pPr>
            <w:r>
              <w:rPr>
                <w:rFonts w:ascii="Cambria" w:hAnsi="Cambria"/>
                <w:color w:val="222222"/>
                <w:sz w:val="17"/>
              </w:rPr>
              <w:t>archive-relative boundaries may change</w:t>
            </w:r>
          </w:p>
        </w:tc>
        <w:tc>
          <w:tcPr>
            <w:tcW w:type="dxa" w:w="3251"/>
            <w:tcMar>
              <w:top w:w="80" w:type="dxa"/>
              <w:start w:w="90" w:type="dxa"/>
              <w:bottom w:w="80" w:type="dxa"/>
              <w:end w:w="90" w:type="dxa"/>
            </w:tcMar>
            <w:vAlign w:val="top"/>
          </w:tcPr>
          <w:p>
            <w:pPr>
              <w:spacing w:after="0"/>
            </w:pPr>
            <w:r>
              <w:rPr>
                <w:rFonts w:ascii="Cambria" w:hAnsi="Cambria"/>
                <w:color w:val="222222"/>
                <w:sz w:val="17"/>
              </w:rPr>
              <w:t>version the feature set/model and re-evaluate when new observations arrive</w:t>
            </w:r>
          </w:p>
        </w:tc>
      </w:tr>
      <w:tr>
        <w:tc>
          <w:tcPr>
            <w:tcW w:type="dxa" w:w="3251"/>
            <w:tcMar>
              <w:top w:w="80" w:type="dxa"/>
              <w:start w:w="90" w:type="dxa"/>
              <w:bottom w:w="80" w:type="dxa"/>
              <w:end w:w="90" w:type="dxa"/>
            </w:tcMar>
            <w:vAlign w:val="top"/>
            <w:shd w:fill="F2F2F2"/>
          </w:tcPr>
          <w:p>
            <w:pPr>
              <w:spacing w:after="0"/>
            </w:pPr>
            <w:r>
              <w:rPr>
                <w:rFonts w:ascii="Cambria" w:hAnsi="Cambria"/>
                <w:color w:val="222222"/>
                <w:sz w:val="17"/>
              </w:rPr>
              <w:t>Explanation instability</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top features may change in a small sample</w:t>
            </w:r>
          </w:p>
        </w:tc>
        <w:tc>
          <w:tcPr>
            <w:tcW w:type="dxa" w:w="3251"/>
            <w:tcMar>
              <w:top w:w="80" w:type="dxa"/>
              <w:start w:w="90" w:type="dxa"/>
              <w:bottom w:w="80" w:type="dxa"/>
              <w:end w:w="90" w:type="dxa"/>
            </w:tcMar>
            <w:vAlign w:val="top"/>
            <w:shd w:fill="F2F2F2"/>
          </w:tcPr>
          <w:p>
            <w:pPr>
              <w:spacing w:after="0"/>
            </w:pPr>
            <w:r>
              <w:rPr>
                <w:rFonts w:ascii="Cambria" w:hAnsi="Cambria"/>
                <w:color w:val="222222"/>
                <w:sz w:val="17"/>
              </w:rPr>
              <w:t>use transparent reference statistics and report uncertainty/stability</w:t>
            </w:r>
          </w:p>
        </w:tc>
      </w:tr>
    </w:tbl>
    <w:p>
      <w:pPr>
        <w:spacing w:after="20"/>
      </w:pPr>
    </w:p>
    <w:p>
      <w:pPr>
        <w:pStyle w:val="Heading2"/>
        <w:pageBreakBefore/>
      </w:pPr>
      <w:r>
        <w:rPr>
          <w:rFonts w:ascii="Cambria" w:hAnsi="Cambria"/>
          <w:color w:val="17365D"/>
        </w:rPr>
        <w:t>12.3 Mandatory Scientific Quality Check</w:t>
      </w:r>
    </w:p>
    <w:p>
      <w:pPr>
        <w:pStyle w:val="ListBullet"/>
      </w:pPr>
      <w:r>
        <w:rPr>
          <w:rFonts w:ascii="Cambria" w:hAnsi="Cambria"/>
          <w:color w:val="222222"/>
          <w:sz w:val="20"/>
        </w:rPr>
        <w:t>Chandra is described as an imaging and spectroscopy observatory, not a dedicated polarimetry mission.</w:t>
      </w:r>
    </w:p>
    <w:p>
      <w:pPr>
        <w:pStyle w:val="ListBullet"/>
      </w:pPr>
      <w:r>
        <w:rPr>
          <w:rFonts w:ascii="Cambria" w:hAnsi="Cambria"/>
          <w:color w:val="222222"/>
          <w:sz w:val="20"/>
        </w:rPr>
        <w:t>IXPE is described as dedicated imaging X-ray polarimetry in 2–8 keV.</w:t>
      </w:r>
    </w:p>
    <w:p>
      <w:pPr>
        <w:pStyle w:val="ListBullet"/>
      </w:pPr>
      <w:r>
        <w:rPr>
          <w:rFonts w:ascii="Cambria" w:hAnsi="Cambria"/>
          <w:color w:val="222222"/>
          <w:sz w:val="20"/>
        </w:rPr>
        <w:t>POLIX is described as a collimated 8–30 keV polarimeter with a central beryllium scatterer, four proportional counters and 48 anode cells.</w:t>
      </w:r>
    </w:p>
    <w:p>
      <w:pPr>
        <w:pStyle w:val="ListBullet"/>
      </w:pPr>
      <w:r>
        <w:rPr>
          <w:rFonts w:ascii="Cambria" w:hAnsi="Cambria"/>
          <w:color w:val="222222"/>
          <w:sz w:val="20"/>
        </w:rPr>
        <w:t>XSPECT is described as the 0.8–15 keV spectroscopy and timing payload.</w:t>
      </w:r>
    </w:p>
    <w:p>
      <w:pPr>
        <w:pStyle w:val="ListBullet"/>
      </w:pPr>
      <w:r>
        <w:rPr>
          <w:rFonts w:ascii="Cambria" w:hAnsi="Cambria"/>
          <w:color w:val="222222"/>
          <w:sz w:val="20"/>
        </w:rPr>
        <w:t>WeightedRoll is described as containing source and background contributions, not as fully background-corrected.</w:t>
      </w:r>
    </w:p>
    <w:p>
      <w:pPr>
        <w:pStyle w:val="ListBullet"/>
      </w:pPr>
      <w:r>
        <w:rPr>
          <w:rFonts w:ascii="Cambria" w:hAnsi="Cambria"/>
          <w:color w:val="222222"/>
          <w:sz w:val="20"/>
        </w:rPr>
        <w:t>A fitted modulation phase is not presented as official PA.</w:t>
      </w:r>
    </w:p>
    <w:p>
      <w:pPr>
        <w:pStyle w:val="ListBullet"/>
      </w:pPr>
      <w:r>
        <w:rPr>
          <w:rFonts w:ascii="Cambria" w:hAnsi="Cambria"/>
          <w:color w:val="222222"/>
          <w:sz w:val="20"/>
        </w:rPr>
        <w:t>Raw or fitted modulation is not presented as calibrated PD.</w:t>
      </w:r>
    </w:p>
    <w:p>
      <w:pPr>
        <w:pStyle w:val="ListBullet"/>
      </w:pPr>
      <w:r>
        <w:rPr>
          <w:rFonts w:ascii="Cambria" w:hAnsi="Cambria"/>
          <w:color w:val="222222"/>
          <w:sz w:val="20"/>
        </w:rPr>
        <w:t>An unsupervised anomaly is not equated with an astrophysical discovery or causal explanation.</w:t>
      </w:r>
    </w:p>
    <w:p>
      <w:pPr>
        <w:pStyle w:val="ListBullet"/>
      </w:pPr>
      <w:r>
        <w:rPr>
          <w:rFonts w:ascii="Cambria" w:hAnsi="Cambria"/>
          <w:color w:val="222222"/>
          <w:sz w:val="20"/>
        </w:rPr>
        <w:t>LightGBM and SHAP are not claimed as project methods.</w:t>
      </w:r>
    </w:p>
    <w:p>
      <w:pPr>
        <w:pStyle w:val="ListBullet"/>
      </w:pPr>
      <w:r>
        <w:rPr>
          <w:rFonts w:ascii="Cambria" w:hAnsi="Cambria"/>
          <w:color w:val="222222"/>
          <w:sz w:val="20"/>
        </w:rPr>
        <w:t>No final anomaly count, source case-study result, website test result or final performance value is included.</w:t>
      </w:r>
    </w:p>
    <w:p>
      <w:pPr>
        <w:pStyle w:val="ListBullet"/>
      </w:pPr>
      <w:r>
        <w:rPr>
          <w:rFonts w:ascii="Cambria" w:hAnsi="Cambria"/>
          <w:color w:val="222222"/>
          <w:sz w:val="20"/>
        </w:rPr>
        <w:t>The architecture is explicitly conceptual and Review-I appropriate.</w:t>
      </w:r>
    </w:p>
    <w:p>
      <w:pPr>
        <w:pStyle w:val="Heading2"/>
        <w:pageBreakBefore/>
      </w:pPr>
      <w:r>
        <w:rPr>
          <w:rFonts w:ascii="Cambria" w:hAnsi="Cambria"/>
          <w:color w:val="17365D"/>
        </w:rPr>
        <w:t>12.4 Terminology Glossary</w:t>
      </w:r>
    </w:p>
    <w:tbl>
      <w:tblPr>
        <w:tblW w:type="auto" w:w="0"/>
        <w:jc w:val="center"/>
        <w:tblLayout w:type="autofit"/>
        <w:tblLook w:firstColumn="1" w:firstRow="1" w:lastColumn="0" w:lastRow="0" w:noHBand="0" w:noVBand="1" w:val="04A0"/>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Pr>
      <w:tblGrid>
        <w:gridCol w:w="4876"/>
        <w:gridCol w:w="4876"/>
      </w:tblGrid>
      <w:tr>
        <w:trPr>
          <w:tblHeader w:val="true"/>
        </w:trPr>
        <w:tc>
          <w:tcPr>
            <w:tcW w:type="dxa" w:w="4876"/>
            <w:shd w:fill="1F4E78"/>
            <w:tcMar>
              <w:top w:w="80" w:type="dxa"/>
              <w:start w:w="90" w:type="dxa"/>
              <w:bottom w:w="80" w:type="dxa"/>
              <w:end w:w="90" w:type="dxa"/>
            </w:tcMar>
            <w:vAlign w:val="center"/>
          </w:tcPr>
          <w:p>
            <w:pPr>
              <w:jc w:val="center"/>
            </w:pPr>
            <w:r>
              <w:rPr>
                <w:rFonts w:ascii="Cambria" w:hAnsi="Cambria"/>
                <w:b/>
                <w:color w:val="FFFFFF"/>
                <w:sz w:val="16"/>
              </w:rPr>
              <w:t>Term</w:t>
            </w:r>
          </w:p>
        </w:tc>
        <w:tc>
          <w:tcPr>
            <w:tcW w:type="dxa" w:w="4876"/>
            <w:shd w:fill="1F4E78"/>
            <w:tcMar>
              <w:top w:w="80" w:type="dxa"/>
              <w:start w:w="90" w:type="dxa"/>
              <w:bottom w:w="80" w:type="dxa"/>
              <w:end w:w="90" w:type="dxa"/>
            </w:tcMar>
            <w:vAlign w:val="center"/>
          </w:tcPr>
          <w:p>
            <w:pPr>
              <w:jc w:val="center"/>
            </w:pPr>
            <w:r>
              <w:rPr>
                <w:rFonts w:ascii="Cambria" w:hAnsi="Cambria"/>
                <w:b/>
                <w:color w:val="FFFFFF"/>
                <w:sz w:val="16"/>
              </w:rPr>
              <w:t>Concise meaning in this project</w:t>
            </w:r>
          </w:p>
        </w:tc>
      </w:tr>
      <w:tr>
        <w:tc>
          <w:tcPr>
            <w:tcW w:type="dxa" w:w="4876"/>
            <w:tcMar>
              <w:top w:w="80" w:type="dxa"/>
              <w:start w:w="90" w:type="dxa"/>
              <w:bottom w:w="80" w:type="dxa"/>
              <w:end w:w="90" w:type="dxa"/>
            </w:tcMar>
            <w:vAlign w:val="top"/>
          </w:tcPr>
          <w:p>
            <w:pPr>
              <w:spacing w:after="0"/>
            </w:pPr>
            <w:r>
              <w:rPr>
                <w:rFonts w:ascii="Cambria" w:hAnsi="Cambria"/>
                <w:color w:val="222222"/>
                <w:sz w:val="17"/>
              </w:rPr>
              <w:t>Observation bundle</w:t>
            </w:r>
          </w:p>
        </w:tc>
        <w:tc>
          <w:tcPr>
            <w:tcW w:type="dxa" w:w="4876"/>
            <w:tcMar>
              <w:top w:w="80" w:type="dxa"/>
              <w:start w:w="90" w:type="dxa"/>
              <w:bottom w:w="80" w:type="dxa"/>
              <w:end w:w="90" w:type="dxa"/>
            </w:tcMar>
            <w:vAlign w:val="top"/>
          </w:tcPr>
          <w:p>
            <w:pPr>
              <w:spacing w:after="0"/>
            </w:pPr>
            <w:r>
              <w:rPr>
                <w:rFonts w:ascii="Cambria" w:hAnsi="Cambria"/>
                <w:color w:val="222222"/>
                <w:sz w:val="17"/>
              </w:rPr>
              <w:t>All relevant Level-2 products associated with one POLIX observation</w:t>
            </w:r>
          </w:p>
        </w:tc>
      </w:tr>
      <w:tr>
        <w:tc>
          <w:tcPr>
            <w:tcW w:type="dxa" w:w="4876"/>
            <w:tcMar>
              <w:top w:w="80" w:type="dxa"/>
              <w:start w:w="90" w:type="dxa"/>
              <w:bottom w:w="80" w:type="dxa"/>
              <w:end w:w="90" w:type="dxa"/>
            </w:tcMar>
            <w:vAlign w:val="top"/>
            <w:shd w:fill="F2F2F2"/>
          </w:tcPr>
          <w:p>
            <w:pPr>
              <w:spacing w:after="0"/>
            </w:pPr>
            <w:r>
              <w:rPr>
                <w:rFonts w:ascii="Cambria" w:hAnsi="Cambria"/>
                <w:color w:val="222222"/>
                <w:sz w:val="17"/>
              </w:rPr>
              <w:t>Feature</w:t>
            </w:r>
          </w:p>
        </w:tc>
        <w:tc>
          <w:tcPr>
            <w:tcW w:type="dxa" w:w="4876"/>
            <w:tcMar>
              <w:top w:w="80" w:type="dxa"/>
              <w:start w:w="90" w:type="dxa"/>
              <w:bottom w:w="80" w:type="dxa"/>
              <w:end w:w="90" w:type="dxa"/>
            </w:tcMar>
            <w:vAlign w:val="top"/>
            <w:shd w:fill="F2F2F2"/>
          </w:tcPr>
          <w:p>
            <w:pPr>
              <w:spacing w:after="0"/>
            </w:pPr>
            <w:r>
              <w:rPr>
                <w:rFonts w:ascii="Cambria" w:hAnsi="Cambria"/>
                <w:color w:val="222222"/>
                <w:sz w:val="17"/>
              </w:rPr>
              <w:t>A reproducible numerical summary derived from a specified product</w:t>
            </w:r>
          </w:p>
        </w:tc>
      </w:tr>
      <w:tr>
        <w:tc>
          <w:tcPr>
            <w:tcW w:type="dxa" w:w="4876"/>
            <w:tcMar>
              <w:top w:w="80" w:type="dxa"/>
              <w:start w:w="90" w:type="dxa"/>
              <w:bottom w:w="80" w:type="dxa"/>
              <w:end w:w="90" w:type="dxa"/>
            </w:tcMar>
            <w:vAlign w:val="top"/>
          </w:tcPr>
          <w:p>
            <w:pPr>
              <w:spacing w:after="0"/>
            </w:pPr>
            <w:r>
              <w:rPr>
                <w:rFonts w:ascii="Cambria" w:hAnsi="Cambria"/>
                <w:color w:val="222222"/>
                <w:sz w:val="17"/>
              </w:rPr>
              <w:t>Anomaly / unusualness score</w:t>
            </w:r>
          </w:p>
        </w:tc>
        <w:tc>
          <w:tcPr>
            <w:tcW w:type="dxa" w:w="4876"/>
            <w:tcMar>
              <w:top w:w="80" w:type="dxa"/>
              <w:start w:w="90" w:type="dxa"/>
              <w:bottom w:w="80" w:type="dxa"/>
              <w:end w:w="90" w:type="dxa"/>
            </w:tcMar>
            <w:vAlign w:val="top"/>
          </w:tcPr>
          <w:p>
            <w:pPr>
              <w:spacing w:after="0"/>
            </w:pPr>
            <w:r>
              <w:rPr>
                <w:rFonts w:ascii="Cambria" w:hAnsi="Cambria"/>
                <w:color w:val="222222"/>
                <w:sz w:val="17"/>
              </w:rPr>
              <w:t>A relative statistical measure within the analysed dataset; not a discovery label</w:t>
            </w:r>
          </w:p>
        </w:tc>
      </w:tr>
      <w:tr>
        <w:tc>
          <w:tcPr>
            <w:tcW w:type="dxa" w:w="4876"/>
            <w:tcMar>
              <w:top w:w="80" w:type="dxa"/>
              <w:start w:w="90" w:type="dxa"/>
              <w:bottom w:w="80" w:type="dxa"/>
              <w:end w:w="90" w:type="dxa"/>
            </w:tcMar>
            <w:vAlign w:val="top"/>
            <w:shd w:fill="F2F2F2"/>
          </w:tcPr>
          <w:p>
            <w:pPr>
              <w:spacing w:after="0"/>
            </w:pPr>
            <w:r>
              <w:rPr>
                <w:rFonts w:ascii="Cambria" w:hAnsi="Cambria"/>
                <w:color w:val="222222"/>
                <w:sz w:val="17"/>
              </w:rPr>
              <w:t>Product-aware explanation</w:t>
            </w:r>
          </w:p>
        </w:tc>
        <w:tc>
          <w:tcPr>
            <w:tcW w:type="dxa" w:w="4876"/>
            <w:tcMar>
              <w:top w:w="80" w:type="dxa"/>
              <w:start w:w="90" w:type="dxa"/>
              <w:bottom w:w="80" w:type="dxa"/>
              <w:end w:w="90" w:type="dxa"/>
            </w:tcMar>
            <w:vAlign w:val="top"/>
            <w:shd w:fill="F2F2F2"/>
          </w:tcPr>
          <w:p>
            <w:pPr>
              <w:spacing w:after="0"/>
            </w:pPr>
            <w:r>
              <w:rPr>
                <w:rFonts w:ascii="Cambria" w:hAnsi="Cambria"/>
                <w:color w:val="222222"/>
                <w:sz w:val="17"/>
              </w:rPr>
              <w:t>Evidence linking a score to feature values and their original FITS product families</w:t>
            </w:r>
          </w:p>
        </w:tc>
      </w:tr>
      <w:tr>
        <w:tc>
          <w:tcPr>
            <w:tcW w:type="dxa" w:w="4876"/>
            <w:tcMar>
              <w:top w:w="80" w:type="dxa"/>
              <w:start w:w="90" w:type="dxa"/>
              <w:bottom w:w="80" w:type="dxa"/>
              <w:end w:w="90" w:type="dxa"/>
            </w:tcMar>
            <w:vAlign w:val="top"/>
          </w:tcPr>
          <w:p>
            <w:pPr>
              <w:spacing w:after="0"/>
            </w:pPr>
            <w:r>
              <w:rPr>
                <w:rFonts w:ascii="Cambria" w:hAnsi="Cambria"/>
                <w:color w:val="222222"/>
                <w:sz w:val="17"/>
              </w:rPr>
              <w:t>PCA</w:t>
            </w:r>
          </w:p>
        </w:tc>
        <w:tc>
          <w:tcPr>
            <w:tcW w:type="dxa" w:w="4876"/>
            <w:tcMar>
              <w:top w:w="80" w:type="dxa"/>
              <w:start w:w="90" w:type="dxa"/>
              <w:bottom w:w="80" w:type="dxa"/>
              <w:end w:w="90" w:type="dxa"/>
            </w:tcMar>
            <w:vAlign w:val="top"/>
          </w:tcPr>
          <w:p>
            <w:pPr>
              <w:spacing w:after="0"/>
            </w:pPr>
            <w:r>
              <w:rPr>
                <w:rFonts w:ascii="Cambria" w:hAnsi="Cambria"/>
                <w:color w:val="222222"/>
                <w:sz w:val="17"/>
              </w:rPr>
              <w:t>Orthogonal variance-based representation used for exploratory structure and redundancy analysis</w:t>
            </w:r>
          </w:p>
        </w:tc>
      </w:tr>
      <w:tr>
        <w:tc>
          <w:tcPr>
            <w:tcW w:type="dxa" w:w="4876"/>
            <w:tcMar>
              <w:top w:w="80" w:type="dxa"/>
              <w:start w:w="90" w:type="dxa"/>
              <w:bottom w:w="80" w:type="dxa"/>
              <w:end w:w="90" w:type="dxa"/>
            </w:tcMar>
            <w:vAlign w:val="top"/>
            <w:shd w:fill="F2F2F2"/>
          </w:tcPr>
          <w:p>
            <w:pPr>
              <w:spacing w:after="0"/>
            </w:pPr>
            <w:r>
              <w:rPr>
                <w:rFonts w:ascii="Cambria" w:hAnsi="Cambria"/>
                <w:color w:val="222222"/>
                <w:sz w:val="17"/>
              </w:rPr>
              <w:t>KMeans</w:t>
            </w:r>
          </w:p>
        </w:tc>
        <w:tc>
          <w:tcPr>
            <w:tcW w:type="dxa" w:w="4876"/>
            <w:tcMar>
              <w:top w:w="80" w:type="dxa"/>
              <w:start w:w="90" w:type="dxa"/>
              <w:bottom w:w="80" w:type="dxa"/>
              <w:end w:w="90" w:type="dxa"/>
            </w:tcMar>
            <w:vAlign w:val="top"/>
            <w:shd w:fill="F2F2F2"/>
          </w:tcPr>
          <w:p>
            <w:pPr>
              <w:spacing w:after="0"/>
            </w:pPr>
            <w:r>
              <w:rPr>
                <w:rFonts w:ascii="Cambria" w:hAnsi="Cambria"/>
                <w:color w:val="222222"/>
                <w:sz w:val="17"/>
              </w:rPr>
              <w:t>Distance-based clustering around selected centroids; exploratory rather than a physical classifier</w:t>
            </w:r>
          </w:p>
        </w:tc>
      </w:tr>
      <w:tr>
        <w:tc>
          <w:tcPr>
            <w:tcW w:type="dxa" w:w="4876"/>
            <w:tcMar>
              <w:top w:w="80" w:type="dxa"/>
              <w:start w:w="90" w:type="dxa"/>
              <w:bottom w:w="80" w:type="dxa"/>
              <w:end w:w="90" w:type="dxa"/>
            </w:tcMar>
            <w:vAlign w:val="top"/>
          </w:tcPr>
          <w:p>
            <w:pPr>
              <w:spacing w:after="0"/>
            </w:pPr>
            <w:r>
              <w:rPr>
                <w:rFonts w:ascii="Cambria" w:hAnsi="Cambria"/>
                <w:color w:val="222222"/>
                <w:sz w:val="17"/>
              </w:rPr>
              <w:t>Isolation Forest</w:t>
            </w:r>
          </w:p>
        </w:tc>
        <w:tc>
          <w:tcPr>
            <w:tcW w:type="dxa" w:w="4876"/>
            <w:tcMar>
              <w:top w:w="80" w:type="dxa"/>
              <w:start w:w="90" w:type="dxa"/>
              <w:bottom w:w="80" w:type="dxa"/>
              <w:end w:w="90" w:type="dxa"/>
            </w:tcMar>
            <w:vAlign w:val="top"/>
          </w:tcPr>
          <w:p>
            <w:pPr>
              <w:spacing w:after="0"/>
            </w:pPr>
            <w:r>
              <w:rPr>
                <w:rFonts w:ascii="Cambria" w:hAnsi="Cambria"/>
                <w:color w:val="222222"/>
                <w:sz w:val="17"/>
              </w:rPr>
              <w:t>Random-partition anomaly detector that tends to isolate rare observations quickly</w:t>
            </w:r>
          </w:p>
        </w:tc>
      </w:tr>
      <w:tr>
        <w:tc>
          <w:tcPr>
            <w:tcW w:type="dxa" w:w="4876"/>
            <w:tcMar>
              <w:top w:w="80" w:type="dxa"/>
              <w:start w:w="90" w:type="dxa"/>
              <w:bottom w:w="80" w:type="dxa"/>
              <w:end w:w="90" w:type="dxa"/>
            </w:tcMar>
            <w:vAlign w:val="top"/>
            <w:shd w:fill="F2F2F2"/>
          </w:tcPr>
          <w:p>
            <w:pPr>
              <w:spacing w:after="0"/>
            </w:pPr>
            <w:r>
              <w:rPr>
                <w:rFonts w:ascii="Cambria" w:hAnsi="Cambria"/>
                <w:color w:val="222222"/>
                <w:sz w:val="17"/>
              </w:rPr>
              <w:t>WeightedRoll</w:t>
            </w:r>
          </w:p>
        </w:tc>
        <w:tc>
          <w:tcPr>
            <w:tcW w:type="dxa" w:w="4876"/>
            <w:tcMar>
              <w:top w:w="80" w:type="dxa"/>
              <w:start w:w="90" w:type="dxa"/>
              <w:bottom w:w="80" w:type="dxa"/>
              <w:end w:w="90" w:type="dxa"/>
            </w:tcMar>
            <w:vAlign w:val="top"/>
            <w:shd w:fill="F2F2F2"/>
          </w:tcPr>
          <w:p>
            <w:pPr>
              <w:spacing w:after="0"/>
            </w:pPr>
            <w:r>
              <w:rPr>
                <w:rFonts w:ascii="Cambria" w:hAnsi="Cambria"/>
                <w:color w:val="222222"/>
                <w:sz w:val="17"/>
              </w:rPr>
              <w:t>POLIX modulation product containing source and background count-rate contributions</w:t>
            </w:r>
          </w:p>
        </w:tc>
      </w:tr>
      <w:tr>
        <w:tc>
          <w:tcPr>
            <w:tcW w:type="dxa" w:w="4876"/>
            <w:tcMar>
              <w:top w:w="80" w:type="dxa"/>
              <w:start w:w="90" w:type="dxa"/>
              <w:bottom w:w="80" w:type="dxa"/>
              <w:end w:w="90" w:type="dxa"/>
            </w:tcMar>
            <w:vAlign w:val="top"/>
          </w:tcPr>
          <w:p>
            <w:pPr>
              <w:spacing w:after="0"/>
            </w:pPr>
            <w:r>
              <w:rPr>
                <w:rFonts w:ascii="Cambria" w:hAnsi="Cambria"/>
                <w:color w:val="222222"/>
                <w:sz w:val="17"/>
              </w:rPr>
              <w:t>Raw modulation</w:t>
            </w:r>
          </w:p>
        </w:tc>
        <w:tc>
          <w:tcPr>
            <w:tcW w:type="dxa" w:w="4876"/>
            <w:tcMar>
              <w:top w:w="80" w:type="dxa"/>
              <w:start w:w="90" w:type="dxa"/>
              <w:bottom w:w="80" w:type="dxa"/>
              <w:end w:w="90" w:type="dxa"/>
            </w:tcMar>
            <w:vAlign w:val="top"/>
          </w:tcPr>
          <w:p>
            <w:pPr>
              <w:spacing w:after="0"/>
            </w:pPr>
            <w:r>
              <w:rPr>
                <w:rFonts w:ascii="Cambria" w:hAnsi="Cambria"/>
                <w:color w:val="222222"/>
                <w:sz w:val="17"/>
              </w:rPr>
              <w:t>Observed azimuthal variation before complete physical calibration</w:t>
            </w:r>
          </w:p>
        </w:tc>
      </w:tr>
      <w:tr>
        <w:tc>
          <w:tcPr>
            <w:tcW w:type="dxa" w:w="4876"/>
            <w:tcMar>
              <w:top w:w="80" w:type="dxa"/>
              <w:start w:w="90" w:type="dxa"/>
              <w:bottom w:w="80" w:type="dxa"/>
              <w:end w:w="90" w:type="dxa"/>
            </w:tcMar>
            <w:vAlign w:val="top"/>
            <w:shd w:fill="F2F2F2"/>
          </w:tcPr>
          <w:p>
            <w:pPr>
              <w:spacing w:after="0"/>
            </w:pPr>
            <w:r>
              <w:rPr>
                <w:rFonts w:ascii="Cambria" w:hAnsi="Cambria"/>
                <w:color w:val="222222"/>
                <w:sz w:val="17"/>
              </w:rPr>
              <w:t>Modulation factor</w:t>
            </w:r>
          </w:p>
        </w:tc>
        <w:tc>
          <w:tcPr>
            <w:tcW w:type="dxa" w:w="4876"/>
            <w:tcMar>
              <w:top w:w="80" w:type="dxa"/>
              <w:start w:w="90" w:type="dxa"/>
              <w:bottom w:w="80" w:type="dxa"/>
              <w:end w:w="90" w:type="dxa"/>
            </w:tcMar>
            <w:vAlign w:val="top"/>
            <w:shd w:fill="F2F2F2"/>
          </w:tcPr>
          <w:p>
            <w:pPr>
              <w:spacing w:after="0"/>
            </w:pPr>
            <w:r>
              <w:rPr>
                <w:rFonts w:ascii="Cambria" w:hAnsi="Cambria"/>
                <w:color w:val="222222"/>
                <w:sz w:val="17"/>
              </w:rPr>
              <w:t>Instrument response to a known polarized signal; required for calibrated PD</w:t>
            </w:r>
          </w:p>
        </w:tc>
      </w:tr>
      <w:tr>
        <w:tc>
          <w:tcPr>
            <w:tcW w:type="dxa" w:w="4876"/>
            <w:tcMar>
              <w:top w:w="80" w:type="dxa"/>
              <w:start w:w="90" w:type="dxa"/>
              <w:bottom w:w="80" w:type="dxa"/>
              <w:end w:w="90" w:type="dxa"/>
            </w:tcMar>
            <w:vAlign w:val="top"/>
          </w:tcPr>
          <w:p>
            <w:pPr>
              <w:spacing w:after="0"/>
            </w:pPr>
            <w:r>
              <w:rPr>
                <w:rFonts w:ascii="Cambria" w:hAnsi="Cambria"/>
                <w:color w:val="222222"/>
                <w:sz w:val="17"/>
              </w:rPr>
              <w:t>Polarization degree (PD)</w:t>
            </w:r>
          </w:p>
        </w:tc>
        <w:tc>
          <w:tcPr>
            <w:tcW w:type="dxa" w:w="4876"/>
            <w:tcMar>
              <w:top w:w="80" w:type="dxa"/>
              <w:start w:w="90" w:type="dxa"/>
              <w:bottom w:w="80" w:type="dxa"/>
              <w:end w:w="90" w:type="dxa"/>
            </w:tcMar>
            <w:vAlign w:val="top"/>
          </w:tcPr>
          <w:p>
            <w:pPr>
              <w:spacing w:after="0"/>
            </w:pPr>
            <w:r>
              <w:rPr>
                <w:rFonts w:ascii="Cambria" w:hAnsi="Cambria"/>
                <w:color w:val="222222"/>
                <w:sz w:val="17"/>
              </w:rPr>
              <w:t>Fractional strength of linear polarization after valid calibration and background treatment</w:t>
            </w:r>
          </w:p>
        </w:tc>
      </w:tr>
      <w:tr>
        <w:tc>
          <w:tcPr>
            <w:tcW w:type="dxa" w:w="4876"/>
            <w:tcMar>
              <w:top w:w="80" w:type="dxa"/>
              <w:start w:w="90" w:type="dxa"/>
              <w:bottom w:w="80" w:type="dxa"/>
              <w:end w:w="90" w:type="dxa"/>
            </w:tcMar>
            <w:vAlign w:val="top"/>
            <w:shd w:fill="F2F2F2"/>
          </w:tcPr>
          <w:p>
            <w:pPr>
              <w:spacing w:after="0"/>
            </w:pPr>
            <w:r>
              <w:rPr>
                <w:rFonts w:ascii="Cambria" w:hAnsi="Cambria"/>
                <w:color w:val="222222"/>
                <w:sz w:val="17"/>
              </w:rPr>
              <w:t>Polarization angle (PA)</w:t>
            </w:r>
          </w:p>
        </w:tc>
        <w:tc>
          <w:tcPr>
            <w:tcW w:type="dxa" w:w="4876"/>
            <w:tcMar>
              <w:top w:w="80" w:type="dxa"/>
              <w:start w:w="90" w:type="dxa"/>
              <w:bottom w:w="80" w:type="dxa"/>
              <w:end w:w="90" w:type="dxa"/>
            </w:tcMar>
            <w:vAlign w:val="top"/>
            <w:shd w:fill="F2F2F2"/>
          </w:tcPr>
          <w:p>
            <w:pPr>
              <w:spacing w:after="0"/>
            </w:pPr>
            <w:r>
              <w:rPr>
                <w:rFonts w:ascii="Cambria" w:hAnsi="Cambria"/>
                <w:color w:val="222222"/>
                <w:sz w:val="17"/>
              </w:rPr>
              <w:t>Sky-referenced orientation of linear polarization under established coordinate conventions</w:t>
            </w:r>
          </w:p>
        </w:tc>
      </w:tr>
      <w:tr>
        <w:tc>
          <w:tcPr>
            <w:tcW w:type="dxa" w:w="4876"/>
            <w:tcMar>
              <w:top w:w="80" w:type="dxa"/>
              <w:start w:w="90" w:type="dxa"/>
              <w:bottom w:w="80" w:type="dxa"/>
              <w:end w:w="90" w:type="dxa"/>
            </w:tcMar>
            <w:vAlign w:val="top"/>
          </w:tcPr>
          <w:p>
            <w:pPr>
              <w:spacing w:after="0"/>
            </w:pPr>
            <w:r>
              <w:rPr>
                <w:rFonts w:ascii="Cambria" w:hAnsi="Cambria"/>
                <w:color w:val="222222"/>
                <w:sz w:val="17"/>
              </w:rPr>
              <w:t>Blank sky</w:t>
            </w:r>
          </w:p>
        </w:tc>
        <w:tc>
          <w:tcPr>
            <w:tcW w:type="dxa" w:w="4876"/>
            <w:tcMar>
              <w:top w:w="80" w:type="dxa"/>
              <w:start w:w="90" w:type="dxa"/>
              <w:bottom w:w="80" w:type="dxa"/>
              <w:end w:w="90" w:type="dxa"/>
            </w:tcMar>
            <w:vAlign w:val="top"/>
          </w:tcPr>
          <w:p>
            <w:pPr>
              <w:spacing w:after="0"/>
            </w:pPr>
            <w:r>
              <w:rPr>
                <w:rFonts w:ascii="Cambria" w:hAnsi="Cambria"/>
                <w:color w:val="222222"/>
                <w:sz w:val="17"/>
              </w:rPr>
              <w:t>Observation used to characterize background/instrument behaviour; not automatically an exact source background</w:t>
            </w:r>
          </w:p>
        </w:tc>
      </w:tr>
    </w:tbl>
    <w:p>
      <w:pPr>
        <w:spacing w:after="20"/>
      </w:pPr>
    </w:p>
    <w:p>
      <w:pPr>
        <w:pStyle w:val="Heading1"/>
        <w:pageBreakBefore/>
      </w:pPr>
      <w:r>
        <w:rPr>
          <w:rFonts w:ascii="Cambria" w:hAnsi="Cambria"/>
          <w:color w:val="17365D"/>
        </w:rPr>
        <w:t>13. Review-I Conclusion</w:t>
      </w:r>
    </w:p>
    <w:p>
      <w:pPr>
        <w:pStyle w:val="BodyText"/>
        <w:jc w:val="both"/>
      </w:pPr>
      <w:r>
        <w:rPr>
          <w:rFonts w:ascii="Cambria" w:hAnsi="Cambria"/>
          <w:color w:val="222222"/>
          <w:sz w:val="21"/>
        </w:rPr>
        <w:t>The proposed study is positioned at the intersection of X-ray polarimetry, heterogeneous scientific-data analysis, unsupervised anomaly screening and explainable AI. Existing mission documentation establishes the POLIX instrument and products; polarimetry research establishes modulation, Stokes analysis and calibration requirements; astronomy ML demonstrates archive prioritization; and XAI literature establishes the need to expose the basis of an algorithmic output. The literature does not provide a directly comparable integrated framework for multi-product POLIX Level-2 screening.</w:t>
      </w:r>
    </w:p>
    <w:p>
      <w:pPr>
        <w:pStyle w:val="BodyText"/>
        <w:jc w:val="both"/>
      </w:pPr>
      <w:r>
        <w:rPr>
          <w:rFonts w:ascii="Cambria" w:hAnsi="Cambria"/>
          <w:color w:val="222222"/>
          <w:sz w:val="21"/>
        </w:rPr>
        <w:t>The project therefore aims to investigate a product-aware observation representation, cautious unsupervised ranking, traceable explanations and an independent WeightedRoll/blank-sky diagnostic. The strongest aspect of the proposal is not an unsupported novelty or a final performance claim; it is the explicit scientific separation between statistical unusualness, the explanation of that unusualness and the physical evidence needed for polarimetric interpretation.</w:t>
      </w:r>
    </w:p>
    <w:p>
      <w:pPr>
        <w:pStyle w:val="BodyText"/>
        <w:jc w:val="both"/>
      </w:pPr>
      <w:r>
        <w:rPr>
          <w:rFonts w:ascii="Cambria" w:hAnsi="Cambria"/>
          <w:color w:val="222222"/>
          <w:sz w:val="21"/>
        </w:rPr>
        <w:t>This report contains the architecture requested by the sample PPT only at a conceptual level. It intentionally excludes Review-II software design, source-code organization, implementation screenshots, completed anomaly counts, case-study outcomes, calibrated PD, official PA and website-validation results.</w:t>
      </w:r>
    </w:p>
    <w:p>
      <w:pPr>
        <w:pStyle w:val="Heading1"/>
      </w:pPr>
      <w:r>
        <w:rPr>
          <w:rFonts w:ascii="Cambria" w:hAnsi="Cambria"/>
          <w:color w:val="17365D"/>
        </w:rPr>
        <w:t>References</w:t>
      </w:r>
    </w:p>
    <w:p>
      <w:pPr>
        <w:spacing w:after="100"/>
        <w:ind w:left="397" w:hanging="397"/>
      </w:pPr>
      <w:r>
        <w:rPr>
          <w:rFonts w:ascii="Cambria" w:hAnsi="Cambria"/>
          <w:color w:val="222222"/>
          <w:sz w:val="18"/>
        </w:rPr>
        <w:t>[1] Indian Space Research Organisation, “XPoSat: India’s X-Ray Polarimetry Mission,” 2023. [Online]. Available: https://www.isro.gov.in/ISRO_EN/XPoSat_X-Ray_Polarimetry_Mission.html. [Accessed: Jul. 27, 2026].</w:t>
      </w:r>
    </w:p>
    <w:p>
      <w:pPr>
        <w:spacing w:after="100"/>
        <w:ind w:left="397" w:hanging="397"/>
      </w:pPr>
      <w:r>
        <w:rPr>
          <w:rFonts w:ascii="Cambria" w:hAnsi="Cambria"/>
          <w:color w:val="222222"/>
          <w:sz w:val="18"/>
        </w:rPr>
        <w:t xml:space="preserve">[2] N. Anand, K. Rikame, and K. Roy, </w:t>
      </w:r>
      <w:r>
        <w:rPr>
          <w:rFonts w:ascii="Cambria" w:hAnsi="Cambria"/>
          <w:i/>
          <w:color w:val="222222"/>
          <w:sz w:val="18"/>
        </w:rPr>
        <w:t>XPoSat-POLIX User Handbook: User Guide for Scientific Data Analysis Level2</w:t>
      </w:r>
      <w:r>
        <w:rPr>
          <w:rFonts w:ascii="Cambria" w:hAnsi="Cambria"/>
          <w:color w:val="222222"/>
          <w:sz w:val="18"/>
        </w:rPr>
        <w:t>, version 1.0, Oct. 2025. Reviewed by V. Rana and Rishin P. V.; approved by B. Paul. Official technical handbook.</w:t>
      </w:r>
    </w:p>
    <w:p>
      <w:pPr>
        <w:spacing w:after="100"/>
        <w:ind w:left="397" w:hanging="397"/>
      </w:pPr>
      <w:r>
        <w:rPr>
          <w:rFonts w:ascii="Cambria" w:hAnsi="Cambria"/>
          <w:color w:val="222222"/>
          <w:sz w:val="18"/>
        </w:rPr>
        <w:t>[3] Indian Space Research Organisation, Indian Space Science Data Centre, “ISRO Science Data Archive (ISDA): XPoSat,” [BIBLIOGRAPHIC DETAIL TO VERIFY]. [Online]. Available: https://pradan1.issdc.gov.in/x01/index.xhtml. Data acknowledgement guidance: https://pradan1.issdc.gov.in/x01/ack.xhtml. [Accessed: Jul. 27, 2026].</w:t>
      </w:r>
    </w:p>
    <w:p>
      <w:pPr>
        <w:spacing w:after="100"/>
        <w:ind w:left="397" w:hanging="397"/>
      </w:pPr>
      <w:r>
        <w:rPr>
          <w:rFonts w:ascii="Cambria" w:hAnsi="Cambria"/>
          <w:color w:val="222222"/>
          <w:sz w:val="18"/>
        </w:rPr>
        <w:t xml:space="preserve">[4] H. Saini, K. V. Madhu, and R. Karidhal, “Mission analysis, design and operations plan of India’s first polarimetry satellite: X-ray Polarimetry Satellite (XPoSat),” </w:t>
      </w:r>
      <w:r>
        <w:rPr>
          <w:rFonts w:ascii="Cambria" w:hAnsi="Cambria"/>
          <w:i/>
          <w:color w:val="222222"/>
          <w:sz w:val="18"/>
        </w:rPr>
        <w:t>Experimental Astronomy</w:t>
      </w:r>
      <w:r>
        <w:rPr>
          <w:rFonts w:ascii="Cambria" w:hAnsi="Cambria"/>
          <w:color w:val="222222"/>
          <w:sz w:val="18"/>
        </w:rPr>
        <w:t>, vol. 59, no. 2, art. no. 17, 2025, doi: 10.1007/s10686-025-09988-6.</w:t>
      </w:r>
    </w:p>
    <w:p>
      <w:pPr>
        <w:spacing w:after="100"/>
        <w:ind w:left="397" w:hanging="397"/>
      </w:pPr>
      <w:r>
        <w:rPr>
          <w:rFonts w:ascii="Cambria" w:hAnsi="Cambria"/>
          <w:color w:val="222222"/>
          <w:sz w:val="18"/>
        </w:rPr>
        <w:t xml:space="preserve">[5] M. C. Weisskopf, B. Brinkman, C. Canizares, G. Garmire, S. Murray, and L. P. Van Speybroeck, “An overview of the performance and scientific results from the Chandra X-Ray Observatory,” </w:t>
      </w:r>
      <w:r>
        <w:rPr>
          <w:rFonts w:ascii="Cambria" w:hAnsi="Cambria"/>
          <w:i/>
          <w:color w:val="222222"/>
          <w:sz w:val="18"/>
        </w:rPr>
        <w:t>Publications of the Astronomical Society of the Pacific</w:t>
      </w:r>
      <w:r>
        <w:rPr>
          <w:rFonts w:ascii="Cambria" w:hAnsi="Cambria"/>
          <w:color w:val="222222"/>
          <w:sz w:val="18"/>
        </w:rPr>
        <w:t>, vol. 114, no. 791, pp. 1–24, 2002, doi: 10.1086/338108.</w:t>
      </w:r>
    </w:p>
    <w:p>
      <w:pPr>
        <w:spacing w:after="100"/>
        <w:ind w:left="397" w:hanging="397"/>
      </w:pPr>
      <w:r>
        <w:rPr>
          <w:rFonts w:ascii="Cambria" w:hAnsi="Cambria"/>
          <w:color w:val="222222"/>
          <w:sz w:val="18"/>
        </w:rPr>
        <w:t xml:space="preserve">[6] M. C. Weisskopf </w:t>
      </w:r>
      <w:r>
        <w:rPr>
          <w:rFonts w:ascii="Cambria" w:hAnsi="Cambria"/>
          <w:i/>
          <w:color w:val="222222"/>
          <w:sz w:val="18"/>
        </w:rPr>
        <w:t>et al.</w:t>
      </w:r>
      <w:r>
        <w:rPr>
          <w:rFonts w:ascii="Cambria" w:hAnsi="Cambria"/>
          <w:color w:val="222222"/>
          <w:sz w:val="18"/>
        </w:rPr>
        <w:t xml:space="preserve">, “The Imaging X-Ray Polarimetry Explorer (IXPE): Pre-Launch,” </w:t>
      </w:r>
      <w:r>
        <w:rPr>
          <w:rFonts w:ascii="Cambria" w:hAnsi="Cambria"/>
          <w:i/>
          <w:color w:val="222222"/>
          <w:sz w:val="18"/>
        </w:rPr>
        <w:t>Journal of Astronomical Telescopes, Instruments, and Systems</w:t>
      </w:r>
      <w:r>
        <w:rPr>
          <w:rFonts w:ascii="Cambria" w:hAnsi="Cambria"/>
          <w:color w:val="222222"/>
          <w:sz w:val="18"/>
        </w:rPr>
        <w:t>, vol. 8, no. 2, art. no. 026002, 2022, doi: 10.1117/1.JATIS.8.2.026002.</w:t>
      </w:r>
    </w:p>
    <w:p>
      <w:pPr>
        <w:spacing w:after="100"/>
        <w:ind w:left="397" w:hanging="397"/>
      </w:pPr>
      <w:r>
        <w:rPr>
          <w:rFonts w:ascii="Cambria" w:hAnsi="Cambria"/>
          <w:color w:val="222222"/>
          <w:sz w:val="18"/>
        </w:rPr>
        <w:t xml:space="preserve">[7] S. Fabiani, “Instrumentation and future missions in the upcoming era of X-ray polarimetry,” </w:t>
      </w:r>
      <w:r>
        <w:rPr>
          <w:rFonts w:ascii="Cambria" w:hAnsi="Cambria"/>
          <w:i/>
          <w:color w:val="222222"/>
          <w:sz w:val="18"/>
        </w:rPr>
        <w:t>Galaxies</w:t>
      </w:r>
      <w:r>
        <w:rPr>
          <w:rFonts w:ascii="Cambria" w:hAnsi="Cambria"/>
          <w:color w:val="222222"/>
          <w:sz w:val="18"/>
        </w:rPr>
        <w:t>, vol. 6, no. 2, art. no. 54, 2018, doi: 10.3390/galaxies6020054.</w:t>
      </w:r>
    </w:p>
    <w:p>
      <w:pPr>
        <w:spacing w:after="100"/>
        <w:ind w:left="397" w:hanging="397"/>
      </w:pPr>
      <w:r>
        <w:rPr>
          <w:rFonts w:ascii="Cambria" w:hAnsi="Cambria"/>
          <w:color w:val="222222"/>
          <w:sz w:val="18"/>
        </w:rPr>
        <w:t xml:space="preserve">[8] F. Kislat, B. Clark, M. Beilicke, and H. Krawczynski, “Analyzing the data from X-ray polarimeters with Stokes parameters,” </w:t>
      </w:r>
      <w:r>
        <w:rPr>
          <w:rFonts w:ascii="Cambria" w:hAnsi="Cambria"/>
          <w:i/>
          <w:color w:val="222222"/>
          <w:sz w:val="18"/>
        </w:rPr>
        <w:t>Astroparticle Physics</w:t>
      </w:r>
      <w:r>
        <w:rPr>
          <w:rFonts w:ascii="Cambria" w:hAnsi="Cambria"/>
          <w:color w:val="222222"/>
          <w:sz w:val="18"/>
        </w:rPr>
        <w:t>, vol. 68, pp. 45–51, 2015, doi: 10.1016/j.astropartphys.2015.02.007.</w:t>
      </w:r>
    </w:p>
    <w:p>
      <w:pPr>
        <w:spacing w:after="100"/>
        <w:ind w:left="397" w:hanging="397"/>
      </w:pPr>
      <w:r>
        <w:rPr>
          <w:rFonts w:ascii="Cambria" w:hAnsi="Cambria"/>
          <w:color w:val="222222"/>
          <w:sz w:val="18"/>
        </w:rPr>
        <w:t xml:space="preserve">[9] V. Doroshenko </w:t>
      </w:r>
      <w:r>
        <w:rPr>
          <w:rFonts w:ascii="Cambria" w:hAnsi="Cambria"/>
          <w:i/>
          <w:color w:val="222222"/>
          <w:sz w:val="18"/>
        </w:rPr>
        <w:t>et al.</w:t>
      </w:r>
      <w:r>
        <w:rPr>
          <w:rFonts w:ascii="Cambria" w:hAnsi="Cambria"/>
          <w:color w:val="222222"/>
          <w:sz w:val="18"/>
        </w:rPr>
        <w:t xml:space="preserve">, “Determination of X-ray pulsar geometry with IXPE polarimetry,” </w:t>
      </w:r>
      <w:r>
        <w:rPr>
          <w:rFonts w:ascii="Cambria" w:hAnsi="Cambria"/>
          <w:i/>
          <w:color w:val="222222"/>
          <w:sz w:val="18"/>
        </w:rPr>
        <w:t>Nature Astronomy</w:t>
      </w:r>
      <w:r>
        <w:rPr>
          <w:rFonts w:ascii="Cambria" w:hAnsi="Cambria"/>
          <w:color w:val="222222"/>
          <w:sz w:val="18"/>
        </w:rPr>
        <w:t>, vol. 6, pp. 1433–1443, 2022, doi: 10.1038/s41550-022-01799-5.</w:t>
      </w:r>
    </w:p>
    <w:p>
      <w:pPr>
        <w:spacing w:after="100"/>
        <w:ind w:left="397" w:hanging="397"/>
      </w:pPr>
      <w:r>
        <w:rPr>
          <w:rFonts w:ascii="Cambria" w:hAnsi="Cambria"/>
          <w:color w:val="222222"/>
          <w:sz w:val="18"/>
        </w:rPr>
        <w:t xml:space="preserve">[10] H. Krawczynski </w:t>
      </w:r>
      <w:r>
        <w:rPr>
          <w:rFonts w:ascii="Cambria" w:hAnsi="Cambria"/>
          <w:i/>
          <w:color w:val="222222"/>
          <w:sz w:val="18"/>
        </w:rPr>
        <w:t>et al.</w:t>
      </w:r>
      <w:r>
        <w:rPr>
          <w:rFonts w:ascii="Cambria" w:hAnsi="Cambria"/>
          <w:color w:val="222222"/>
          <w:sz w:val="18"/>
        </w:rPr>
        <w:t xml:space="preserve">, “Polarized x-rays constrain the disk-jet geometry in the black hole x-ray binary Cygnus X-1,” </w:t>
      </w:r>
      <w:r>
        <w:rPr>
          <w:rFonts w:ascii="Cambria" w:hAnsi="Cambria"/>
          <w:i/>
          <w:color w:val="222222"/>
          <w:sz w:val="18"/>
        </w:rPr>
        <w:t>Science</w:t>
      </w:r>
      <w:r>
        <w:rPr>
          <w:rFonts w:ascii="Cambria" w:hAnsi="Cambria"/>
          <w:color w:val="222222"/>
          <w:sz w:val="18"/>
        </w:rPr>
        <w:t>, vol. 378, no. 6620, pp. 650–654, 2022, doi: 10.1126/science.add5399.</w:t>
      </w:r>
    </w:p>
    <w:p>
      <w:pPr>
        <w:spacing w:after="100"/>
        <w:ind w:left="397" w:hanging="397"/>
      </w:pPr>
      <w:r>
        <w:rPr>
          <w:rFonts w:ascii="Cambria" w:hAnsi="Cambria"/>
          <w:color w:val="222222"/>
          <w:sz w:val="18"/>
        </w:rPr>
        <w:t xml:space="preserve">[11] N. Bucciantini </w:t>
      </w:r>
      <w:r>
        <w:rPr>
          <w:rFonts w:ascii="Cambria" w:hAnsi="Cambria"/>
          <w:i/>
          <w:color w:val="222222"/>
          <w:sz w:val="18"/>
        </w:rPr>
        <w:t>et al.</w:t>
      </w:r>
      <w:r>
        <w:rPr>
          <w:rFonts w:ascii="Cambria" w:hAnsi="Cambria"/>
          <w:color w:val="222222"/>
          <w:sz w:val="18"/>
        </w:rPr>
        <w:t xml:space="preserve">, “Simultaneous space and phase resolved X-ray polarimetry of the Crab pulsar and nebula,” </w:t>
      </w:r>
      <w:r>
        <w:rPr>
          <w:rFonts w:ascii="Cambria" w:hAnsi="Cambria"/>
          <w:i/>
          <w:color w:val="222222"/>
          <w:sz w:val="18"/>
        </w:rPr>
        <w:t>Nature Astronomy</w:t>
      </w:r>
      <w:r>
        <w:rPr>
          <w:rFonts w:ascii="Cambria" w:hAnsi="Cambria"/>
          <w:color w:val="222222"/>
          <w:sz w:val="18"/>
        </w:rPr>
        <w:t>, vol. 7, no. 5, pp. 602–610, 2023, doi: 10.1038/s41550-023-01936-8.</w:t>
      </w:r>
    </w:p>
    <w:p>
      <w:pPr>
        <w:spacing w:after="100"/>
        <w:ind w:left="397" w:hanging="397"/>
      </w:pPr>
      <w:r>
        <w:rPr>
          <w:rFonts w:ascii="Cambria" w:hAnsi="Cambria"/>
          <w:color w:val="222222"/>
          <w:sz w:val="18"/>
        </w:rPr>
        <w:t xml:space="preserve">[12] K. Pearson, “On lines and planes of closest fit to systems of points in space,” </w:t>
      </w:r>
      <w:r>
        <w:rPr>
          <w:rFonts w:ascii="Cambria" w:hAnsi="Cambria"/>
          <w:i/>
          <w:color w:val="222222"/>
          <w:sz w:val="18"/>
        </w:rPr>
        <w:t>The London, Edinburgh, and Dublin Philosophical Magazine and Journal of Science</w:t>
      </w:r>
      <w:r>
        <w:rPr>
          <w:rFonts w:ascii="Cambria" w:hAnsi="Cambria"/>
          <w:color w:val="222222"/>
          <w:sz w:val="18"/>
        </w:rPr>
        <w:t>, 6th ser., vol. 2, no. 11, pp. 559–572, 1901, doi: 10.1080/14786440109462720.</w:t>
      </w:r>
    </w:p>
    <w:p>
      <w:pPr>
        <w:spacing w:after="100"/>
        <w:ind w:left="397" w:hanging="397"/>
      </w:pPr>
      <w:r>
        <w:rPr>
          <w:rFonts w:ascii="Cambria" w:hAnsi="Cambria"/>
          <w:color w:val="222222"/>
          <w:sz w:val="18"/>
        </w:rPr>
        <w:t xml:space="preserve">[13] J. B. MacQueen, “Some methods for classification and analysis of multivariate observations,” in </w:t>
      </w:r>
      <w:r>
        <w:rPr>
          <w:rFonts w:ascii="Cambria" w:hAnsi="Cambria"/>
          <w:i/>
          <w:color w:val="222222"/>
          <w:sz w:val="18"/>
        </w:rPr>
        <w:t>Proc. 5th Berkeley Symp. Mathematical Statistics and Probability</w:t>
      </w:r>
      <w:r>
        <w:rPr>
          <w:rFonts w:ascii="Cambria" w:hAnsi="Cambria"/>
          <w:color w:val="222222"/>
          <w:sz w:val="18"/>
        </w:rPr>
        <w:t>, vol. 1, Berkeley, CA, USA: University of California Press, 1967, pp. 281–297.</w:t>
      </w:r>
    </w:p>
    <w:p>
      <w:pPr>
        <w:spacing w:after="100"/>
        <w:ind w:left="397" w:hanging="397"/>
      </w:pPr>
      <w:r>
        <w:rPr>
          <w:rFonts w:ascii="Cambria" w:hAnsi="Cambria"/>
          <w:color w:val="222222"/>
          <w:sz w:val="18"/>
        </w:rPr>
        <w:t xml:space="preserve">[14] F. T. Liu, K. M. Ting, and Z.-H. Zhou, “Isolation Forest,” in </w:t>
      </w:r>
      <w:r>
        <w:rPr>
          <w:rFonts w:ascii="Cambria" w:hAnsi="Cambria"/>
          <w:i/>
          <w:color w:val="222222"/>
          <w:sz w:val="18"/>
        </w:rPr>
        <w:t>Proc. 8th IEEE Int. Conf. Data Mining (ICDM)</w:t>
      </w:r>
      <w:r>
        <w:rPr>
          <w:rFonts w:ascii="Cambria" w:hAnsi="Cambria"/>
          <w:color w:val="222222"/>
          <w:sz w:val="18"/>
        </w:rPr>
        <w:t>, Pisa, Italy, 2008, pp. 413–422, doi: 10.1109/ICDM.2008.17.</w:t>
      </w:r>
    </w:p>
    <w:p>
      <w:pPr>
        <w:spacing w:after="100"/>
        <w:ind w:left="397" w:hanging="397"/>
      </w:pPr>
      <w:r>
        <w:rPr>
          <w:rFonts w:ascii="Cambria" w:hAnsi="Cambria"/>
          <w:color w:val="222222"/>
          <w:sz w:val="18"/>
        </w:rPr>
        <w:t xml:space="preserve">[15] D. Baron and D. Poznanski, “The weirdest SDSS galaxies: results from an outlier detection algorithm,” </w:t>
      </w:r>
      <w:r>
        <w:rPr>
          <w:rFonts w:ascii="Cambria" w:hAnsi="Cambria"/>
          <w:i/>
          <w:color w:val="222222"/>
          <w:sz w:val="18"/>
        </w:rPr>
        <w:t>Monthly Notices of the Royal Astronomical Society</w:t>
      </w:r>
      <w:r>
        <w:rPr>
          <w:rFonts w:ascii="Cambria" w:hAnsi="Cambria"/>
          <w:color w:val="222222"/>
          <w:sz w:val="18"/>
        </w:rPr>
        <w:t>, vol. 465, no. 4, pp. 4530–4555, 2017, doi: 10.1093/mnras/stw3021.</w:t>
      </w:r>
    </w:p>
    <w:p>
      <w:pPr>
        <w:spacing w:after="100"/>
        <w:ind w:left="397" w:hanging="397"/>
      </w:pPr>
      <w:r>
        <w:rPr>
          <w:rFonts w:ascii="Cambria" w:hAnsi="Cambria"/>
          <w:color w:val="222222"/>
          <w:sz w:val="18"/>
        </w:rPr>
        <w:t xml:space="preserve">[16] M. Lochner and B. A. Bassett, “Astronomaly: Personalised active anomaly detection in astronomical data,” </w:t>
      </w:r>
      <w:r>
        <w:rPr>
          <w:rFonts w:ascii="Cambria" w:hAnsi="Cambria"/>
          <w:i/>
          <w:color w:val="222222"/>
          <w:sz w:val="18"/>
        </w:rPr>
        <w:t>Astronomy and Computing</w:t>
      </w:r>
      <w:r>
        <w:rPr>
          <w:rFonts w:ascii="Cambria" w:hAnsi="Cambria"/>
          <w:color w:val="222222"/>
          <w:sz w:val="18"/>
        </w:rPr>
        <w:t>, vol. 36, art. no. 100481, 2021, doi: 10.1016/j.ascom.2021.100481.</w:t>
      </w:r>
    </w:p>
    <w:p>
      <w:pPr>
        <w:spacing w:after="100"/>
        <w:ind w:left="397" w:hanging="397"/>
      </w:pPr>
      <w:r>
        <w:rPr>
          <w:rFonts w:ascii="Cambria" w:hAnsi="Cambria"/>
          <w:color w:val="222222"/>
          <w:sz w:val="18"/>
        </w:rPr>
        <w:t xml:space="preserve">[17] S. M. Lundberg and S.-I. Lee, “A unified approach to interpreting model predictions,” in </w:t>
      </w:r>
      <w:r>
        <w:rPr>
          <w:rFonts w:ascii="Cambria" w:hAnsi="Cambria"/>
          <w:i/>
          <w:color w:val="222222"/>
          <w:sz w:val="18"/>
        </w:rPr>
        <w:t>Advances in Neural Information Processing Systems 30</w:t>
      </w:r>
      <w:r>
        <w:rPr>
          <w:rFonts w:ascii="Cambria" w:hAnsi="Cambria"/>
          <w:color w:val="222222"/>
          <w:sz w:val="18"/>
        </w:rPr>
        <w:t>, 2017, pp. 4765–4774.</w:t>
      </w:r>
    </w:p>
    <w:p>
      <w:pPr>
        <w:spacing w:after="100"/>
        <w:ind w:left="397" w:hanging="397"/>
      </w:pPr>
      <w:r>
        <w:rPr>
          <w:rFonts w:ascii="Cambria" w:hAnsi="Cambria"/>
          <w:color w:val="222222"/>
          <w:sz w:val="18"/>
        </w:rPr>
        <w:t xml:space="preserve">[18] V. Yepmo, G. Smits, and O. Pivert, “Anomaly explanation: A review,” </w:t>
      </w:r>
      <w:r>
        <w:rPr>
          <w:rFonts w:ascii="Cambria" w:hAnsi="Cambria"/>
          <w:i/>
          <w:color w:val="222222"/>
          <w:sz w:val="18"/>
        </w:rPr>
        <w:t>Data &amp; Knowledge Engineering</w:t>
      </w:r>
      <w:r>
        <w:rPr>
          <w:rFonts w:ascii="Cambria" w:hAnsi="Cambria"/>
          <w:color w:val="222222"/>
          <w:sz w:val="18"/>
        </w:rPr>
        <w:t>, vol. 137, art. no. 101946, 2022, doi: 10.1016/j.datak.2021.101946.</w:t>
      </w:r>
    </w:p>
    <w:p>
      <w:pPr>
        <w:spacing w:after="100"/>
        <w:ind w:left="397" w:hanging="397"/>
      </w:pPr>
      <w:r>
        <w:rPr>
          <w:rFonts w:ascii="Cambria" w:hAnsi="Cambria"/>
          <w:color w:val="222222"/>
          <w:sz w:val="18"/>
        </w:rPr>
        <w:t xml:space="preserve">[19] S. Kumaran, S. Mandal, and S. Bhattacharyya, “Explainable machine learning classification of Chandra X-ray sources: SHAP analysis of multi-wavelength features,” </w:t>
      </w:r>
      <w:r>
        <w:rPr>
          <w:rFonts w:ascii="Cambria" w:hAnsi="Cambria"/>
          <w:i/>
          <w:color w:val="222222"/>
          <w:sz w:val="18"/>
        </w:rPr>
        <w:t>arXiv preprint</w:t>
      </w:r>
      <w:r>
        <w:rPr>
          <w:rFonts w:ascii="Cambria" w:hAnsi="Cambria"/>
          <w:color w:val="222222"/>
          <w:sz w:val="18"/>
        </w:rPr>
        <w:t xml:space="preserve"> arXiv:2601.04650, 2026, doi: 10.48550/arXiv.2601.04650. [Preprint; submitted to The Astrophysical Journal.]</w:t>
      </w:r>
    </w:p>
    <w:p>
      <w:pPr>
        <w:spacing w:after="100"/>
        <w:ind w:left="397" w:hanging="397"/>
      </w:pPr>
      <w:r>
        <w:rPr>
          <w:rFonts w:ascii="Cambria" w:hAnsi="Cambria"/>
          <w:color w:val="222222"/>
          <w:sz w:val="18"/>
        </w:rPr>
        <w:t xml:space="preserve">[20] V. S. Pérez-Díaz, J. R. Martínez-Galarza, A. Caicedo, and R. D’Abrusco, “Unsupervised machine learning for the classification of astrophysical X-ray sources,” </w:t>
      </w:r>
      <w:r>
        <w:rPr>
          <w:rFonts w:ascii="Cambria" w:hAnsi="Cambria"/>
          <w:i/>
          <w:color w:val="222222"/>
          <w:sz w:val="18"/>
        </w:rPr>
        <w:t>Monthly Notices of the Royal Astronomical Society</w:t>
      </w:r>
      <w:r>
        <w:rPr>
          <w:rFonts w:ascii="Cambria" w:hAnsi="Cambria"/>
          <w:color w:val="222222"/>
          <w:sz w:val="18"/>
        </w:rPr>
        <w:t>, vol. 528, no. 3, pp. 4852–4871, 2024, doi: 10.1093/mnras/stae260.</w:t>
      </w:r>
    </w:p>
    <w:sectPr w:rsidR="00FC693F" w:rsidRPr="0006063C" w:rsidSect="00034616">
      <w:headerReference w:type="default" r:id="rId9"/>
      <w:footerReference w:type="default" r:id="rId10"/>
      <w:pgSz w:w="11906" w:h="16838"/>
      <w:pgMar w:top="1020" w:right="1020"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824"/>
      <w:gridCol w:w="1928"/>
    </w:tblGrid>
    <w:tr>
      <w:tc>
        <w:tcPr>
          <w:tcW w:type="dxa" w:w="4876"/>
        </w:tcPr>
        <w:p>
          <w:pPr>
            <w:jc w:val="left"/>
          </w:pPr>
          <w:r>
            <w:rPr>
              <w:rFonts w:ascii="Aptos" w:hAnsi="Aptos"/>
              <w:color w:val="666666"/>
              <w:sz w:val="16"/>
            </w:rPr>
            <w:t>Comprehensive team reference report • Prepared for 1 August 2026</w:t>
          </w:r>
        </w:p>
      </w:tc>
      <w:tc>
        <w:tcPr>
          <w:tcW w:type="dxa" w:w="4876"/>
        </w:tcPr>
        <w:p>
          <w:pPr>
            <w:jc w:val="right"/>
          </w:pPr>
          <w:r>
            <w:rPr>
              <w:rFonts w:ascii="Cambria" w:hAnsi="Cambria"/>
              <w:color w:val="666666"/>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B7C9DB"/>
      </w:pBdr>
    </w:pPr>
    <w:r>
      <w:rPr>
        <w:rFonts w:ascii="Aptos" w:hAnsi="Aptos"/>
        <w:b/>
        <w:color w:val="666666"/>
        <w:sz w:val="17"/>
      </w:rPr>
      <w:t>PROJECT STAGE-I — REVIEW 1  |  XPoSat–POLIX XAI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mbria" w:hAnsi="Cambr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4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Rule="auto" w:line="259"/>
    </w:pPr>
    <w:rPr>
      <w:rFonts w:ascii="Cambria" w:hAnsi="Cambria"/>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Cambria" w:hAnsi="Cambr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Cambria" w:hAnsi="Cambri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Explainable AI Framework for Analysis of X-Ray Polarimetry Data from XPoSat</dc:title>
  <dc:subject>Project Stage-I — Review 1 comprehensive team reference report</dc:subject>
  <dc:creator>Project Team [TO BE FILLED]</dc:creator>
  <cp:keywords>XPoSat, POLIX, X-ray polarimetry, anomaly detection, explainable AI, Review-I</cp:keywords>
  <dc:description>Prepared as an editable academic source document for Review-I presentation development.</dc:description>
  <cp:lastModifiedBy/>
  <cp:revision>1</cp:revision>
  <dcterms:created xsi:type="dcterms:W3CDTF">2013-12-23T23:15:00Z</dcterms:created>
  <dcterms:modified xsi:type="dcterms:W3CDTF">2013-12-23T23:15:00Z</dcterms:modified>
  <cp:category/>
</cp:coreProperties>
</file>