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3BC09" w14:textId="7EFED895" w:rsidR="001A3302" w:rsidRPr="00192FAE" w:rsidRDefault="001A3302" w:rsidP="001A3302">
      <w:pPr>
        <w:spacing w:after="0"/>
        <w:jc w:val="both"/>
        <w:rPr>
          <w:rFonts w:cstheme="minorHAnsi"/>
        </w:rPr>
      </w:pPr>
      <w:r w:rsidRPr="00192FAE">
        <w:rPr>
          <w:rFonts w:cstheme="minorHAnsi"/>
          <w:b/>
          <w:bCs/>
        </w:rPr>
        <w:t>To:</w:t>
      </w:r>
      <w:r>
        <w:rPr>
          <w:rFonts w:cstheme="minorHAnsi"/>
          <w:b/>
          <w:bCs/>
        </w:rPr>
        <w:t xml:space="preserve"> </w:t>
      </w:r>
      <w:r>
        <w:rPr>
          <w:rFonts w:cstheme="minorHAnsi"/>
        </w:rPr>
        <w:t>The Honorable Governor Carey Nupf, Governor</w:t>
      </w:r>
    </w:p>
    <w:p w14:paraId="34516CFA" w14:textId="1A7D2D1A" w:rsidR="001A3302" w:rsidRPr="00192FAE" w:rsidRDefault="001A3302" w:rsidP="001A3302">
      <w:pPr>
        <w:spacing w:after="0"/>
        <w:jc w:val="both"/>
        <w:rPr>
          <w:rFonts w:cstheme="minorHAnsi"/>
        </w:rPr>
      </w:pPr>
      <w:r w:rsidRPr="00192FAE">
        <w:rPr>
          <w:rFonts w:cstheme="minorHAnsi"/>
          <w:b/>
          <w:bCs/>
        </w:rPr>
        <w:t xml:space="preserve">From: </w:t>
      </w:r>
      <w:r w:rsidRPr="00192FAE">
        <w:rPr>
          <w:rFonts w:cstheme="minorHAnsi"/>
        </w:rPr>
        <w:t xml:space="preserve">Grace Sam, Policy </w:t>
      </w:r>
      <w:r>
        <w:rPr>
          <w:rFonts w:cstheme="minorHAnsi"/>
        </w:rPr>
        <w:t>Analyst</w:t>
      </w:r>
      <w:r w:rsidR="000B5DE9">
        <w:rPr>
          <w:rFonts w:cstheme="minorHAnsi"/>
        </w:rPr>
        <w:t>, Joint Appointment between Department of Transportation and Department of Environmental Protection</w:t>
      </w:r>
    </w:p>
    <w:p w14:paraId="32CE8624" w14:textId="2478887F" w:rsidR="001A3302" w:rsidRPr="00192FAE" w:rsidRDefault="001A3302" w:rsidP="001A3302">
      <w:pPr>
        <w:spacing w:after="0"/>
        <w:jc w:val="both"/>
        <w:rPr>
          <w:rFonts w:cstheme="minorHAnsi"/>
        </w:rPr>
      </w:pPr>
      <w:r w:rsidRPr="00192FAE">
        <w:rPr>
          <w:rFonts w:cstheme="minorHAnsi"/>
          <w:b/>
          <w:bCs/>
        </w:rPr>
        <w:t xml:space="preserve">Date: </w:t>
      </w:r>
      <w:r>
        <w:rPr>
          <w:rFonts w:cstheme="minorHAnsi"/>
        </w:rPr>
        <w:t>September 14, 2024</w:t>
      </w:r>
      <w:r w:rsidRPr="00192FAE">
        <w:rPr>
          <w:rFonts w:cstheme="minorHAnsi"/>
        </w:rPr>
        <w:t xml:space="preserve"> </w:t>
      </w:r>
    </w:p>
    <w:p w14:paraId="37FCEC52" w14:textId="7B71E757" w:rsidR="001A3302" w:rsidRPr="00192FAE" w:rsidRDefault="001A3302" w:rsidP="001A3302">
      <w:pPr>
        <w:pBdr>
          <w:bottom w:val="single" w:sz="6" w:space="1" w:color="auto"/>
        </w:pBdr>
        <w:spacing w:after="0"/>
        <w:jc w:val="both"/>
        <w:rPr>
          <w:rFonts w:cstheme="minorHAnsi"/>
        </w:rPr>
      </w:pPr>
      <w:r w:rsidRPr="00192FAE">
        <w:rPr>
          <w:rFonts w:cstheme="minorHAnsi"/>
          <w:b/>
          <w:bCs/>
        </w:rPr>
        <w:t xml:space="preserve">Subj: </w:t>
      </w:r>
      <w:r w:rsidR="00444A56">
        <w:rPr>
          <w:rFonts w:cstheme="minorHAnsi"/>
        </w:rPr>
        <w:t>Recommendations for reducing the automobile gasoline use in the state</w:t>
      </w:r>
    </w:p>
    <w:p w14:paraId="7D02C613" w14:textId="77777777" w:rsidR="001A3302" w:rsidRDefault="001A3302" w:rsidP="001A3302">
      <w:pPr>
        <w:spacing w:after="0"/>
        <w:jc w:val="both"/>
        <w:rPr>
          <w:rFonts w:cstheme="minorHAnsi"/>
          <w:sz w:val="24"/>
          <w:szCs w:val="24"/>
        </w:rPr>
      </w:pPr>
    </w:p>
    <w:p w14:paraId="6E75C142" w14:textId="77777777" w:rsidR="001A3302" w:rsidRDefault="001A3302" w:rsidP="001A3302">
      <w:pPr>
        <w:spacing w:after="0"/>
        <w:jc w:val="both"/>
        <w:rPr>
          <w:b/>
          <w:bCs/>
        </w:rPr>
      </w:pPr>
      <w:r>
        <w:rPr>
          <w:b/>
          <w:bCs/>
        </w:rPr>
        <w:t>Abstract</w:t>
      </w:r>
    </w:p>
    <w:p w14:paraId="3928C463" w14:textId="78F6C1B9" w:rsidR="00594317" w:rsidRPr="00910D82" w:rsidRDefault="00F66A4B" w:rsidP="00594317">
      <w:pPr>
        <w:pBdr>
          <w:bottom w:val="single" w:sz="12" w:space="1" w:color="auto"/>
        </w:pBdr>
        <w:spacing w:after="0"/>
        <w:jc w:val="both"/>
      </w:pPr>
      <w:r>
        <w:t xml:space="preserve">High automobile dependency, and prevalence of gasoline-based vehicles can be considered as primary factors leading to high gasoline usage in the state. Associated carbon emission and air pollution has residents of the state concerned. </w:t>
      </w:r>
      <w:r w:rsidR="001A3302">
        <w:t xml:space="preserve">The </w:t>
      </w:r>
      <w:r>
        <w:t>memorandum outlines a causal model for the high automobile gasoline use in the state. It then considers three government programs that address different aspects of the issue</w:t>
      </w:r>
      <w:r w:rsidR="00A3023E">
        <w:t>.</w:t>
      </w:r>
      <w:r>
        <w:t xml:space="preserve"> </w:t>
      </w:r>
    </w:p>
    <w:p w14:paraId="4DDF5284" w14:textId="77777777" w:rsidR="001A3302" w:rsidRDefault="001A3302" w:rsidP="001A3302">
      <w:pPr>
        <w:spacing w:after="0"/>
        <w:jc w:val="both"/>
        <w:rPr>
          <w:b/>
          <w:bCs/>
        </w:rPr>
      </w:pPr>
    </w:p>
    <w:p w14:paraId="093582D2" w14:textId="605F7C2E" w:rsidR="00935B18" w:rsidRPr="00DF4CC3" w:rsidRDefault="00935B18" w:rsidP="00594317">
      <w:pPr>
        <w:spacing w:after="240"/>
        <w:rPr>
          <w:sz w:val="24"/>
          <w:szCs w:val="24"/>
        </w:rPr>
      </w:pPr>
      <w:r w:rsidRPr="00DF4CC3">
        <w:rPr>
          <w:sz w:val="24"/>
          <w:szCs w:val="24"/>
        </w:rPr>
        <w:t xml:space="preserve">State residents are concerned about global warming and air pollution. </w:t>
      </w:r>
      <w:r w:rsidR="00570C6F" w:rsidRPr="00DF4CC3">
        <w:rPr>
          <w:sz w:val="24"/>
          <w:szCs w:val="24"/>
        </w:rPr>
        <w:t>Since a</w:t>
      </w:r>
      <w:r w:rsidRPr="00DF4CC3">
        <w:rPr>
          <w:sz w:val="24"/>
          <w:szCs w:val="24"/>
        </w:rPr>
        <w:t>utomobiles are source of more than 20% carbon emissions in the state</w:t>
      </w:r>
      <w:r w:rsidR="00570C6F" w:rsidRPr="00DF4CC3">
        <w:rPr>
          <w:sz w:val="24"/>
          <w:szCs w:val="24"/>
        </w:rPr>
        <w:t>, and have also been major contributor to smog in urban centers of the state, the policy memo considers policy alternatives to reduce automobile gasoline usage in the state.</w:t>
      </w:r>
      <w:r w:rsidR="00EF5D36">
        <w:rPr>
          <w:sz w:val="24"/>
          <w:szCs w:val="24"/>
          <w:vertAlign w:val="superscript"/>
        </w:rPr>
        <w:t>1</w:t>
      </w:r>
    </w:p>
    <w:p w14:paraId="6CE10097" w14:textId="208B6BC7" w:rsidR="002A293F" w:rsidRPr="00DF4CC3" w:rsidRDefault="002A293F" w:rsidP="00935B18">
      <w:pPr>
        <w:rPr>
          <w:sz w:val="24"/>
          <w:szCs w:val="24"/>
          <w:u w:val="single"/>
        </w:rPr>
      </w:pPr>
      <w:r w:rsidRPr="00DF4CC3">
        <w:rPr>
          <w:sz w:val="24"/>
          <w:szCs w:val="24"/>
          <w:u w:val="single"/>
        </w:rPr>
        <w:t>Problem Definition</w:t>
      </w:r>
    </w:p>
    <w:p w14:paraId="1BCA947B" w14:textId="3DB6EB81" w:rsidR="002A293F" w:rsidRPr="00DF4CC3" w:rsidRDefault="002A293F" w:rsidP="00935B18">
      <w:pPr>
        <w:rPr>
          <w:sz w:val="24"/>
          <w:szCs w:val="24"/>
        </w:rPr>
      </w:pPr>
      <w:r w:rsidRPr="00DF4CC3">
        <w:rPr>
          <w:sz w:val="24"/>
          <w:szCs w:val="24"/>
        </w:rPr>
        <w:t>The problem can be defined and measured as state’s</w:t>
      </w:r>
      <w:r w:rsidR="00E81428">
        <w:rPr>
          <w:sz w:val="24"/>
          <w:szCs w:val="24"/>
        </w:rPr>
        <w:t xml:space="preserve"> high</w:t>
      </w:r>
      <w:r w:rsidRPr="00DF4CC3">
        <w:rPr>
          <w:sz w:val="24"/>
          <w:szCs w:val="24"/>
        </w:rPr>
        <w:t xml:space="preserve"> gasoline use in automobiles.  The causal pathway outlined in Figure 1 below considers factors contributing to high gasoline us</w:t>
      </w:r>
      <w:r w:rsidR="00F85D17">
        <w:rPr>
          <w:sz w:val="24"/>
          <w:szCs w:val="24"/>
        </w:rPr>
        <w:t>e</w:t>
      </w:r>
      <w:r w:rsidRPr="00DF4CC3">
        <w:rPr>
          <w:sz w:val="24"/>
          <w:szCs w:val="24"/>
        </w:rPr>
        <w:t xml:space="preserve"> in the state.</w:t>
      </w:r>
      <w:r w:rsidR="00F05D2E" w:rsidRPr="00DF4CC3">
        <w:rPr>
          <w:sz w:val="24"/>
          <w:szCs w:val="24"/>
        </w:rPr>
        <w:t xml:space="preserve"> High automobile dependence</w:t>
      </w:r>
      <w:r w:rsidR="00E81428">
        <w:rPr>
          <w:sz w:val="24"/>
          <w:szCs w:val="24"/>
        </w:rPr>
        <w:t>,</w:t>
      </w:r>
      <w:r w:rsidR="00F05D2E" w:rsidRPr="00DF4CC3">
        <w:rPr>
          <w:sz w:val="24"/>
          <w:szCs w:val="24"/>
        </w:rPr>
        <w:t xml:space="preserve"> and </w:t>
      </w:r>
      <w:r w:rsidR="00D546A8">
        <w:rPr>
          <w:sz w:val="24"/>
          <w:szCs w:val="24"/>
        </w:rPr>
        <w:t>prevalence of</w:t>
      </w:r>
      <w:r w:rsidR="00F05D2E" w:rsidRPr="00DF4CC3">
        <w:rPr>
          <w:sz w:val="24"/>
          <w:szCs w:val="24"/>
        </w:rPr>
        <w:t xml:space="preserve"> gasoline-based vehicles can be considered as proximate causes</w:t>
      </w:r>
      <w:r w:rsidR="00F85D17">
        <w:rPr>
          <w:sz w:val="24"/>
          <w:szCs w:val="24"/>
        </w:rPr>
        <w:t xml:space="preserve"> (boxes in bold</w:t>
      </w:r>
      <w:r w:rsidR="00A30A85">
        <w:rPr>
          <w:sz w:val="24"/>
          <w:szCs w:val="24"/>
        </w:rPr>
        <w:t xml:space="preserve"> in Figure 1</w:t>
      </w:r>
      <w:r w:rsidR="00F85D17">
        <w:rPr>
          <w:sz w:val="24"/>
          <w:szCs w:val="24"/>
        </w:rPr>
        <w:t>)</w:t>
      </w:r>
      <w:r w:rsidR="00F05D2E" w:rsidRPr="00DF4CC3">
        <w:rPr>
          <w:sz w:val="24"/>
          <w:szCs w:val="24"/>
        </w:rPr>
        <w:t xml:space="preserve"> fueling the high automobile gasoline use in the state.</w:t>
      </w:r>
    </w:p>
    <w:p w14:paraId="3FF9335B" w14:textId="54279D5F" w:rsidR="002A293F" w:rsidRPr="00DF4CC3" w:rsidRDefault="002A293F" w:rsidP="002A293F">
      <w:pPr>
        <w:jc w:val="center"/>
        <w:rPr>
          <w:sz w:val="24"/>
          <w:szCs w:val="24"/>
        </w:rPr>
      </w:pPr>
      <w:r w:rsidRPr="00DF4CC3">
        <w:rPr>
          <w:noProof/>
          <w:sz w:val="24"/>
          <w:szCs w:val="24"/>
        </w:rPr>
        <w:drawing>
          <wp:inline distT="0" distB="0" distL="0" distR="0" wp14:anchorId="0ECD37A1" wp14:editId="71DBE776">
            <wp:extent cx="5006774" cy="3414056"/>
            <wp:effectExtent l="0" t="0" r="3810" b="0"/>
            <wp:docPr id="151380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05988" name=""/>
                    <pic:cNvPicPr/>
                  </pic:nvPicPr>
                  <pic:blipFill>
                    <a:blip r:embed="rId7"/>
                    <a:stretch>
                      <a:fillRect/>
                    </a:stretch>
                  </pic:blipFill>
                  <pic:spPr>
                    <a:xfrm>
                      <a:off x="0" y="0"/>
                      <a:ext cx="5006774" cy="3414056"/>
                    </a:xfrm>
                    <a:prstGeom prst="rect">
                      <a:avLst/>
                    </a:prstGeom>
                  </pic:spPr>
                </pic:pic>
              </a:graphicData>
            </a:graphic>
          </wp:inline>
        </w:drawing>
      </w:r>
    </w:p>
    <w:p w14:paraId="7F3B9E45" w14:textId="4190B858" w:rsidR="002A293F" w:rsidRPr="00DF4CC3" w:rsidRDefault="002A293F" w:rsidP="002A293F">
      <w:pPr>
        <w:jc w:val="center"/>
        <w:rPr>
          <w:rFonts w:cstheme="minorHAnsi"/>
          <w:sz w:val="20"/>
          <w:szCs w:val="20"/>
        </w:rPr>
      </w:pPr>
      <w:r w:rsidRPr="00DF4CC3">
        <w:rPr>
          <w:rFonts w:cstheme="minorHAnsi"/>
          <w:color w:val="808080" w:themeColor="background1" w:themeShade="80"/>
          <w:sz w:val="20"/>
          <w:szCs w:val="20"/>
        </w:rPr>
        <w:t>Figure 1 – Causal model for high automobile gasoline use - Proximate causes (boxes in bold) and Root causes (end nodes)</w:t>
      </w:r>
      <w:r w:rsidR="00E87E2C">
        <w:rPr>
          <w:rFonts w:cstheme="minorHAnsi"/>
          <w:color w:val="808080" w:themeColor="background1" w:themeShade="80"/>
          <w:sz w:val="20"/>
          <w:szCs w:val="20"/>
        </w:rPr>
        <w:t>.</w:t>
      </w:r>
      <w:r w:rsidR="00E87E2C" w:rsidRPr="00E87E2C">
        <w:rPr>
          <w:rFonts w:cstheme="minorHAnsi"/>
          <w:color w:val="808080" w:themeColor="background1" w:themeShade="80"/>
          <w:sz w:val="20"/>
          <w:szCs w:val="20"/>
        </w:rPr>
        <w:t xml:space="preserve"> </w:t>
      </w:r>
      <w:r w:rsidR="00E87E2C">
        <w:rPr>
          <w:rFonts w:cstheme="minorHAnsi"/>
          <w:color w:val="808080" w:themeColor="background1" w:themeShade="80"/>
          <w:sz w:val="20"/>
          <w:szCs w:val="20"/>
        </w:rPr>
        <w:t>Boxes in red are those through which the memorandum considers addressing the issue</w:t>
      </w:r>
      <w:r w:rsidR="00D87A27">
        <w:rPr>
          <w:rFonts w:cstheme="minorHAnsi"/>
          <w:color w:val="808080" w:themeColor="background1" w:themeShade="80"/>
          <w:sz w:val="20"/>
          <w:szCs w:val="20"/>
        </w:rPr>
        <w:t xml:space="preserve"> in the following sections</w:t>
      </w:r>
      <w:r w:rsidR="00E87E2C">
        <w:rPr>
          <w:rFonts w:cstheme="minorHAnsi"/>
          <w:color w:val="808080" w:themeColor="background1" w:themeShade="80"/>
          <w:sz w:val="20"/>
          <w:szCs w:val="20"/>
        </w:rPr>
        <w:t>.</w:t>
      </w:r>
    </w:p>
    <w:p w14:paraId="62393F22" w14:textId="4C982274" w:rsidR="002A293F" w:rsidRDefault="00DF4CC3" w:rsidP="00935B18">
      <w:pPr>
        <w:rPr>
          <w:sz w:val="24"/>
          <w:szCs w:val="24"/>
        </w:rPr>
      </w:pPr>
      <w:r>
        <w:rPr>
          <w:sz w:val="24"/>
          <w:szCs w:val="24"/>
        </w:rPr>
        <w:lastRenderedPageBreak/>
        <w:t xml:space="preserve">Factors like insufficient </w:t>
      </w:r>
      <w:r w:rsidR="00727F66">
        <w:rPr>
          <w:sz w:val="24"/>
          <w:szCs w:val="24"/>
        </w:rPr>
        <w:t>public transport alternative</w:t>
      </w:r>
      <w:r w:rsidR="00B72BBA">
        <w:rPr>
          <w:sz w:val="24"/>
          <w:szCs w:val="24"/>
        </w:rPr>
        <w:t>s</w:t>
      </w:r>
      <w:r w:rsidR="00727F66">
        <w:rPr>
          <w:sz w:val="24"/>
          <w:szCs w:val="24"/>
        </w:rPr>
        <w:t xml:space="preserve">, lack of reliable public transit options, low fuel prices </w:t>
      </w:r>
      <w:r w:rsidR="00943D74">
        <w:rPr>
          <w:sz w:val="24"/>
          <w:szCs w:val="24"/>
        </w:rPr>
        <w:t>and automobile prices that don’t reflect the true social cost of using it</w:t>
      </w:r>
      <w:r w:rsidR="00B7099B">
        <w:rPr>
          <w:sz w:val="24"/>
          <w:szCs w:val="24"/>
        </w:rPr>
        <w:t xml:space="preserve"> and</w:t>
      </w:r>
      <w:r w:rsidR="00943D74">
        <w:rPr>
          <w:sz w:val="24"/>
          <w:szCs w:val="24"/>
        </w:rPr>
        <w:t xml:space="preserve"> </w:t>
      </w:r>
      <w:r w:rsidR="00727F66">
        <w:rPr>
          <w:sz w:val="24"/>
          <w:szCs w:val="24"/>
        </w:rPr>
        <w:t xml:space="preserve">make </w:t>
      </w:r>
      <w:r w:rsidR="0030741A">
        <w:rPr>
          <w:sz w:val="24"/>
          <w:szCs w:val="24"/>
        </w:rPr>
        <w:t xml:space="preserve">owning </w:t>
      </w:r>
      <w:r w:rsidR="00727F66">
        <w:rPr>
          <w:sz w:val="24"/>
          <w:szCs w:val="24"/>
        </w:rPr>
        <w:t xml:space="preserve">multiple private vehicles affordable, </w:t>
      </w:r>
      <w:r w:rsidR="00CB552B">
        <w:rPr>
          <w:sz w:val="24"/>
          <w:szCs w:val="24"/>
        </w:rPr>
        <w:t xml:space="preserve">and </w:t>
      </w:r>
      <w:r w:rsidR="00727F66">
        <w:rPr>
          <w:sz w:val="24"/>
          <w:szCs w:val="24"/>
        </w:rPr>
        <w:t xml:space="preserve">infrastructure and city design can be considered as root causes leading to high automobile use. Sufficient and reliable public transit options are necessary to switch consumption pattern away from private vehicles. Fuel and automobile prices are other related factors that can be used to incentivize public transit use. </w:t>
      </w:r>
      <w:r w:rsidR="00CE0914">
        <w:rPr>
          <w:sz w:val="24"/>
          <w:szCs w:val="24"/>
        </w:rPr>
        <w:t xml:space="preserve">City and infrastructure design create and define commute needs. For example, if city design is such that homes are far away from school, hospitals, grocery outlets, and if public transit is unreliable or insufficiently available through the day, individuals would be incentivized to </w:t>
      </w:r>
      <w:r w:rsidR="00150A93">
        <w:rPr>
          <w:sz w:val="24"/>
          <w:szCs w:val="24"/>
        </w:rPr>
        <w:t xml:space="preserve">use </w:t>
      </w:r>
      <w:r w:rsidR="00CE0914">
        <w:rPr>
          <w:sz w:val="24"/>
          <w:szCs w:val="24"/>
        </w:rPr>
        <w:t xml:space="preserve">private vehicles. Alternatively, </w:t>
      </w:r>
      <w:r w:rsidR="00FA382F">
        <w:rPr>
          <w:sz w:val="24"/>
          <w:szCs w:val="24"/>
        </w:rPr>
        <w:t xml:space="preserve">even </w:t>
      </w:r>
      <w:r w:rsidR="00CE0914">
        <w:rPr>
          <w:sz w:val="24"/>
          <w:szCs w:val="24"/>
        </w:rPr>
        <w:t xml:space="preserve">if public transit is a viable albeit not the most convenient option, fuel prices and car prices </w:t>
      </w:r>
      <w:r w:rsidR="00FA382F">
        <w:rPr>
          <w:sz w:val="24"/>
          <w:szCs w:val="24"/>
        </w:rPr>
        <w:t xml:space="preserve">can </w:t>
      </w:r>
      <w:r w:rsidR="00CE0914">
        <w:rPr>
          <w:sz w:val="24"/>
          <w:szCs w:val="24"/>
        </w:rPr>
        <w:t>make private transit just as cheap when matched with the actual</w:t>
      </w:r>
      <w:r w:rsidR="00FA382F">
        <w:rPr>
          <w:sz w:val="24"/>
          <w:szCs w:val="24"/>
        </w:rPr>
        <w:t>,</w:t>
      </w:r>
      <w:r w:rsidR="00CE0914">
        <w:rPr>
          <w:sz w:val="24"/>
          <w:szCs w:val="24"/>
        </w:rPr>
        <w:t xml:space="preserve"> and time cost of waiting for public transit, </w:t>
      </w:r>
      <w:r w:rsidR="00FA382F">
        <w:rPr>
          <w:sz w:val="24"/>
          <w:szCs w:val="24"/>
        </w:rPr>
        <w:t xml:space="preserve">and </w:t>
      </w:r>
      <w:r w:rsidR="00CE0914">
        <w:rPr>
          <w:sz w:val="24"/>
          <w:szCs w:val="24"/>
        </w:rPr>
        <w:t>residents would be incentivized to choose private commute over public transit.</w:t>
      </w:r>
    </w:p>
    <w:p w14:paraId="36F5B408" w14:textId="0E2B7B59" w:rsidR="00BD05E8" w:rsidRDefault="00044481" w:rsidP="00935B18">
      <w:pPr>
        <w:rPr>
          <w:sz w:val="24"/>
          <w:szCs w:val="24"/>
        </w:rPr>
      </w:pPr>
      <w:r>
        <w:rPr>
          <w:sz w:val="24"/>
          <w:szCs w:val="24"/>
        </w:rPr>
        <w:t xml:space="preserve">Prevalence of gasoline-based automobiles can be considered as </w:t>
      </w:r>
      <w:r w:rsidR="009A75C1">
        <w:rPr>
          <w:sz w:val="24"/>
          <w:szCs w:val="24"/>
        </w:rPr>
        <w:t>the second</w:t>
      </w:r>
      <w:r>
        <w:rPr>
          <w:sz w:val="24"/>
          <w:szCs w:val="24"/>
        </w:rPr>
        <w:t xml:space="preserve"> proximate cause </w:t>
      </w:r>
      <w:r w:rsidR="00FA382F">
        <w:rPr>
          <w:sz w:val="24"/>
          <w:szCs w:val="24"/>
        </w:rPr>
        <w:t>leading to high automobile gasoline consumption in the state</w:t>
      </w:r>
      <w:r>
        <w:rPr>
          <w:sz w:val="24"/>
          <w:szCs w:val="24"/>
        </w:rPr>
        <w:t xml:space="preserve">. </w:t>
      </w:r>
      <w:r w:rsidR="00FA382F">
        <w:rPr>
          <w:sz w:val="24"/>
          <w:szCs w:val="24"/>
        </w:rPr>
        <w:t>‘Smarter’</w:t>
      </w:r>
      <w:r>
        <w:rPr>
          <w:sz w:val="24"/>
          <w:szCs w:val="24"/>
        </w:rPr>
        <w:t xml:space="preserve"> traffic control design</w:t>
      </w:r>
      <w:r w:rsidR="00795FA7">
        <w:rPr>
          <w:sz w:val="24"/>
          <w:szCs w:val="24"/>
        </w:rPr>
        <w:t xml:space="preserve"> - optimized routes,</w:t>
      </w:r>
      <w:r w:rsidR="001055A7">
        <w:rPr>
          <w:sz w:val="24"/>
          <w:szCs w:val="24"/>
        </w:rPr>
        <w:t xml:space="preserve"> intelligent transportation systems like smarter traffic light control and navigation systems</w:t>
      </w:r>
      <w:r w:rsidR="00150A93">
        <w:rPr>
          <w:sz w:val="24"/>
          <w:szCs w:val="24"/>
        </w:rPr>
        <w:t>,</w:t>
      </w:r>
      <w:r>
        <w:rPr>
          <w:sz w:val="24"/>
          <w:szCs w:val="24"/>
        </w:rPr>
        <w:t xml:space="preserve"> and awareness of ‘cleaner’ driving practices</w:t>
      </w:r>
      <w:r w:rsidR="00150A93">
        <w:rPr>
          <w:sz w:val="24"/>
          <w:szCs w:val="24"/>
        </w:rPr>
        <w:t xml:space="preserve"> -</w:t>
      </w:r>
      <w:r w:rsidR="00E45664">
        <w:rPr>
          <w:sz w:val="24"/>
          <w:szCs w:val="24"/>
        </w:rPr>
        <w:t xml:space="preserve"> maintaining</w:t>
      </w:r>
      <w:r w:rsidR="00623510">
        <w:rPr>
          <w:sz w:val="24"/>
          <w:szCs w:val="24"/>
        </w:rPr>
        <w:t xml:space="preserve"> steady speeds, smooth acceleration and breaking, avoiding idling</w:t>
      </w:r>
      <w:r w:rsidR="00D751B1">
        <w:rPr>
          <w:sz w:val="24"/>
          <w:szCs w:val="24"/>
        </w:rPr>
        <w:t>,</w:t>
      </w:r>
      <w:r w:rsidR="00623510">
        <w:rPr>
          <w:sz w:val="24"/>
          <w:szCs w:val="24"/>
        </w:rPr>
        <w:t xml:space="preserve"> </w:t>
      </w:r>
      <w:r w:rsidR="00FA382F">
        <w:rPr>
          <w:sz w:val="24"/>
          <w:szCs w:val="24"/>
        </w:rPr>
        <w:t xml:space="preserve">can optimize </w:t>
      </w:r>
      <w:r>
        <w:rPr>
          <w:sz w:val="24"/>
          <w:szCs w:val="24"/>
        </w:rPr>
        <w:t>fuel consumption</w:t>
      </w:r>
      <w:r w:rsidR="00FA382F">
        <w:rPr>
          <w:sz w:val="24"/>
          <w:szCs w:val="24"/>
        </w:rPr>
        <w:t>.</w:t>
      </w:r>
      <w:r w:rsidR="00472C27" w:rsidRPr="00472C27">
        <w:rPr>
          <w:sz w:val="24"/>
          <w:szCs w:val="24"/>
          <w:vertAlign w:val="superscript"/>
        </w:rPr>
        <w:t>3</w:t>
      </w:r>
      <w:r>
        <w:rPr>
          <w:sz w:val="24"/>
          <w:szCs w:val="24"/>
        </w:rPr>
        <w:t xml:space="preserve"> </w:t>
      </w:r>
      <w:r w:rsidR="00E45664">
        <w:rPr>
          <w:sz w:val="24"/>
          <w:szCs w:val="24"/>
        </w:rPr>
        <w:t xml:space="preserve">Old and poorly maintained vehicles also contribute to inefficient fuel consumption, and lower discretionary incomes together with lack of knowledge about these considerations could be affecting </w:t>
      </w:r>
      <w:r w:rsidR="003B5A1C">
        <w:rPr>
          <w:sz w:val="24"/>
          <w:szCs w:val="24"/>
        </w:rPr>
        <w:t>purchase</w:t>
      </w:r>
      <w:r w:rsidR="00E45664">
        <w:rPr>
          <w:sz w:val="24"/>
          <w:szCs w:val="24"/>
        </w:rPr>
        <w:t xml:space="preserve"> decisions. </w:t>
      </w:r>
    </w:p>
    <w:p w14:paraId="1C944EFB" w14:textId="2F7858DC" w:rsidR="001055A7" w:rsidRDefault="00E45664" w:rsidP="00935B18">
      <w:pPr>
        <w:rPr>
          <w:sz w:val="24"/>
          <w:szCs w:val="24"/>
        </w:rPr>
      </w:pPr>
      <w:r>
        <w:rPr>
          <w:sz w:val="24"/>
          <w:szCs w:val="24"/>
        </w:rPr>
        <w:t>Manufacturers can also contribute towards reduced consumption by designing ‘cleaner’ models. Affordable alternate fuel options can also help shift demand away from gasoline consumption. Both fuel price, and vehicle price are key determining factors that drive this shift, and research and development in this space can accelerate the shift to cleaner fuel and cleaner vehicles.</w:t>
      </w:r>
    </w:p>
    <w:p w14:paraId="4E7E796B" w14:textId="18195F01" w:rsidR="00321E6B" w:rsidRDefault="00321E6B" w:rsidP="00594317">
      <w:pPr>
        <w:spacing w:after="240"/>
        <w:rPr>
          <w:sz w:val="24"/>
          <w:szCs w:val="24"/>
        </w:rPr>
      </w:pPr>
      <w:r>
        <w:rPr>
          <w:sz w:val="24"/>
          <w:szCs w:val="24"/>
        </w:rPr>
        <w:t>While the causal model holds for both rural and urban areas,</w:t>
      </w:r>
      <w:r w:rsidR="003B5A1C" w:rsidRPr="003B5A1C">
        <w:rPr>
          <w:sz w:val="24"/>
          <w:szCs w:val="24"/>
        </w:rPr>
        <w:t xml:space="preserve"> </w:t>
      </w:r>
      <w:r w:rsidR="003B5A1C">
        <w:rPr>
          <w:sz w:val="24"/>
          <w:szCs w:val="24"/>
        </w:rPr>
        <w:t>transit need and demand in rural areas</w:t>
      </w:r>
      <w:r>
        <w:rPr>
          <w:sz w:val="24"/>
          <w:szCs w:val="24"/>
        </w:rPr>
        <w:t xml:space="preserve"> </w:t>
      </w:r>
      <w:r w:rsidR="003B5A1C">
        <w:rPr>
          <w:sz w:val="24"/>
          <w:szCs w:val="24"/>
        </w:rPr>
        <w:t>differs in scale and pattern from that of urban areas</w:t>
      </w:r>
      <w:r w:rsidR="00A60536" w:rsidRPr="00A60536">
        <w:rPr>
          <w:sz w:val="24"/>
          <w:szCs w:val="24"/>
          <w:vertAlign w:val="superscript"/>
        </w:rPr>
        <w:t>2</w:t>
      </w:r>
      <w:r w:rsidR="003B5A1C">
        <w:rPr>
          <w:sz w:val="24"/>
          <w:szCs w:val="24"/>
        </w:rPr>
        <w:t>. T</w:t>
      </w:r>
      <w:r>
        <w:rPr>
          <w:sz w:val="24"/>
          <w:szCs w:val="24"/>
        </w:rPr>
        <w:t xml:space="preserve">his memo will particularly consider policy programs to address the issue in urban centers. </w:t>
      </w:r>
    </w:p>
    <w:p w14:paraId="7384F41F" w14:textId="61C21AE0" w:rsidR="00E45664" w:rsidRDefault="00E45664" w:rsidP="00935B18">
      <w:pPr>
        <w:rPr>
          <w:sz w:val="24"/>
          <w:szCs w:val="24"/>
          <w:u w:val="single"/>
        </w:rPr>
      </w:pPr>
      <w:r>
        <w:rPr>
          <w:sz w:val="24"/>
          <w:szCs w:val="24"/>
          <w:u w:val="single"/>
        </w:rPr>
        <w:t>Policy alternatives</w:t>
      </w:r>
    </w:p>
    <w:p w14:paraId="55DEFC75" w14:textId="53D92455" w:rsidR="00E45664" w:rsidRDefault="0097308C" w:rsidP="00E45664">
      <w:pPr>
        <w:pStyle w:val="ListParagraph"/>
        <w:numPr>
          <w:ilvl w:val="0"/>
          <w:numId w:val="16"/>
        </w:numPr>
        <w:rPr>
          <w:sz w:val="24"/>
          <w:szCs w:val="24"/>
        </w:rPr>
      </w:pPr>
      <w:r>
        <w:rPr>
          <w:sz w:val="24"/>
          <w:szCs w:val="24"/>
        </w:rPr>
        <w:t>Strengthening the public transit system</w:t>
      </w:r>
    </w:p>
    <w:p w14:paraId="4432FF33" w14:textId="4B97F535" w:rsidR="0097308C" w:rsidRDefault="0056439C" w:rsidP="0097308C">
      <w:pPr>
        <w:rPr>
          <w:sz w:val="24"/>
          <w:szCs w:val="24"/>
        </w:rPr>
      </w:pPr>
      <w:r>
        <w:rPr>
          <w:sz w:val="24"/>
          <w:szCs w:val="24"/>
        </w:rPr>
        <w:t>The urban</w:t>
      </w:r>
      <w:r w:rsidR="000B76D1">
        <w:rPr>
          <w:sz w:val="24"/>
          <w:szCs w:val="24"/>
        </w:rPr>
        <w:t xml:space="preserve"> area transportation can be revitalized by strengthening the public transit system.</w:t>
      </w:r>
    </w:p>
    <w:p w14:paraId="480A4752" w14:textId="2213EDB2" w:rsidR="002367BC" w:rsidRDefault="00E56893" w:rsidP="0097308C">
      <w:pPr>
        <w:rPr>
          <w:sz w:val="24"/>
          <w:szCs w:val="24"/>
        </w:rPr>
      </w:pPr>
      <w:r>
        <w:rPr>
          <w:sz w:val="24"/>
          <w:szCs w:val="24"/>
        </w:rPr>
        <w:t>For individuals i</w:t>
      </w:r>
      <w:r w:rsidR="002367BC">
        <w:rPr>
          <w:sz w:val="24"/>
          <w:szCs w:val="24"/>
        </w:rPr>
        <w:t xml:space="preserve">n urban areas </w:t>
      </w:r>
      <w:r w:rsidR="00BA216E">
        <w:rPr>
          <w:sz w:val="24"/>
          <w:szCs w:val="24"/>
        </w:rPr>
        <w:t xml:space="preserve">to shift away from using personal cars, public transit would have to be frequent, reliable, and have wide coverage. </w:t>
      </w:r>
      <w:r w:rsidR="004C08C2">
        <w:rPr>
          <w:sz w:val="24"/>
          <w:szCs w:val="24"/>
        </w:rPr>
        <w:t>Under this program t</w:t>
      </w:r>
      <w:r w:rsidR="00361450">
        <w:rPr>
          <w:sz w:val="24"/>
          <w:szCs w:val="24"/>
        </w:rPr>
        <w:t xml:space="preserve">he public transit fleet </w:t>
      </w:r>
      <w:r w:rsidR="00043B8E">
        <w:rPr>
          <w:sz w:val="24"/>
          <w:szCs w:val="24"/>
        </w:rPr>
        <w:t xml:space="preserve">would </w:t>
      </w:r>
      <w:r w:rsidR="00361450">
        <w:rPr>
          <w:sz w:val="24"/>
          <w:szCs w:val="24"/>
        </w:rPr>
        <w:t>be expanded, and the routes reconsidered to provide frequent and complete coverage</w:t>
      </w:r>
      <w:r>
        <w:rPr>
          <w:sz w:val="24"/>
          <w:szCs w:val="24"/>
        </w:rPr>
        <w:t>. Unreliable transit is a major deterrent in changing travel demand</w:t>
      </w:r>
      <w:r w:rsidR="00FF425B">
        <w:rPr>
          <w:sz w:val="24"/>
          <w:szCs w:val="24"/>
        </w:rPr>
        <w:t xml:space="preserve"> behavior</w:t>
      </w:r>
      <w:r>
        <w:rPr>
          <w:sz w:val="24"/>
          <w:szCs w:val="24"/>
        </w:rPr>
        <w:t>. Accurate tracking with GPS installation</w:t>
      </w:r>
      <w:r w:rsidR="007A0F33">
        <w:rPr>
          <w:sz w:val="24"/>
          <w:szCs w:val="24"/>
        </w:rPr>
        <w:t xml:space="preserve"> on fleet</w:t>
      </w:r>
      <w:r>
        <w:rPr>
          <w:sz w:val="24"/>
          <w:szCs w:val="24"/>
        </w:rPr>
        <w:t xml:space="preserve">, and using crowd sourcing methods for timely and reliable updates </w:t>
      </w:r>
      <w:r w:rsidR="00361450">
        <w:rPr>
          <w:sz w:val="24"/>
          <w:szCs w:val="24"/>
        </w:rPr>
        <w:t>will be</w:t>
      </w:r>
      <w:r>
        <w:rPr>
          <w:sz w:val="24"/>
          <w:szCs w:val="24"/>
        </w:rPr>
        <w:t xml:space="preserve"> crucial to driving the demand change.</w:t>
      </w:r>
    </w:p>
    <w:p w14:paraId="3D439D04" w14:textId="1E2AD660" w:rsidR="005E1664" w:rsidRDefault="00D303C7" w:rsidP="000945CB">
      <w:pPr>
        <w:rPr>
          <w:sz w:val="24"/>
          <w:szCs w:val="24"/>
        </w:rPr>
      </w:pPr>
      <w:r>
        <w:rPr>
          <w:sz w:val="24"/>
          <w:szCs w:val="24"/>
        </w:rPr>
        <w:lastRenderedPageBreak/>
        <w:t xml:space="preserve">Better public transit alone cannot bring about this significant change in travel choice. Price could be an effective and easy tool to achieve this shift. While the upfront cost of purchasing a car and insurance is high, drivers don’t pay the real cost of driving which includes congestion cost, the cost of the </w:t>
      </w:r>
      <w:r w:rsidR="00A12C7C">
        <w:rPr>
          <w:sz w:val="24"/>
          <w:szCs w:val="24"/>
        </w:rPr>
        <w:t xml:space="preserve">maintaining and expanding supporting </w:t>
      </w:r>
      <w:r>
        <w:rPr>
          <w:sz w:val="24"/>
          <w:szCs w:val="24"/>
        </w:rPr>
        <w:t>infrastructure, traffic control, and pollution.</w:t>
      </w:r>
      <w:r w:rsidRPr="00D303C7">
        <w:rPr>
          <w:sz w:val="24"/>
          <w:szCs w:val="24"/>
          <w:vertAlign w:val="superscript"/>
        </w:rPr>
        <w:t>4</w:t>
      </w:r>
      <w:r>
        <w:rPr>
          <w:sz w:val="24"/>
          <w:szCs w:val="24"/>
        </w:rPr>
        <w:t xml:space="preserve"> </w:t>
      </w:r>
      <w:r w:rsidR="0056439C">
        <w:rPr>
          <w:sz w:val="24"/>
          <w:szCs w:val="24"/>
        </w:rPr>
        <w:t xml:space="preserve">Increasing </w:t>
      </w:r>
      <w:r w:rsidR="00D76C5A">
        <w:rPr>
          <w:sz w:val="24"/>
          <w:szCs w:val="24"/>
        </w:rPr>
        <w:t xml:space="preserve">the cost of driving a car </w:t>
      </w:r>
      <w:r w:rsidR="0056439C">
        <w:rPr>
          <w:sz w:val="24"/>
          <w:szCs w:val="24"/>
        </w:rPr>
        <w:t>can be an</w:t>
      </w:r>
      <w:r w:rsidR="00FF425B">
        <w:rPr>
          <w:sz w:val="24"/>
          <w:szCs w:val="24"/>
        </w:rPr>
        <w:t xml:space="preserve"> effective deterrent</w:t>
      </w:r>
      <w:r w:rsidR="00166AFA">
        <w:rPr>
          <w:sz w:val="24"/>
          <w:szCs w:val="24"/>
        </w:rPr>
        <w:t xml:space="preserve">. Increasing </w:t>
      </w:r>
      <w:r w:rsidR="00D76C5A">
        <w:rPr>
          <w:sz w:val="24"/>
          <w:szCs w:val="24"/>
        </w:rPr>
        <w:t xml:space="preserve">fuel prices </w:t>
      </w:r>
      <w:r w:rsidR="00166AFA">
        <w:rPr>
          <w:sz w:val="24"/>
          <w:szCs w:val="24"/>
        </w:rPr>
        <w:t>to reflect the true social cost of driving can allow the free hand of market nudge household to</w:t>
      </w:r>
      <w:r w:rsidR="00487D9C">
        <w:rPr>
          <w:sz w:val="24"/>
          <w:szCs w:val="24"/>
        </w:rPr>
        <w:t xml:space="preserve"> reconsider travel choices,</w:t>
      </w:r>
      <w:r w:rsidR="00166AFA">
        <w:rPr>
          <w:sz w:val="24"/>
          <w:szCs w:val="24"/>
        </w:rPr>
        <w:t xml:space="preserve"> </w:t>
      </w:r>
      <w:r w:rsidR="00487D9C">
        <w:rPr>
          <w:sz w:val="24"/>
          <w:szCs w:val="24"/>
        </w:rPr>
        <w:t xml:space="preserve">and shift to public transit to </w:t>
      </w:r>
      <w:r w:rsidR="00166AFA">
        <w:rPr>
          <w:sz w:val="24"/>
          <w:szCs w:val="24"/>
        </w:rPr>
        <w:t>optimize their budget</w:t>
      </w:r>
      <w:r w:rsidR="00487D9C">
        <w:rPr>
          <w:sz w:val="24"/>
          <w:szCs w:val="24"/>
        </w:rPr>
        <w:t>.</w:t>
      </w:r>
    </w:p>
    <w:p w14:paraId="3969AB4B" w14:textId="77777777" w:rsidR="00237330" w:rsidRDefault="00D76C5A" w:rsidP="0097308C">
      <w:pPr>
        <w:rPr>
          <w:sz w:val="24"/>
          <w:szCs w:val="24"/>
        </w:rPr>
      </w:pPr>
      <w:r>
        <w:rPr>
          <w:sz w:val="24"/>
          <w:szCs w:val="24"/>
        </w:rPr>
        <w:t xml:space="preserve">Despite pushback from manufacturers and dealers, and consumer inertia, </w:t>
      </w:r>
      <w:r w:rsidR="00FF425B">
        <w:rPr>
          <w:sz w:val="24"/>
          <w:szCs w:val="24"/>
        </w:rPr>
        <w:t xml:space="preserve">reimagining American streets and </w:t>
      </w:r>
      <w:r w:rsidR="00637611">
        <w:rPr>
          <w:sz w:val="24"/>
          <w:szCs w:val="24"/>
        </w:rPr>
        <w:t>its</w:t>
      </w:r>
      <w:r w:rsidR="00FF425B">
        <w:rPr>
          <w:sz w:val="24"/>
          <w:szCs w:val="24"/>
        </w:rPr>
        <w:t xml:space="preserve"> purpose </w:t>
      </w:r>
      <w:r w:rsidR="0028088A">
        <w:rPr>
          <w:sz w:val="24"/>
          <w:szCs w:val="24"/>
        </w:rPr>
        <w:t>can</w:t>
      </w:r>
      <w:r w:rsidR="00361450">
        <w:rPr>
          <w:sz w:val="24"/>
          <w:szCs w:val="24"/>
        </w:rPr>
        <w:t xml:space="preserve"> reduce fuel dependency, improve overall well-being of the residents, and help better use of city’s resources.</w:t>
      </w:r>
      <w:r w:rsidR="0040193D">
        <w:rPr>
          <w:sz w:val="24"/>
          <w:szCs w:val="24"/>
        </w:rPr>
        <w:t xml:space="preserve"> </w:t>
      </w:r>
      <w:r w:rsidR="00361450">
        <w:rPr>
          <w:sz w:val="24"/>
          <w:szCs w:val="24"/>
        </w:rPr>
        <w:t xml:space="preserve">Since changing travel behavior could take time, increasing the public transit fleet whilst people continue to drive their cars would </w:t>
      </w:r>
      <w:r w:rsidR="00486A68">
        <w:rPr>
          <w:sz w:val="24"/>
          <w:szCs w:val="24"/>
        </w:rPr>
        <w:t xml:space="preserve">stress the road infrastructure even more. </w:t>
      </w:r>
    </w:p>
    <w:p w14:paraId="6AD06D86" w14:textId="7133B81E" w:rsidR="0017779D" w:rsidRDefault="00486A68" w:rsidP="0097308C">
      <w:pPr>
        <w:rPr>
          <w:sz w:val="24"/>
          <w:szCs w:val="24"/>
        </w:rPr>
      </w:pPr>
      <w:r>
        <w:rPr>
          <w:sz w:val="24"/>
          <w:szCs w:val="24"/>
        </w:rPr>
        <w:t>Hence it is essential that</w:t>
      </w:r>
      <w:r w:rsidR="0059501B">
        <w:rPr>
          <w:sz w:val="24"/>
          <w:szCs w:val="24"/>
        </w:rPr>
        <w:t xml:space="preserve"> the</w:t>
      </w:r>
      <w:r>
        <w:rPr>
          <w:sz w:val="24"/>
          <w:szCs w:val="24"/>
        </w:rPr>
        <w:t xml:space="preserve"> </w:t>
      </w:r>
      <w:r w:rsidR="0040193D">
        <w:rPr>
          <w:sz w:val="24"/>
          <w:szCs w:val="24"/>
        </w:rPr>
        <w:t>price incentive be implemented alongside.</w:t>
      </w:r>
      <w:r w:rsidR="00166AFA">
        <w:rPr>
          <w:sz w:val="24"/>
          <w:szCs w:val="24"/>
        </w:rPr>
        <w:t xml:space="preserve"> Increasing fuel price has the undesired that the effective penalty is negatively related to income, whereby the richer find it easier to drive still compared to those with lower income. Additionally, the time cost of waiting for public transit and missed public transit could be higher for lower income households who have to</w:t>
      </w:r>
      <w:r w:rsidR="001A2DEA">
        <w:rPr>
          <w:sz w:val="24"/>
          <w:szCs w:val="24"/>
        </w:rPr>
        <w:t xml:space="preserve"> </w:t>
      </w:r>
      <w:r w:rsidR="00DF0989">
        <w:rPr>
          <w:sz w:val="24"/>
          <w:szCs w:val="24"/>
        </w:rPr>
        <w:t>work</w:t>
      </w:r>
      <w:r w:rsidR="00166AFA">
        <w:rPr>
          <w:sz w:val="24"/>
          <w:szCs w:val="24"/>
        </w:rPr>
        <w:t xml:space="preserve"> longer hours or work multiple jobs to make ends meet. Public transit subsidies linked to income can </w:t>
      </w:r>
      <w:r w:rsidR="00FA48C5">
        <w:rPr>
          <w:sz w:val="24"/>
          <w:szCs w:val="24"/>
        </w:rPr>
        <w:t xml:space="preserve">alleviate the disproportionate effect that waiting time </w:t>
      </w:r>
      <w:r w:rsidR="00216C9E">
        <w:rPr>
          <w:sz w:val="24"/>
          <w:szCs w:val="24"/>
        </w:rPr>
        <w:t xml:space="preserve">has </w:t>
      </w:r>
      <w:r w:rsidR="00FA48C5">
        <w:rPr>
          <w:sz w:val="24"/>
          <w:szCs w:val="24"/>
        </w:rPr>
        <w:t>on lower income households.</w:t>
      </w:r>
    </w:p>
    <w:p w14:paraId="79683F16" w14:textId="02A96090" w:rsidR="00361450" w:rsidRDefault="00BE142E" w:rsidP="0059501B">
      <w:pPr>
        <w:pStyle w:val="ListParagraph"/>
        <w:numPr>
          <w:ilvl w:val="0"/>
          <w:numId w:val="16"/>
        </w:numPr>
        <w:spacing w:before="360"/>
        <w:rPr>
          <w:sz w:val="24"/>
          <w:szCs w:val="24"/>
        </w:rPr>
      </w:pPr>
      <w:r>
        <w:rPr>
          <w:sz w:val="24"/>
          <w:szCs w:val="24"/>
        </w:rPr>
        <w:t>Discourag</w:t>
      </w:r>
      <w:r w:rsidR="00EF35E7">
        <w:rPr>
          <w:sz w:val="24"/>
          <w:szCs w:val="24"/>
        </w:rPr>
        <w:t>ing</w:t>
      </w:r>
      <w:r>
        <w:rPr>
          <w:sz w:val="24"/>
          <w:szCs w:val="24"/>
        </w:rPr>
        <w:t xml:space="preserve"> the use of old</w:t>
      </w:r>
      <w:r w:rsidR="00A12C7C">
        <w:rPr>
          <w:sz w:val="24"/>
          <w:szCs w:val="24"/>
        </w:rPr>
        <w:t xml:space="preserve"> vehicles</w:t>
      </w:r>
    </w:p>
    <w:p w14:paraId="31DB8580" w14:textId="6B2426D7" w:rsidR="002A0D53" w:rsidRDefault="002A0D53" w:rsidP="008E4796">
      <w:pPr>
        <w:rPr>
          <w:sz w:val="24"/>
          <w:szCs w:val="24"/>
        </w:rPr>
      </w:pPr>
      <w:r>
        <w:rPr>
          <w:sz w:val="24"/>
          <w:szCs w:val="24"/>
        </w:rPr>
        <w:t xml:space="preserve">Older vehicles contribute significantly to emissions. </w:t>
      </w:r>
      <w:r w:rsidR="005E1664">
        <w:rPr>
          <w:sz w:val="24"/>
          <w:szCs w:val="24"/>
        </w:rPr>
        <w:t>A</w:t>
      </w:r>
      <w:r>
        <w:rPr>
          <w:sz w:val="24"/>
          <w:szCs w:val="24"/>
        </w:rPr>
        <w:t xml:space="preserve"> </w:t>
      </w:r>
      <w:r w:rsidR="0059501B">
        <w:rPr>
          <w:sz w:val="24"/>
          <w:szCs w:val="24"/>
        </w:rPr>
        <w:t xml:space="preserve">program that aims to penalize owners of old vehicles </w:t>
      </w:r>
      <w:r w:rsidR="00BB4FB0">
        <w:rPr>
          <w:sz w:val="24"/>
          <w:szCs w:val="24"/>
        </w:rPr>
        <w:t>can</w:t>
      </w:r>
      <w:r w:rsidR="0059501B">
        <w:rPr>
          <w:sz w:val="24"/>
          <w:szCs w:val="24"/>
        </w:rPr>
        <w:t xml:space="preserve"> </w:t>
      </w:r>
      <w:r w:rsidR="00DF0989">
        <w:rPr>
          <w:sz w:val="24"/>
          <w:szCs w:val="24"/>
        </w:rPr>
        <w:t>discriminate against</w:t>
      </w:r>
      <w:r w:rsidR="0059501B">
        <w:rPr>
          <w:sz w:val="24"/>
          <w:szCs w:val="24"/>
        </w:rPr>
        <w:t xml:space="preserve"> lower income groups</w:t>
      </w:r>
      <w:r w:rsidR="00D62672">
        <w:rPr>
          <w:sz w:val="24"/>
          <w:szCs w:val="24"/>
        </w:rPr>
        <w:t xml:space="preserve">, for whom income could be limiting </w:t>
      </w:r>
      <w:r w:rsidR="00E402A1">
        <w:rPr>
          <w:sz w:val="24"/>
          <w:szCs w:val="24"/>
        </w:rPr>
        <w:t xml:space="preserve">new vehicle </w:t>
      </w:r>
      <w:r w:rsidR="00D62672">
        <w:rPr>
          <w:sz w:val="24"/>
          <w:szCs w:val="24"/>
        </w:rPr>
        <w:t>purchase decision</w:t>
      </w:r>
      <w:r w:rsidR="00BB4FB0">
        <w:rPr>
          <w:sz w:val="24"/>
          <w:szCs w:val="24"/>
        </w:rPr>
        <w:t>. The objective is not to penalize ownership of old vehicles, but rather to discourage their use.</w:t>
      </w:r>
      <w:r w:rsidR="0059501B">
        <w:rPr>
          <w:sz w:val="24"/>
          <w:szCs w:val="24"/>
        </w:rPr>
        <w:t xml:space="preserve"> </w:t>
      </w:r>
    </w:p>
    <w:p w14:paraId="2CE9261E" w14:textId="77777777" w:rsidR="00B536BE" w:rsidRDefault="00D52049" w:rsidP="000945CB">
      <w:pPr>
        <w:rPr>
          <w:sz w:val="24"/>
          <w:szCs w:val="24"/>
        </w:rPr>
      </w:pPr>
      <w:r>
        <w:rPr>
          <w:sz w:val="24"/>
          <w:szCs w:val="24"/>
        </w:rPr>
        <w:t xml:space="preserve">Under this program, owners are required to get annual emission tests. </w:t>
      </w:r>
    </w:p>
    <w:p w14:paraId="351C2C77" w14:textId="6B6C7267" w:rsidR="000945CB" w:rsidRDefault="00BD05E8" w:rsidP="00F66A4B">
      <w:pPr>
        <w:spacing w:after="240"/>
        <w:rPr>
          <w:sz w:val="24"/>
          <w:szCs w:val="24"/>
        </w:rPr>
      </w:pPr>
      <w:r>
        <w:rPr>
          <w:sz w:val="24"/>
          <w:szCs w:val="24"/>
        </w:rPr>
        <w:t xml:space="preserve">For </w:t>
      </w:r>
      <w:r w:rsidR="00B536BE">
        <w:rPr>
          <w:sz w:val="24"/>
          <w:szCs w:val="24"/>
        </w:rPr>
        <w:t>private</w:t>
      </w:r>
      <w:r w:rsidR="00905D95">
        <w:rPr>
          <w:sz w:val="24"/>
          <w:szCs w:val="24"/>
        </w:rPr>
        <w:t>-</w:t>
      </w:r>
      <w:r w:rsidR="00B536BE">
        <w:rPr>
          <w:sz w:val="24"/>
          <w:szCs w:val="24"/>
        </w:rPr>
        <w:t>use vehicles</w:t>
      </w:r>
      <w:r>
        <w:rPr>
          <w:sz w:val="24"/>
          <w:szCs w:val="24"/>
        </w:rPr>
        <w:t xml:space="preserve"> that don’t meet emission standards, the program</w:t>
      </w:r>
      <w:r w:rsidR="00104072">
        <w:rPr>
          <w:sz w:val="24"/>
          <w:szCs w:val="24"/>
        </w:rPr>
        <w:t xml:space="preserve"> introduces annual vehicle registration fees and links it to mileage; the fee increases exponentially with mileage - the more the </w:t>
      </w:r>
      <w:r w:rsidR="00B536BE">
        <w:rPr>
          <w:sz w:val="24"/>
          <w:szCs w:val="24"/>
        </w:rPr>
        <w:t>vehicle</w:t>
      </w:r>
      <w:r w:rsidR="00104072">
        <w:rPr>
          <w:sz w:val="24"/>
          <w:szCs w:val="24"/>
        </w:rPr>
        <w:t xml:space="preserve"> has driven in the past year, exponentially higher would be the fees.</w:t>
      </w:r>
      <w:r w:rsidR="008A2E23">
        <w:rPr>
          <w:sz w:val="24"/>
          <w:szCs w:val="24"/>
        </w:rPr>
        <w:t xml:space="preserve"> The objective of the program is to discourage the use </w:t>
      </w:r>
      <w:r w:rsidR="00905D95">
        <w:rPr>
          <w:sz w:val="24"/>
          <w:szCs w:val="24"/>
        </w:rPr>
        <w:t xml:space="preserve">of </w:t>
      </w:r>
      <w:r w:rsidR="008A2E23">
        <w:rPr>
          <w:sz w:val="24"/>
          <w:szCs w:val="24"/>
        </w:rPr>
        <w:t>old</w:t>
      </w:r>
      <w:r w:rsidR="00905D95">
        <w:rPr>
          <w:sz w:val="24"/>
          <w:szCs w:val="24"/>
        </w:rPr>
        <w:t>-</w:t>
      </w:r>
      <w:r w:rsidR="008A2E23">
        <w:rPr>
          <w:sz w:val="24"/>
          <w:szCs w:val="24"/>
        </w:rPr>
        <w:t>polluting automobiles on the road, and where substitutable, nudge people to use public transit instead.</w:t>
      </w:r>
    </w:p>
    <w:tbl>
      <w:tblPr>
        <w:tblStyle w:val="TableGrid"/>
        <w:tblW w:w="0" w:type="auto"/>
        <w:tblLook w:val="04A0" w:firstRow="1" w:lastRow="0" w:firstColumn="1" w:lastColumn="0" w:noHBand="0" w:noVBand="1"/>
      </w:tblPr>
      <w:tblGrid>
        <w:gridCol w:w="3955"/>
        <w:gridCol w:w="2520"/>
        <w:gridCol w:w="2541"/>
      </w:tblGrid>
      <w:tr w:rsidR="000945CB" w14:paraId="365204E3" w14:textId="77777777" w:rsidTr="007E6433">
        <w:tc>
          <w:tcPr>
            <w:tcW w:w="3955" w:type="dxa"/>
          </w:tcPr>
          <w:p w14:paraId="14E28E3A" w14:textId="77777777" w:rsidR="000945CB" w:rsidRPr="00E7428B" w:rsidRDefault="000945CB" w:rsidP="000B3EA1">
            <w:pPr>
              <w:jc w:val="center"/>
            </w:pPr>
            <w:r w:rsidRPr="00E7428B">
              <w:t>Car Use Category</w:t>
            </w:r>
          </w:p>
        </w:tc>
        <w:tc>
          <w:tcPr>
            <w:tcW w:w="2520" w:type="dxa"/>
          </w:tcPr>
          <w:p w14:paraId="5276F500" w14:textId="77777777" w:rsidR="000945CB" w:rsidRPr="00E7428B" w:rsidRDefault="000945CB" w:rsidP="000B3EA1">
            <w:pPr>
              <w:jc w:val="center"/>
            </w:pPr>
            <w:r w:rsidRPr="00E7428B">
              <w:t>Annual Mileage - Range</w:t>
            </w:r>
          </w:p>
        </w:tc>
        <w:tc>
          <w:tcPr>
            <w:tcW w:w="2541" w:type="dxa"/>
          </w:tcPr>
          <w:p w14:paraId="38A1E81A" w14:textId="77777777" w:rsidR="000945CB" w:rsidRPr="00E7428B" w:rsidRDefault="000945CB" w:rsidP="000B3EA1">
            <w:pPr>
              <w:jc w:val="center"/>
            </w:pPr>
            <w:r>
              <w:t xml:space="preserve">Annual </w:t>
            </w:r>
            <w:r w:rsidRPr="00E7428B">
              <w:t>Registration Fees</w:t>
            </w:r>
          </w:p>
        </w:tc>
      </w:tr>
      <w:tr w:rsidR="000945CB" w14:paraId="0BBFB47E" w14:textId="77777777" w:rsidTr="007E6433">
        <w:tc>
          <w:tcPr>
            <w:tcW w:w="3955" w:type="dxa"/>
          </w:tcPr>
          <w:p w14:paraId="03925155" w14:textId="77777777" w:rsidR="000945CB" w:rsidRPr="00E7428B" w:rsidRDefault="000945CB" w:rsidP="000B3EA1">
            <w:r w:rsidRPr="00E7428B">
              <w:t>Primary mode is public; private vehicle is used only on occasions</w:t>
            </w:r>
          </w:p>
        </w:tc>
        <w:tc>
          <w:tcPr>
            <w:tcW w:w="2520" w:type="dxa"/>
          </w:tcPr>
          <w:p w14:paraId="1F46EDB1" w14:textId="77777777" w:rsidR="000945CB" w:rsidRPr="00E7428B" w:rsidRDefault="000945CB" w:rsidP="000B3EA1">
            <w:pPr>
              <w:jc w:val="center"/>
            </w:pPr>
            <w:r>
              <w:t>&lt; 2k</w:t>
            </w:r>
          </w:p>
        </w:tc>
        <w:tc>
          <w:tcPr>
            <w:tcW w:w="2541" w:type="dxa"/>
          </w:tcPr>
          <w:p w14:paraId="7F196189" w14:textId="77777777" w:rsidR="000945CB" w:rsidRPr="00E7428B" w:rsidRDefault="000945CB" w:rsidP="000B3EA1">
            <w:pPr>
              <w:jc w:val="center"/>
            </w:pPr>
            <w:r>
              <w:t>$50</w:t>
            </w:r>
          </w:p>
        </w:tc>
      </w:tr>
      <w:tr w:rsidR="000945CB" w14:paraId="24D78802" w14:textId="77777777" w:rsidTr="007E6433">
        <w:tc>
          <w:tcPr>
            <w:tcW w:w="3955" w:type="dxa"/>
          </w:tcPr>
          <w:p w14:paraId="547BF2A8" w14:textId="77777777" w:rsidR="000945CB" w:rsidRPr="00E7428B" w:rsidRDefault="000945CB" w:rsidP="000B3EA1">
            <w:r w:rsidRPr="00E7428B">
              <w:t>A mix of public and private transit is used</w:t>
            </w:r>
          </w:p>
        </w:tc>
        <w:tc>
          <w:tcPr>
            <w:tcW w:w="2520" w:type="dxa"/>
          </w:tcPr>
          <w:p w14:paraId="3218E94E" w14:textId="77777777" w:rsidR="000945CB" w:rsidRPr="00E7428B" w:rsidRDefault="000945CB" w:rsidP="000B3EA1">
            <w:pPr>
              <w:jc w:val="center"/>
            </w:pPr>
            <w:r>
              <w:t>2k – 5k</w:t>
            </w:r>
          </w:p>
        </w:tc>
        <w:tc>
          <w:tcPr>
            <w:tcW w:w="2541" w:type="dxa"/>
          </w:tcPr>
          <w:p w14:paraId="00BB19C0" w14:textId="3A1FB5A4" w:rsidR="000945CB" w:rsidRPr="00E7428B" w:rsidRDefault="000945CB" w:rsidP="000B3EA1">
            <w:pPr>
              <w:jc w:val="center"/>
            </w:pPr>
            <w:r>
              <w:t>$</w:t>
            </w:r>
            <w:r w:rsidR="00A40A14">
              <w:t>15</w:t>
            </w:r>
            <w:r>
              <w:t>0</w:t>
            </w:r>
          </w:p>
        </w:tc>
      </w:tr>
      <w:tr w:rsidR="000945CB" w14:paraId="3BDCDC93" w14:textId="77777777" w:rsidTr="007E6433">
        <w:tc>
          <w:tcPr>
            <w:tcW w:w="3955" w:type="dxa"/>
          </w:tcPr>
          <w:p w14:paraId="7B898379" w14:textId="77777777" w:rsidR="000945CB" w:rsidRPr="00E7428B" w:rsidRDefault="000945CB" w:rsidP="000B3EA1">
            <w:r>
              <w:t>Primary mode is private car</w:t>
            </w:r>
          </w:p>
        </w:tc>
        <w:tc>
          <w:tcPr>
            <w:tcW w:w="2520" w:type="dxa"/>
          </w:tcPr>
          <w:p w14:paraId="6585C0FD" w14:textId="77777777" w:rsidR="000945CB" w:rsidRPr="00E7428B" w:rsidRDefault="000945CB" w:rsidP="000B3EA1">
            <w:pPr>
              <w:jc w:val="center"/>
            </w:pPr>
            <w:r>
              <w:t>&gt;= 5k</w:t>
            </w:r>
          </w:p>
        </w:tc>
        <w:tc>
          <w:tcPr>
            <w:tcW w:w="2541" w:type="dxa"/>
          </w:tcPr>
          <w:p w14:paraId="57498E17" w14:textId="77777777" w:rsidR="000945CB" w:rsidRPr="00E7428B" w:rsidRDefault="000945CB" w:rsidP="000B3EA1">
            <w:pPr>
              <w:jc w:val="center"/>
            </w:pPr>
            <w:r>
              <w:t>$500</w:t>
            </w:r>
          </w:p>
        </w:tc>
      </w:tr>
    </w:tbl>
    <w:p w14:paraId="1C6CA303" w14:textId="0FCB92EB" w:rsidR="000F3E8F" w:rsidRPr="00DF4CC3" w:rsidRDefault="000F3E8F" w:rsidP="000F3E8F">
      <w:pPr>
        <w:rPr>
          <w:rFonts w:cstheme="minorHAnsi"/>
          <w:sz w:val="20"/>
          <w:szCs w:val="20"/>
        </w:rPr>
      </w:pPr>
      <w:r>
        <w:rPr>
          <w:rFonts w:cstheme="minorHAnsi"/>
          <w:color w:val="808080" w:themeColor="background1" w:themeShade="80"/>
          <w:sz w:val="20"/>
          <w:szCs w:val="20"/>
        </w:rPr>
        <w:t>Table 1</w:t>
      </w:r>
      <w:r w:rsidRPr="00DF4CC3">
        <w:rPr>
          <w:rFonts w:cstheme="minorHAnsi"/>
          <w:color w:val="808080" w:themeColor="background1" w:themeShade="80"/>
          <w:sz w:val="20"/>
          <w:szCs w:val="20"/>
        </w:rPr>
        <w:t xml:space="preserve"> – </w:t>
      </w:r>
      <w:r w:rsidR="009655A1">
        <w:rPr>
          <w:rFonts w:cstheme="minorHAnsi"/>
          <w:color w:val="808080" w:themeColor="background1" w:themeShade="80"/>
          <w:sz w:val="20"/>
          <w:szCs w:val="20"/>
        </w:rPr>
        <w:t>Annual r</w:t>
      </w:r>
      <w:r>
        <w:rPr>
          <w:rFonts w:cstheme="minorHAnsi"/>
          <w:color w:val="808080" w:themeColor="background1" w:themeShade="80"/>
          <w:sz w:val="20"/>
          <w:szCs w:val="20"/>
        </w:rPr>
        <w:t xml:space="preserve">egistration fees based on </w:t>
      </w:r>
      <w:r w:rsidR="009655A1">
        <w:rPr>
          <w:rFonts w:cstheme="minorHAnsi"/>
          <w:color w:val="808080" w:themeColor="background1" w:themeShade="80"/>
          <w:sz w:val="20"/>
          <w:szCs w:val="20"/>
        </w:rPr>
        <w:t xml:space="preserve">annual </w:t>
      </w:r>
      <w:r>
        <w:rPr>
          <w:rFonts w:cstheme="minorHAnsi"/>
          <w:color w:val="808080" w:themeColor="background1" w:themeShade="80"/>
          <w:sz w:val="20"/>
          <w:szCs w:val="20"/>
        </w:rPr>
        <w:t>mileage to discourage use of old vehicles</w:t>
      </w:r>
    </w:p>
    <w:p w14:paraId="17B1A78E" w14:textId="17E7386E" w:rsidR="000E1D3F" w:rsidRDefault="000945CB" w:rsidP="008C0B5F">
      <w:pPr>
        <w:spacing w:before="240"/>
        <w:rPr>
          <w:sz w:val="24"/>
          <w:szCs w:val="24"/>
        </w:rPr>
      </w:pPr>
      <w:r>
        <w:rPr>
          <w:sz w:val="24"/>
          <w:szCs w:val="24"/>
        </w:rPr>
        <w:t>The annual registration fees for those below 200% of Federal Poverty Line (FPL), would be lower.</w:t>
      </w:r>
      <w:r w:rsidR="00BD05E8">
        <w:rPr>
          <w:sz w:val="24"/>
          <w:szCs w:val="24"/>
        </w:rPr>
        <w:t xml:space="preserve"> </w:t>
      </w:r>
      <w:r w:rsidRPr="0009779A">
        <w:rPr>
          <w:sz w:val="24"/>
          <w:szCs w:val="24"/>
        </w:rPr>
        <w:t xml:space="preserve">The mileage range </w:t>
      </w:r>
      <w:r w:rsidR="000F3E8F">
        <w:rPr>
          <w:sz w:val="24"/>
          <w:szCs w:val="24"/>
        </w:rPr>
        <w:t>and corresponding registration fees outlined in Table 1</w:t>
      </w:r>
      <w:r w:rsidRPr="0009779A">
        <w:rPr>
          <w:sz w:val="24"/>
          <w:szCs w:val="24"/>
        </w:rPr>
        <w:t xml:space="preserve"> is a </w:t>
      </w:r>
      <w:r w:rsidRPr="0009779A">
        <w:rPr>
          <w:sz w:val="24"/>
          <w:szCs w:val="24"/>
        </w:rPr>
        <w:lastRenderedPageBreak/>
        <w:t>placeholder</w:t>
      </w:r>
      <w:r w:rsidR="000F3E8F">
        <w:rPr>
          <w:sz w:val="24"/>
          <w:szCs w:val="24"/>
        </w:rPr>
        <w:t xml:space="preserve">. It is </w:t>
      </w:r>
      <w:r w:rsidRPr="0009779A">
        <w:rPr>
          <w:sz w:val="24"/>
          <w:szCs w:val="24"/>
        </w:rPr>
        <w:t>based on the fact that an average car runs 10-12k miles per year.</w:t>
      </w:r>
      <w:r w:rsidRPr="0009779A">
        <w:rPr>
          <w:sz w:val="24"/>
          <w:szCs w:val="24"/>
          <w:vertAlign w:val="superscript"/>
        </w:rPr>
        <w:t>5</w:t>
      </w:r>
      <w:r w:rsidRPr="0009779A">
        <w:rPr>
          <w:sz w:val="24"/>
          <w:szCs w:val="24"/>
        </w:rPr>
        <w:t xml:space="preserve"> </w:t>
      </w:r>
      <w:r>
        <w:rPr>
          <w:sz w:val="24"/>
          <w:szCs w:val="24"/>
        </w:rPr>
        <w:t xml:space="preserve">Cars are often used for inter-city and inter-state travel, which </w:t>
      </w:r>
      <w:r w:rsidR="008D3B5C">
        <w:rPr>
          <w:sz w:val="24"/>
          <w:szCs w:val="24"/>
        </w:rPr>
        <w:t>if</w:t>
      </w:r>
      <w:r>
        <w:rPr>
          <w:sz w:val="24"/>
          <w:szCs w:val="24"/>
        </w:rPr>
        <w:t xml:space="preserve"> outside the purview of the everyday public transit options, mileage made on these trips shouldn’t be penalized under the same umbrella.</w:t>
      </w:r>
      <w:r w:rsidR="008D3B5C">
        <w:rPr>
          <w:sz w:val="24"/>
          <w:szCs w:val="24"/>
        </w:rPr>
        <w:t xml:space="preserve"> </w:t>
      </w:r>
      <w:r w:rsidRPr="0009779A">
        <w:rPr>
          <w:sz w:val="24"/>
          <w:szCs w:val="24"/>
        </w:rPr>
        <w:t>Primary research would be needed</w:t>
      </w:r>
      <w:r>
        <w:rPr>
          <w:sz w:val="24"/>
          <w:szCs w:val="24"/>
        </w:rPr>
        <w:t xml:space="preserve"> - and would be city dependent -</w:t>
      </w:r>
      <w:r w:rsidRPr="0009779A">
        <w:rPr>
          <w:sz w:val="24"/>
          <w:szCs w:val="24"/>
        </w:rPr>
        <w:t xml:space="preserve"> before defining these ranges</w:t>
      </w:r>
      <w:r>
        <w:rPr>
          <w:sz w:val="24"/>
          <w:szCs w:val="24"/>
        </w:rPr>
        <w:t xml:space="preserve"> and defining corresponding fees.</w:t>
      </w:r>
      <w:r w:rsidRPr="005E1664">
        <w:rPr>
          <w:sz w:val="24"/>
          <w:szCs w:val="24"/>
        </w:rPr>
        <w:t xml:space="preserve"> </w:t>
      </w:r>
    </w:p>
    <w:p w14:paraId="7A493680" w14:textId="5DA8FB1D" w:rsidR="003206F3" w:rsidRDefault="003206F3" w:rsidP="008C0B5F">
      <w:pPr>
        <w:spacing w:before="240"/>
        <w:rPr>
          <w:sz w:val="24"/>
          <w:szCs w:val="24"/>
        </w:rPr>
      </w:pPr>
      <w:r>
        <w:rPr>
          <w:sz w:val="24"/>
          <w:szCs w:val="24"/>
        </w:rPr>
        <w:t xml:space="preserve">The underlying assumption here is that income is restricting the switch </w:t>
      </w:r>
      <w:r w:rsidR="00FD332E">
        <w:rPr>
          <w:sz w:val="24"/>
          <w:szCs w:val="24"/>
        </w:rPr>
        <w:t xml:space="preserve">to </w:t>
      </w:r>
      <w:r>
        <w:rPr>
          <w:sz w:val="24"/>
          <w:szCs w:val="24"/>
        </w:rPr>
        <w:t>newer cleaner vehicles</w:t>
      </w:r>
      <w:r w:rsidR="005F0699">
        <w:rPr>
          <w:sz w:val="24"/>
          <w:szCs w:val="24"/>
        </w:rPr>
        <w:t xml:space="preserve"> since h</w:t>
      </w:r>
      <w:r>
        <w:rPr>
          <w:sz w:val="24"/>
          <w:szCs w:val="24"/>
        </w:rPr>
        <w:t>igher insurance and maintenance cost for old vehicles are financial incentives already in place that make driving older vehicles expensive. Hence the focus of the program is to limit the use of these vehicles, rather than penalizing ownership of these vehicles.</w:t>
      </w:r>
    </w:p>
    <w:p w14:paraId="009A03F1" w14:textId="4BD1FB35" w:rsidR="008D3B5C" w:rsidRDefault="008D3B5C" w:rsidP="008D3B5C">
      <w:pPr>
        <w:rPr>
          <w:sz w:val="24"/>
          <w:szCs w:val="24"/>
        </w:rPr>
      </w:pPr>
      <w:r>
        <w:rPr>
          <w:sz w:val="24"/>
          <w:szCs w:val="24"/>
        </w:rPr>
        <w:t>Commercial</w:t>
      </w:r>
      <w:r w:rsidR="00905D95">
        <w:rPr>
          <w:sz w:val="24"/>
          <w:szCs w:val="24"/>
        </w:rPr>
        <w:t xml:space="preserve">-use </w:t>
      </w:r>
      <w:r>
        <w:rPr>
          <w:sz w:val="24"/>
          <w:szCs w:val="24"/>
        </w:rPr>
        <w:t>vehicles that don’t meet emission standards would have stricter requirements</w:t>
      </w:r>
      <w:r w:rsidR="00905D95">
        <w:rPr>
          <w:sz w:val="24"/>
          <w:szCs w:val="24"/>
        </w:rPr>
        <w:t xml:space="preserve"> to get these automobiles off the road.</w:t>
      </w:r>
      <w:r>
        <w:rPr>
          <w:sz w:val="24"/>
          <w:szCs w:val="24"/>
        </w:rPr>
        <w:t xml:space="preserve"> </w:t>
      </w:r>
      <w:r w:rsidR="00905D95">
        <w:rPr>
          <w:sz w:val="24"/>
          <w:szCs w:val="24"/>
        </w:rPr>
        <w:t>T</w:t>
      </w:r>
      <w:r w:rsidR="00B536BE">
        <w:rPr>
          <w:sz w:val="24"/>
          <w:szCs w:val="24"/>
        </w:rPr>
        <w:t>he penalty would be linked to business size, with smaller businesses having lower effective rates. The penalty here won’t be linked to mileage, as unlike private transit, fleet used in business can’t be substituted with public transit. The objective of the program for this sub-group is to incentivize upgrade to cleaner fleet options.</w:t>
      </w:r>
    </w:p>
    <w:p w14:paraId="6E449108" w14:textId="4AEBB0DE" w:rsidR="00905D95" w:rsidRDefault="00352B92" w:rsidP="008D3B5C">
      <w:pPr>
        <w:rPr>
          <w:sz w:val="24"/>
          <w:szCs w:val="24"/>
        </w:rPr>
      </w:pPr>
      <w:r>
        <w:rPr>
          <w:sz w:val="24"/>
          <w:szCs w:val="24"/>
        </w:rPr>
        <w:t>Automobile are means to ends that fuel the economy. Penalty on old private-use cars would have unintended impact if it limits individual or household’s ability to engage in productive endeavors. Identifying effective penalty across income ranges is important to ensure that the policy isn’t unfair to those with lower incomes.</w:t>
      </w:r>
    </w:p>
    <w:p w14:paraId="398371B3" w14:textId="2A35A23D" w:rsidR="00365F7B" w:rsidRPr="00365F7B" w:rsidRDefault="00EF35E7" w:rsidP="0059501B">
      <w:pPr>
        <w:pStyle w:val="ListParagraph"/>
        <w:numPr>
          <w:ilvl w:val="0"/>
          <w:numId w:val="16"/>
        </w:numPr>
        <w:spacing w:before="360"/>
        <w:rPr>
          <w:sz w:val="24"/>
          <w:szCs w:val="24"/>
        </w:rPr>
      </w:pPr>
      <w:r>
        <w:rPr>
          <w:sz w:val="24"/>
          <w:szCs w:val="24"/>
        </w:rPr>
        <w:t>Incentivizing purchase of ‘green’ vehicles</w:t>
      </w:r>
    </w:p>
    <w:p w14:paraId="78A69D9B" w14:textId="0B1319F6" w:rsidR="001055A7" w:rsidRDefault="006B5FB2" w:rsidP="00935B18">
      <w:pPr>
        <w:rPr>
          <w:sz w:val="24"/>
          <w:szCs w:val="24"/>
        </w:rPr>
      </w:pPr>
      <w:r>
        <w:rPr>
          <w:sz w:val="24"/>
          <w:szCs w:val="24"/>
        </w:rPr>
        <w:t xml:space="preserve">In order to incentivize the shift away from gasoline and towards cleaner alternatives, the program offers tax benefits on purchase of </w:t>
      </w:r>
      <w:r w:rsidR="00352B92">
        <w:rPr>
          <w:sz w:val="24"/>
          <w:szCs w:val="24"/>
        </w:rPr>
        <w:t xml:space="preserve">EVs </w:t>
      </w:r>
      <w:r w:rsidR="00813C3E">
        <w:rPr>
          <w:sz w:val="24"/>
          <w:szCs w:val="24"/>
        </w:rPr>
        <w:t>and</w:t>
      </w:r>
      <w:r w:rsidR="00352B92">
        <w:rPr>
          <w:sz w:val="24"/>
          <w:szCs w:val="24"/>
        </w:rPr>
        <w:t xml:space="preserve"> alternate</w:t>
      </w:r>
      <w:r w:rsidR="00175129">
        <w:rPr>
          <w:sz w:val="24"/>
          <w:szCs w:val="24"/>
        </w:rPr>
        <w:t xml:space="preserve"> clean-fuel</w:t>
      </w:r>
      <w:r>
        <w:rPr>
          <w:sz w:val="24"/>
          <w:szCs w:val="24"/>
        </w:rPr>
        <w:t xml:space="preserve"> vehicles.</w:t>
      </w:r>
      <w:r w:rsidR="00175129">
        <w:rPr>
          <w:sz w:val="24"/>
          <w:szCs w:val="24"/>
        </w:rPr>
        <w:t xml:space="preserve"> </w:t>
      </w:r>
      <w:r w:rsidR="003206F3">
        <w:rPr>
          <w:sz w:val="24"/>
          <w:szCs w:val="24"/>
        </w:rPr>
        <w:t>The inclusion of EVs here would depend on source of electricity production in the state. If electricity is also fossil</w:t>
      </w:r>
      <w:r w:rsidR="00537F82">
        <w:rPr>
          <w:sz w:val="24"/>
          <w:szCs w:val="24"/>
        </w:rPr>
        <w:t>-</w:t>
      </w:r>
      <w:r w:rsidR="003206F3">
        <w:rPr>
          <w:sz w:val="24"/>
          <w:szCs w:val="24"/>
        </w:rPr>
        <w:t>fuel</w:t>
      </w:r>
      <w:r w:rsidR="00537F82">
        <w:rPr>
          <w:sz w:val="24"/>
          <w:szCs w:val="24"/>
        </w:rPr>
        <w:t>-</w:t>
      </w:r>
      <w:r w:rsidR="003206F3">
        <w:rPr>
          <w:sz w:val="24"/>
          <w:szCs w:val="24"/>
        </w:rPr>
        <w:t>based, then EVs would not be part of the program, unless stricter renewable</w:t>
      </w:r>
      <w:r w:rsidR="00C042A9">
        <w:rPr>
          <w:sz w:val="24"/>
          <w:szCs w:val="24"/>
        </w:rPr>
        <w:t>-energy-based</w:t>
      </w:r>
      <w:r w:rsidR="003206F3">
        <w:rPr>
          <w:sz w:val="24"/>
          <w:szCs w:val="24"/>
        </w:rPr>
        <w:t xml:space="preserve"> charging station requirements can be enforced. </w:t>
      </w:r>
      <w:r w:rsidR="00175129">
        <w:rPr>
          <w:sz w:val="24"/>
          <w:szCs w:val="24"/>
        </w:rPr>
        <w:t>The program is intended to influence purchase decision towards cleaner vehicle</w:t>
      </w:r>
      <w:r w:rsidR="00537F82">
        <w:rPr>
          <w:sz w:val="24"/>
          <w:szCs w:val="24"/>
        </w:rPr>
        <w:t>s</w:t>
      </w:r>
      <w:r w:rsidR="00175129">
        <w:rPr>
          <w:sz w:val="24"/>
          <w:szCs w:val="24"/>
        </w:rPr>
        <w:t>. It is also intended to incentivize manufacturers to move away from gasoline-based automobiles.</w:t>
      </w:r>
    </w:p>
    <w:p w14:paraId="60C3AC43" w14:textId="12E71CEF" w:rsidR="00175129" w:rsidRDefault="00537F82" w:rsidP="00594317">
      <w:pPr>
        <w:spacing w:after="240"/>
        <w:rPr>
          <w:sz w:val="24"/>
          <w:szCs w:val="24"/>
        </w:rPr>
      </w:pPr>
      <w:r>
        <w:rPr>
          <w:sz w:val="24"/>
          <w:szCs w:val="24"/>
        </w:rPr>
        <w:t xml:space="preserve">The program offers tax incentives of up to $7,500 on purchase of </w:t>
      </w:r>
      <w:r w:rsidR="00594317">
        <w:rPr>
          <w:sz w:val="24"/>
          <w:szCs w:val="24"/>
        </w:rPr>
        <w:t xml:space="preserve">new </w:t>
      </w:r>
      <w:r>
        <w:rPr>
          <w:sz w:val="24"/>
          <w:szCs w:val="24"/>
        </w:rPr>
        <w:t>qualified vehicles</w:t>
      </w:r>
      <w:r w:rsidR="00594317">
        <w:rPr>
          <w:sz w:val="24"/>
          <w:szCs w:val="24"/>
        </w:rPr>
        <w:t xml:space="preserve"> and up to $4,000 on repurchase of qualified vehicles</w:t>
      </w:r>
      <w:r>
        <w:rPr>
          <w:sz w:val="24"/>
          <w:szCs w:val="24"/>
        </w:rPr>
        <w:t>.</w:t>
      </w:r>
      <w:bookmarkStart w:id="0" w:name="_Hlk177206083"/>
      <w:r w:rsidRPr="00537F82">
        <w:rPr>
          <w:sz w:val="24"/>
          <w:szCs w:val="24"/>
          <w:vertAlign w:val="superscript"/>
        </w:rPr>
        <w:t>8</w:t>
      </w:r>
      <w:bookmarkEnd w:id="0"/>
      <w:r>
        <w:rPr>
          <w:sz w:val="24"/>
          <w:szCs w:val="24"/>
        </w:rPr>
        <w:t xml:space="preserve"> The extent of the benefit is determined by how well the vehicle measures on the emission scale. Individuals and households with income under 700% of federal Poverty Line are eligible to participate in the program. In order to disincentivize car use, the program can only be used once in three years.</w:t>
      </w:r>
      <w:r w:rsidRPr="00537F82">
        <w:rPr>
          <w:sz w:val="24"/>
          <w:szCs w:val="24"/>
          <w:vertAlign w:val="superscript"/>
        </w:rPr>
        <w:t>8</w:t>
      </w:r>
      <w:r>
        <w:rPr>
          <w:sz w:val="24"/>
          <w:szCs w:val="24"/>
        </w:rPr>
        <w:t xml:space="preserve"> </w:t>
      </w:r>
    </w:p>
    <w:p w14:paraId="1B9EFA09" w14:textId="1EEAF061" w:rsidR="005E44CE" w:rsidRDefault="009655A1" w:rsidP="00884124">
      <w:pPr>
        <w:spacing w:before="120" w:after="240"/>
        <w:rPr>
          <w:sz w:val="24"/>
          <w:szCs w:val="24"/>
        </w:rPr>
      </w:pPr>
      <w:r>
        <w:rPr>
          <w:sz w:val="24"/>
          <w:szCs w:val="24"/>
        </w:rPr>
        <w:t xml:space="preserve">To the extent that cleaner models use better technology and are more expensive; the benefit level would be higher for more expensive cars. And since higher income household can afford more expensive cars, they would receive higher level of absolute and proportional tax benefit. To illustrate, for example, a household at 700% FPL might be able to afford a car that makes them eligible for maximum benefit ($7,500), while a household at 300% FPL might be able to afford a car that makes them eligible for $1,500 benefit.  As </w:t>
      </w:r>
      <w:r w:rsidR="00EF35E7">
        <w:rPr>
          <w:sz w:val="24"/>
          <w:szCs w:val="24"/>
        </w:rPr>
        <w:t>T</w:t>
      </w:r>
      <w:r>
        <w:rPr>
          <w:sz w:val="24"/>
          <w:szCs w:val="24"/>
        </w:rPr>
        <w:t>able</w:t>
      </w:r>
      <w:r w:rsidR="00EF35E7">
        <w:rPr>
          <w:sz w:val="24"/>
          <w:szCs w:val="24"/>
        </w:rPr>
        <w:t xml:space="preserve"> 2</w:t>
      </w:r>
      <w:r>
        <w:rPr>
          <w:sz w:val="24"/>
          <w:szCs w:val="24"/>
        </w:rPr>
        <w:t xml:space="preserve"> below </w:t>
      </w:r>
      <w:r>
        <w:rPr>
          <w:sz w:val="24"/>
          <w:szCs w:val="24"/>
        </w:rPr>
        <w:lastRenderedPageBreak/>
        <w:t xml:space="preserve">shows, for every household type, </w:t>
      </w:r>
      <w:r w:rsidR="00EF35E7">
        <w:rPr>
          <w:sz w:val="24"/>
          <w:szCs w:val="24"/>
        </w:rPr>
        <w:t>higher income household is able to afford a cleaner car and gets higher absolute and proportional benefit.</w:t>
      </w:r>
    </w:p>
    <w:tbl>
      <w:tblPr>
        <w:tblW w:w="9085" w:type="dxa"/>
        <w:tblLook w:val="04A0" w:firstRow="1" w:lastRow="0" w:firstColumn="1" w:lastColumn="0" w:noHBand="0" w:noVBand="1"/>
      </w:tblPr>
      <w:tblGrid>
        <w:gridCol w:w="1567"/>
        <w:gridCol w:w="1553"/>
        <w:gridCol w:w="1260"/>
        <w:gridCol w:w="1710"/>
        <w:gridCol w:w="1350"/>
        <w:gridCol w:w="1645"/>
      </w:tblGrid>
      <w:tr w:rsidR="00EF35E7" w:rsidRPr="00EF35E7" w14:paraId="3C08D37F" w14:textId="77777777" w:rsidTr="00EF35E7">
        <w:trPr>
          <w:trHeight w:val="288"/>
        </w:trPr>
        <w:tc>
          <w:tcPr>
            <w:tcW w:w="1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08F1AF" w14:textId="77777777" w:rsidR="00EF35E7" w:rsidRPr="00EF35E7" w:rsidRDefault="00EF35E7" w:rsidP="00EF35E7">
            <w:pPr>
              <w:spacing w:after="0" w:line="240" w:lineRule="auto"/>
              <w:jc w:val="center"/>
              <w:rPr>
                <w:rFonts w:ascii="Calibri" w:eastAsia="Times New Roman" w:hAnsi="Calibri" w:cs="Calibri"/>
                <w:b/>
                <w:bCs/>
                <w:color w:val="262626"/>
                <w:kern w:val="0"/>
                <w:sz w:val="20"/>
                <w:szCs w:val="20"/>
                <w:lang w:val="en-IN" w:eastAsia="en-IN"/>
                <w14:ligatures w14:val="none"/>
              </w:rPr>
            </w:pPr>
            <w:r w:rsidRPr="00EF35E7">
              <w:rPr>
                <w:rFonts w:ascii="Calibri" w:eastAsia="Times New Roman" w:hAnsi="Calibri" w:cs="Calibri"/>
                <w:b/>
                <w:bCs/>
                <w:color w:val="262626"/>
                <w:kern w:val="0"/>
                <w:sz w:val="20"/>
                <w:szCs w:val="20"/>
                <w:lang w:val="en-IN" w:eastAsia="en-IN"/>
                <w14:ligatures w14:val="none"/>
              </w:rPr>
              <w:t>Family size</w:t>
            </w:r>
          </w:p>
        </w:tc>
        <w:tc>
          <w:tcPr>
            <w:tcW w:w="1553" w:type="dxa"/>
            <w:tcBorders>
              <w:top w:val="single" w:sz="4" w:space="0" w:color="auto"/>
              <w:left w:val="nil"/>
              <w:bottom w:val="single" w:sz="4" w:space="0" w:color="auto"/>
              <w:right w:val="single" w:sz="4" w:space="0" w:color="auto"/>
            </w:tcBorders>
            <w:shd w:val="clear" w:color="auto" w:fill="auto"/>
            <w:vAlign w:val="center"/>
            <w:hideMark/>
          </w:tcPr>
          <w:p w14:paraId="5C2CCC78" w14:textId="77777777" w:rsidR="00EF35E7" w:rsidRPr="00EF35E7" w:rsidRDefault="00EF35E7" w:rsidP="00EF35E7">
            <w:pPr>
              <w:spacing w:after="0" w:line="240" w:lineRule="auto"/>
              <w:jc w:val="center"/>
              <w:rPr>
                <w:rFonts w:ascii="Calibri" w:eastAsia="Times New Roman" w:hAnsi="Calibri" w:cs="Calibri"/>
                <w:b/>
                <w:bCs/>
                <w:color w:val="262626"/>
                <w:kern w:val="0"/>
                <w:sz w:val="20"/>
                <w:szCs w:val="20"/>
                <w:lang w:val="en-IN" w:eastAsia="en-IN"/>
                <w14:ligatures w14:val="none"/>
              </w:rPr>
            </w:pPr>
            <w:r w:rsidRPr="00EF35E7">
              <w:rPr>
                <w:rFonts w:ascii="Calibri" w:eastAsia="Times New Roman" w:hAnsi="Calibri" w:cs="Calibri"/>
                <w:b/>
                <w:bCs/>
                <w:color w:val="262626"/>
                <w:kern w:val="0"/>
                <w:sz w:val="20"/>
                <w:szCs w:val="20"/>
                <w:lang w:val="en-IN" w:eastAsia="en-IN"/>
                <w14:ligatures w14:val="none"/>
              </w:rPr>
              <w:t>2024 FPL Income</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DAD0836" w14:textId="77777777" w:rsidR="00EF35E7" w:rsidRPr="00EF35E7" w:rsidRDefault="00EF35E7" w:rsidP="00EF35E7">
            <w:pPr>
              <w:spacing w:after="0" w:line="240" w:lineRule="auto"/>
              <w:jc w:val="center"/>
              <w:rPr>
                <w:rFonts w:ascii="Calibri" w:eastAsia="Times New Roman" w:hAnsi="Calibri" w:cs="Calibri"/>
                <w:b/>
                <w:bCs/>
                <w:color w:val="000000"/>
                <w:kern w:val="0"/>
                <w:lang w:val="en-IN" w:eastAsia="en-IN"/>
                <w14:ligatures w14:val="none"/>
              </w:rPr>
            </w:pPr>
            <w:r w:rsidRPr="00EF35E7">
              <w:rPr>
                <w:rFonts w:ascii="Calibri" w:eastAsia="Times New Roman" w:hAnsi="Calibri" w:cs="Calibri"/>
                <w:b/>
                <w:bCs/>
                <w:color w:val="000000"/>
                <w:kern w:val="0"/>
                <w:lang w:val="en-IN" w:eastAsia="en-IN"/>
                <w14:ligatures w14:val="none"/>
              </w:rPr>
              <w:t>700% FPL</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14:paraId="3220D9AF" w14:textId="77185CA3" w:rsidR="00EF35E7" w:rsidRPr="00EF35E7" w:rsidRDefault="00EF35E7" w:rsidP="00EF35E7">
            <w:pPr>
              <w:spacing w:after="0" w:line="240" w:lineRule="auto"/>
              <w:jc w:val="center"/>
              <w:rPr>
                <w:rFonts w:ascii="Calibri" w:eastAsia="Times New Roman" w:hAnsi="Calibri" w:cs="Calibri"/>
                <w:b/>
                <w:bCs/>
                <w:color w:val="000000"/>
                <w:kern w:val="0"/>
                <w:lang w:val="en-IN" w:eastAsia="en-IN"/>
                <w14:ligatures w14:val="none"/>
              </w:rPr>
            </w:pPr>
            <w:r w:rsidRPr="00EF35E7">
              <w:rPr>
                <w:rFonts w:ascii="Calibri" w:eastAsia="Times New Roman" w:hAnsi="Calibri" w:cs="Calibri"/>
                <w:b/>
                <w:bCs/>
                <w:color w:val="000000"/>
                <w:kern w:val="0"/>
                <w:lang w:val="en-IN" w:eastAsia="en-IN"/>
                <w14:ligatures w14:val="none"/>
              </w:rPr>
              <w:t>$7500 ben</w:t>
            </w:r>
            <w:r>
              <w:rPr>
                <w:rFonts w:ascii="Calibri" w:eastAsia="Times New Roman" w:hAnsi="Calibri" w:cs="Calibri"/>
                <w:b/>
                <w:bCs/>
                <w:color w:val="000000"/>
                <w:kern w:val="0"/>
                <w:lang w:val="en-IN" w:eastAsia="en-IN"/>
                <w14:ligatures w14:val="none"/>
              </w:rPr>
              <w:t>e</w:t>
            </w:r>
            <w:r w:rsidRPr="00EF35E7">
              <w:rPr>
                <w:rFonts w:ascii="Calibri" w:eastAsia="Times New Roman" w:hAnsi="Calibri" w:cs="Calibri"/>
                <w:b/>
                <w:bCs/>
                <w:color w:val="000000"/>
                <w:kern w:val="0"/>
                <w:lang w:val="en-IN" w:eastAsia="en-IN"/>
                <w14:ligatures w14:val="none"/>
              </w:rPr>
              <w:t>fit/Income</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14BCECA" w14:textId="77777777" w:rsidR="00EF35E7" w:rsidRPr="00EF35E7" w:rsidRDefault="00EF35E7" w:rsidP="00EF35E7">
            <w:pPr>
              <w:spacing w:after="0" w:line="240" w:lineRule="auto"/>
              <w:jc w:val="center"/>
              <w:rPr>
                <w:rFonts w:ascii="Calibri" w:eastAsia="Times New Roman" w:hAnsi="Calibri" w:cs="Calibri"/>
                <w:b/>
                <w:bCs/>
                <w:color w:val="000000"/>
                <w:kern w:val="0"/>
                <w:lang w:val="en-IN" w:eastAsia="en-IN"/>
                <w14:ligatures w14:val="none"/>
              </w:rPr>
            </w:pPr>
            <w:r w:rsidRPr="00EF35E7">
              <w:rPr>
                <w:rFonts w:ascii="Calibri" w:eastAsia="Times New Roman" w:hAnsi="Calibri" w:cs="Calibri"/>
                <w:b/>
                <w:bCs/>
                <w:color w:val="000000"/>
                <w:kern w:val="0"/>
                <w:lang w:val="en-IN" w:eastAsia="en-IN"/>
                <w14:ligatures w14:val="none"/>
              </w:rPr>
              <w:t>300% FPL</w:t>
            </w:r>
          </w:p>
        </w:tc>
        <w:tc>
          <w:tcPr>
            <w:tcW w:w="1645" w:type="dxa"/>
            <w:tcBorders>
              <w:top w:val="single" w:sz="4" w:space="0" w:color="auto"/>
              <w:left w:val="nil"/>
              <w:bottom w:val="single" w:sz="4" w:space="0" w:color="auto"/>
              <w:right w:val="single" w:sz="4" w:space="0" w:color="auto"/>
            </w:tcBorders>
            <w:shd w:val="clear" w:color="auto" w:fill="auto"/>
            <w:noWrap/>
            <w:vAlign w:val="center"/>
            <w:hideMark/>
          </w:tcPr>
          <w:p w14:paraId="4448E869" w14:textId="7CA6D4D8" w:rsidR="00EF35E7" w:rsidRPr="00EF35E7" w:rsidRDefault="00EF35E7" w:rsidP="00EF35E7">
            <w:pPr>
              <w:spacing w:after="0" w:line="240" w:lineRule="auto"/>
              <w:jc w:val="center"/>
              <w:rPr>
                <w:rFonts w:ascii="Calibri" w:eastAsia="Times New Roman" w:hAnsi="Calibri" w:cs="Calibri"/>
                <w:b/>
                <w:bCs/>
                <w:color w:val="000000"/>
                <w:kern w:val="0"/>
                <w:lang w:val="en-IN" w:eastAsia="en-IN"/>
                <w14:ligatures w14:val="none"/>
              </w:rPr>
            </w:pPr>
            <w:r w:rsidRPr="00EF35E7">
              <w:rPr>
                <w:rFonts w:ascii="Calibri" w:eastAsia="Times New Roman" w:hAnsi="Calibri" w:cs="Calibri"/>
                <w:b/>
                <w:bCs/>
                <w:color w:val="000000"/>
                <w:kern w:val="0"/>
                <w:lang w:val="en-IN" w:eastAsia="en-IN"/>
                <w14:ligatures w14:val="none"/>
              </w:rPr>
              <w:t>$1500 ben</w:t>
            </w:r>
            <w:r>
              <w:rPr>
                <w:rFonts w:ascii="Calibri" w:eastAsia="Times New Roman" w:hAnsi="Calibri" w:cs="Calibri"/>
                <w:b/>
                <w:bCs/>
                <w:color w:val="000000"/>
                <w:kern w:val="0"/>
                <w:lang w:val="en-IN" w:eastAsia="en-IN"/>
                <w14:ligatures w14:val="none"/>
              </w:rPr>
              <w:t>e</w:t>
            </w:r>
            <w:r w:rsidRPr="00EF35E7">
              <w:rPr>
                <w:rFonts w:ascii="Calibri" w:eastAsia="Times New Roman" w:hAnsi="Calibri" w:cs="Calibri"/>
                <w:b/>
                <w:bCs/>
                <w:color w:val="000000"/>
                <w:kern w:val="0"/>
                <w:lang w:val="en-IN" w:eastAsia="en-IN"/>
                <w14:ligatures w14:val="none"/>
              </w:rPr>
              <w:t>fit/Income</w:t>
            </w:r>
          </w:p>
        </w:tc>
      </w:tr>
      <w:tr w:rsidR="00EF35E7" w:rsidRPr="00EF35E7" w14:paraId="509E5595" w14:textId="77777777" w:rsidTr="00EF35E7">
        <w:trPr>
          <w:trHeight w:val="288"/>
        </w:trPr>
        <w:tc>
          <w:tcPr>
            <w:tcW w:w="1567" w:type="dxa"/>
            <w:tcBorders>
              <w:top w:val="nil"/>
              <w:left w:val="single" w:sz="4" w:space="0" w:color="auto"/>
              <w:bottom w:val="single" w:sz="4" w:space="0" w:color="auto"/>
              <w:right w:val="single" w:sz="4" w:space="0" w:color="auto"/>
            </w:tcBorders>
            <w:shd w:val="clear" w:color="auto" w:fill="auto"/>
            <w:vAlign w:val="center"/>
            <w:hideMark/>
          </w:tcPr>
          <w:p w14:paraId="39A67053" w14:textId="77777777" w:rsidR="00EF35E7" w:rsidRPr="00EF35E7" w:rsidRDefault="00EF35E7" w:rsidP="00EF35E7">
            <w:pPr>
              <w:spacing w:after="0" w:line="240" w:lineRule="auto"/>
              <w:jc w:val="center"/>
              <w:rPr>
                <w:rFonts w:ascii="Calibri" w:eastAsia="Times New Roman" w:hAnsi="Calibri" w:cs="Calibri"/>
                <w:color w:val="262626"/>
                <w:kern w:val="0"/>
                <w:sz w:val="20"/>
                <w:szCs w:val="20"/>
                <w:lang w:val="en-IN" w:eastAsia="en-IN"/>
                <w14:ligatures w14:val="none"/>
              </w:rPr>
            </w:pPr>
            <w:r w:rsidRPr="00EF35E7">
              <w:rPr>
                <w:rFonts w:ascii="Calibri" w:eastAsia="Times New Roman" w:hAnsi="Calibri" w:cs="Calibri"/>
                <w:color w:val="262626"/>
                <w:kern w:val="0"/>
                <w:sz w:val="20"/>
                <w:szCs w:val="20"/>
                <w:lang w:val="en-IN" w:eastAsia="en-IN"/>
                <w14:ligatures w14:val="none"/>
              </w:rPr>
              <w:t>For individuals</w:t>
            </w:r>
          </w:p>
        </w:tc>
        <w:tc>
          <w:tcPr>
            <w:tcW w:w="1553" w:type="dxa"/>
            <w:tcBorders>
              <w:top w:val="nil"/>
              <w:left w:val="nil"/>
              <w:bottom w:val="single" w:sz="4" w:space="0" w:color="auto"/>
              <w:right w:val="single" w:sz="4" w:space="0" w:color="auto"/>
            </w:tcBorders>
            <w:shd w:val="clear" w:color="auto" w:fill="auto"/>
            <w:vAlign w:val="center"/>
            <w:hideMark/>
          </w:tcPr>
          <w:p w14:paraId="412FFB0A" w14:textId="77777777" w:rsidR="00EF35E7" w:rsidRPr="00EF35E7" w:rsidRDefault="00EF35E7" w:rsidP="00EF35E7">
            <w:pPr>
              <w:spacing w:after="0" w:line="240" w:lineRule="auto"/>
              <w:jc w:val="center"/>
              <w:rPr>
                <w:rFonts w:ascii="Calibri" w:eastAsia="Times New Roman" w:hAnsi="Calibri" w:cs="Calibri"/>
                <w:color w:val="262626"/>
                <w:kern w:val="0"/>
                <w:sz w:val="20"/>
                <w:szCs w:val="20"/>
                <w:lang w:val="en-IN" w:eastAsia="en-IN"/>
                <w14:ligatures w14:val="none"/>
              </w:rPr>
            </w:pPr>
            <w:r w:rsidRPr="00EF35E7">
              <w:rPr>
                <w:rFonts w:ascii="Calibri" w:eastAsia="Times New Roman" w:hAnsi="Calibri" w:cs="Calibri"/>
                <w:color w:val="262626"/>
                <w:kern w:val="0"/>
                <w:sz w:val="20"/>
                <w:szCs w:val="20"/>
                <w:lang w:val="en-IN" w:eastAsia="en-IN"/>
                <w14:ligatures w14:val="none"/>
              </w:rPr>
              <w:t xml:space="preserve">$15,060 </w:t>
            </w:r>
          </w:p>
        </w:tc>
        <w:tc>
          <w:tcPr>
            <w:tcW w:w="1260" w:type="dxa"/>
            <w:tcBorders>
              <w:top w:val="nil"/>
              <w:left w:val="nil"/>
              <w:bottom w:val="single" w:sz="4" w:space="0" w:color="auto"/>
              <w:right w:val="single" w:sz="4" w:space="0" w:color="auto"/>
            </w:tcBorders>
            <w:shd w:val="clear" w:color="auto" w:fill="auto"/>
            <w:noWrap/>
            <w:vAlign w:val="center"/>
            <w:hideMark/>
          </w:tcPr>
          <w:p w14:paraId="68BE9522"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 xml:space="preserve">$105,420 </w:t>
            </w:r>
          </w:p>
        </w:tc>
        <w:tc>
          <w:tcPr>
            <w:tcW w:w="1710" w:type="dxa"/>
            <w:tcBorders>
              <w:top w:val="nil"/>
              <w:left w:val="nil"/>
              <w:bottom w:val="single" w:sz="4" w:space="0" w:color="auto"/>
              <w:right w:val="single" w:sz="4" w:space="0" w:color="auto"/>
            </w:tcBorders>
            <w:shd w:val="clear" w:color="auto" w:fill="auto"/>
            <w:noWrap/>
            <w:vAlign w:val="center"/>
            <w:hideMark/>
          </w:tcPr>
          <w:p w14:paraId="726C25C5"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7%</w:t>
            </w:r>
          </w:p>
        </w:tc>
        <w:tc>
          <w:tcPr>
            <w:tcW w:w="1350" w:type="dxa"/>
            <w:tcBorders>
              <w:top w:val="nil"/>
              <w:left w:val="nil"/>
              <w:bottom w:val="single" w:sz="4" w:space="0" w:color="auto"/>
              <w:right w:val="single" w:sz="4" w:space="0" w:color="auto"/>
            </w:tcBorders>
            <w:shd w:val="clear" w:color="auto" w:fill="auto"/>
            <w:noWrap/>
            <w:vAlign w:val="center"/>
            <w:hideMark/>
          </w:tcPr>
          <w:p w14:paraId="39F1F067"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 xml:space="preserve">$45,180 </w:t>
            </w:r>
          </w:p>
        </w:tc>
        <w:tc>
          <w:tcPr>
            <w:tcW w:w="1645" w:type="dxa"/>
            <w:tcBorders>
              <w:top w:val="nil"/>
              <w:left w:val="nil"/>
              <w:bottom w:val="single" w:sz="4" w:space="0" w:color="auto"/>
              <w:right w:val="single" w:sz="4" w:space="0" w:color="auto"/>
            </w:tcBorders>
            <w:shd w:val="clear" w:color="auto" w:fill="auto"/>
            <w:noWrap/>
            <w:vAlign w:val="center"/>
            <w:hideMark/>
          </w:tcPr>
          <w:p w14:paraId="11A06062"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3%</w:t>
            </w:r>
          </w:p>
        </w:tc>
      </w:tr>
      <w:tr w:rsidR="00EF35E7" w:rsidRPr="00EF35E7" w14:paraId="544B85D5" w14:textId="77777777" w:rsidTr="00EF35E7">
        <w:trPr>
          <w:trHeight w:val="288"/>
        </w:trPr>
        <w:tc>
          <w:tcPr>
            <w:tcW w:w="1567" w:type="dxa"/>
            <w:tcBorders>
              <w:top w:val="nil"/>
              <w:left w:val="single" w:sz="4" w:space="0" w:color="auto"/>
              <w:bottom w:val="single" w:sz="4" w:space="0" w:color="auto"/>
              <w:right w:val="single" w:sz="4" w:space="0" w:color="auto"/>
            </w:tcBorders>
            <w:shd w:val="clear" w:color="auto" w:fill="auto"/>
            <w:vAlign w:val="center"/>
            <w:hideMark/>
          </w:tcPr>
          <w:p w14:paraId="654627FE" w14:textId="77777777" w:rsidR="00EF35E7" w:rsidRPr="00EF35E7" w:rsidRDefault="00EF35E7" w:rsidP="00EF35E7">
            <w:pPr>
              <w:spacing w:after="0" w:line="240" w:lineRule="auto"/>
              <w:jc w:val="center"/>
              <w:rPr>
                <w:rFonts w:ascii="Calibri" w:eastAsia="Times New Roman" w:hAnsi="Calibri" w:cs="Calibri"/>
                <w:color w:val="262626"/>
                <w:kern w:val="0"/>
                <w:sz w:val="20"/>
                <w:szCs w:val="20"/>
                <w:lang w:val="en-IN" w:eastAsia="en-IN"/>
                <w14:ligatures w14:val="none"/>
              </w:rPr>
            </w:pPr>
            <w:r w:rsidRPr="00EF35E7">
              <w:rPr>
                <w:rFonts w:ascii="Calibri" w:eastAsia="Times New Roman" w:hAnsi="Calibri" w:cs="Calibri"/>
                <w:color w:val="262626"/>
                <w:kern w:val="0"/>
                <w:sz w:val="20"/>
                <w:szCs w:val="20"/>
                <w:lang w:val="en-IN" w:eastAsia="en-IN"/>
                <w14:ligatures w14:val="none"/>
              </w:rPr>
              <w:t>For a family of 2</w:t>
            </w:r>
          </w:p>
        </w:tc>
        <w:tc>
          <w:tcPr>
            <w:tcW w:w="1553" w:type="dxa"/>
            <w:tcBorders>
              <w:top w:val="nil"/>
              <w:left w:val="nil"/>
              <w:bottom w:val="single" w:sz="4" w:space="0" w:color="auto"/>
              <w:right w:val="single" w:sz="4" w:space="0" w:color="auto"/>
            </w:tcBorders>
            <w:shd w:val="clear" w:color="auto" w:fill="auto"/>
            <w:vAlign w:val="center"/>
            <w:hideMark/>
          </w:tcPr>
          <w:p w14:paraId="4F792692" w14:textId="77777777" w:rsidR="00EF35E7" w:rsidRPr="00EF35E7" w:rsidRDefault="00EF35E7" w:rsidP="00EF35E7">
            <w:pPr>
              <w:spacing w:after="0" w:line="240" w:lineRule="auto"/>
              <w:jc w:val="center"/>
              <w:rPr>
                <w:rFonts w:ascii="Calibri" w:eastAsia="Times New Roman" w:hAnsi="Calibri" w:cs="Calibri"/>
                <w:color w:val="262626"/>
                <w:kern w:val="0"/>
                <w:sz w:val="20"/>
                <w:szCs w:val="20"/>
                <w:lang w:val="en-IN" w:eastAsia="en-IN"/>
                <w14:ligatures w14:val="none"/>
              </w:rPr>
            </w:pPr>
            <w:r w:rsidRPr="00EF35E7">
              <w:rPr>
                <w:rFonts w:ascii="Calibri" w:eastAsia="Times New Roman" w:hAnsi="Calibri" w:cs="Calibri"/>
                <w:color w:val="262626"/>
                <w:kern w:val="0"/>
                <w:sz w:val="20"/>
                <w:szCs w:val="20"/>
                <w:lang w:val="en-IN" w:eastAsia="en-IN"/>
                <w14:ligatures w14:val="none"/>
              </w:rPr>
              <w:t xml:space="preserve">$20,440 </w:t>
            </w:r>
          </w:p>
        </w:tc>
        <w:tc>
          <w:tcPr>
            <w:tcW w:w="1260" w:type="dxa"/>
            <w:tcBorders>
              <w:top w:val="nil"/>
              <w:left w:val="nil"/>
              <w:bottom w:val="single" w:sz="4" w:space="0" w:color="auto"/>
              <w:right w:val="single" w:sz="4" w:space="0" w:color="auto"/>
            </w:tcBorders>
            <w:shd w:val="clear" w:color="auto" w:fill="auto"/>
            <w:noWrap/>
            <w:vAlign w:val="center"/>
            <w:hideMark/>
          </w:tcPr>
          <w:p w14:paraId="75C98D12"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 xml:space="preserve">$143,080 </w:t>
            </w:r>
          </w:p>
        </w:tc>
        <w:tc>
          <w:tcPr>
            <w:tcW w:w="1710" w:type="dxa"/>
            <w:tcBorders>
              <w:top w:val="nil"/>
              <w:left w:val="nil"/>
              <w:bottom w:val="single" w:sz="4" w:space="0" w:color="auto"/>
              <w:right w:val="single" w:sz="4" w:space="0" w:color="auto"/>
            </w:tcBorders>
            <w:shd w:val="clear" w:color="auto" w:fill="auto"/>
            <w:noWrap/>
            <w:vAlign w:val="center"/>
            <w:hideMark/>
          </w:tcPr>
          <w:p w14:paraId="5035EA2B"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5%</w:t>
            </w:r>
          </w:p>
        </w:tc>
        <w:tc>
          <w:tcPr>
            <w:tcW w:w="1350" w:type="dxa"/>
            <w:tcBorders>
              <w:top w:val="nil"/>
              <w:left w:val="nil"/>
              <w:bottom w:val="single" w:sz="4" w:space="0" w:color="auto"/>
              <w:right w:val="single" w:sz="4" w:space="0" w:color="auto"/>
            </w:tcBorders>
            <w:shd w:val="clear" w:color="auto" w:fill="auto"/>
            <w:noWrap/>
            <w:vAlign w:val="center"/>
            <w:hideMark/>
          </w:tcPr>
          <w:p w14:paraId="3F654C90"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 xml:space="preserve">$61,320 </w:t>
            </w:r>
          </w:p>
        </w:tc>
        <w:tc>
          <w:tcPr>
            <w:tcW w:w="1645" w:type="dxa"/>
            <w:tcBorders>
              <w:top w:val="nil"/>
              <w:left w:val="nil"/>
              <w:bottom w:val="single" w:sz="4" w:space="0" w:color="auto"/>
              <w:right w:val="single" w:sz="4" w:space="0" w:color="auto"/>
            </w:tcBorders>
            <w:shd w:val="clear" w:color="auto" w:fill="auto"/>
            <w:noWrap/>
            <w:vAlign w:val="center"/>
            <w:hideMark/>
          </w:tcPr>
          <w:p w14:paraId="2C36FB18"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2%</w:t>
            </w:r>
          </w:p>
        </w:tc>
      </w:tr>
      <w:tr w:rsidR="00EF35E7" w:rsidRPr="00EF35E7" w14:paraId="537878F5" w14:textId="77777777" w:rsidTr="00EF35E7">
        <w:trPr>
          <w:trHeight w:val="288"/>
        </w:trPr>
        <w:tc>
          <w:tcPr>
            <w:tcW w:w="1567" w:type="dxa"/>
            <w:tcBorders>
              <w:top w:val="nil"/>
              <w:left w:val="single" w:sz="4" w:space="0" w:color="auto"/>
              <w:bottom w:val="single" w:sz="4" w:space="0" w:color="auto"/>
              <w:right w:val="single" w:sz="4" w:space="0" w:color="auto"/>
            </w:tcBorders>
            <w:shd w:val="clear" w:color="auto" w:fill="auto"/>
            <w:vAlign w:val="center"/>
            <w:hideMark/>
          </w:tcPr>
          <w:p w14:paraId="705A2C78" w14:textId="77777777" w:rsidR="00EF35E7" w:rsidRPr="00EF35E7" w:rsidRDefault="00EF35E7" w:rsidP="00EF35E7">
            <w:pPr>
              <w:spacing w:after="0" w:line="240" w:lineRule="auto"/>
              <w:jc w:val="center"/>
              <w:rPr>
                <w:rFonts w:ascii="Calibri" w:eastAsia="Times New Roman" w:hAnsi="Calibri" w:cs="Calibri"/>
                <w:color w:val="262626"/>
                <w:kern w:val="0"/>
                <w:sz w:val="20"/>
                <w:szCs w:val="20"/>
                <w:lang w:val="en-IN" w:eastAsia="en-IN"/>
                <w14:ligatures w14:val="none"/>
              </w:rPr>
            </w:pPr>
            <w:r w:rsidRPr="00EF35E7">
              <w:rPr>
                <w:rFonts w:ascii="Calibri" w:eastAsia="Times New Roman" w:hAnsi="Calibri" w:cs="Calibri"/>
                <w:color w:val="262626"/>
                <w:kern w:val="0"/>
                <w:sz w:val="20"/>
                <w:szCs w:val="20"/>
                <w:lang w:val="en-IN" w:eastAsia="en-IN"/>
                <w14:ligatures w14:val="none"/>
              </w:rPr>
              <w:t>For a family of 3</w:t>
            </w:r>
          </w:p>
        </w:tc>
        <w:tc>
          <w:tcPr>
            <w:tcW w:w="1553" w:type="dxa"/>
            <w:tcBorders>
              <w:top w:val="nil"/>
              <w:left w:val="nil"/>
              <w:bottom w:val="single" w:sz="4" w:space="0" w:color="auto"/>
              <w:right w:val="single" w:sz="4" w:space="0" w:color="auto"/>
            </w:tcBorders>
            <w:shd w:val="clear" w:color="auto" w:fill="auto"/>
            <w:vAlign w:val="center"/>
            <w:hideMark/>
          </w:tcPr>
          <w:p w14:paraId="4E68ED9B" w14:textId="77777777" w:rsidR="00EF35E7" w:rsidRPr="00EF35E7" w:rsidRDefault="00EF35E7" w:rsidP="00EF35E7">
            <w:pPr>
              <w:spacing w:after="0" w:line="240" w:lineRule="auto"/>
              <w:jc w:val="center"/>
              <w:rPr>
                <w:rFonts w:ascii="Calibri" w:eastAsia="Times New Roman" w:hAnsi="Calibri" w:cs="Calibri"/>
                <w:color w:val="262626"/>
                <w:kern w:val="0"/>
                <w:sz w:val="20"/>
                <w:szCs w:val="20"/>
                <w:lang w:val="en-IN" w:eastAsia="en-IN"/>
                <w14:ligatures w14:val="none"/>
              </w:rPr>
            </w:pPr>
            <w:r w:rsidRPr="00EF35E7">
              <w:rPr>
                <w:rFonts w:ascii="Calibri" w:eastAsia="Times New Roman" w:hAnsi="Calibri" w:cs="Calibri"/>
                <w:color w:val="262626"/>
                <w:kern w:val="0"/>
                <w:sz w:val="20"/>
                <w:szCs w:val="20"/>
                <w:lang w:val="en-IN" w:eastAsia="en-IN"/>
                <w14:ligatures w14:val="none"/>
              </w:rPr>
              <w:t xml:space="preserve">$25,820 </w:t>
            </w:r>
          </w:p>
        </w:tc>
        <w:tc>
          <w:tcPr>
            <w:tcW w:w="1260" w:type="dxa"/>
            <w:tcBorders>
              <w:top w:val="nil"/>
              <w:left w:val="nil"/>
              <w:bottom w:val="single" w:sz="4" w:space="0" w:color="auto"/>
              <w:right w:val="single" w:sz="4" w:space="0" w:color="auto"/>
            </w:tcBorders>
            <w:shd w:val="clear" w:color="auto" w:fill="auto"/>
            <w:noWrap/>
            <w:vAlign w:val="center"/>
            <w:hideMark/>
          </w:tcPr>
          <w:p w14:paraId="2A703072"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 xml:space="preserve">$180,740 </w:t>
            </w:r>
          </w:p>
        </w:tc>
        <w:tc>
          <w:tcPr>
            <w:tcW w:w="1710" w:type="dxa"/>
            <w:tcBorders>
              <w:top w:val="nil"/>
              <w:left w:val="nil"/>
              <w:bottom w:val="single" w:sz="4" w:space="0" w:color="auto"/>
              <w:right w:val="single" w:sz="4" w:space="0" w:color="auto"/>
            </w:tcBorders>
            <w:shd w:val="clear" w:color="auto" w:fill="auto"/>
            <w:noWrap/>
            <w:vAlign w:val="center"/>
            <w:hideMark/>
          </w:tcPr>
          <w:p w14:paraId="2CFF56CA"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4%</w:t>
            </w:r>
          </w:p>
        </w:tc>
        <w:tc>
          <w:tcPr>
            <w:tcW w:w="1350" w:type="dxa"/>
            <w:tcBorders>
              <w:top w:val="nil"/>
              <w:left w:val="nil"/>
              <w:bottom w:val="single" w:sz="4" w:space="0" w:color="auto"/>
              <w:right w:val="single" w:sz="4" w:space="0" w:color="auto"/>
            </w:tcBorders>
            <w:shd w:val="clear" w:color="auto" w:fill="auto"/>
            <w:noWrap/>
            <w:vAlign w:val="center"/>
            <w:hideMark/>
          </w:tcPr>
          <w:p w14:paraId="5AB140E6"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 xml:space="preserve">$77,460 </w:t>
            </w:r>
          </w:p>
        </w:tc>
        <w:tc>
          <w:tcPr>
            <w:tcW w:w="1645" w:type="dxa"/>
            <w:tcBorders>
              <w:top w:val="nil"/>
              <w:left w:val="nil"/>
              <w:bottom w:val="single" w:sz="4" w:space="0" w:color="auto"/>
              <w:right w:val="single" w:sz="4" w:space="0" w:color="auto"/>
            </w:tcBorders>
            <w:shd w:val="clear" w:color="auto" w:fill="auto"/>
            <w:noWrap/>
            <w:vAlign w:val="center"/>
            <w:hideMark/>
          </w:tcPr>
          <w:p w14:paraId="5D139643"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2%</w:t>
            </w:r>
          </w:p>
        </w:tc>
      </w:tr>
      <w:tr w:rsidR="00EF35E7" w:rsidRPr="00EF35E7" w14:paraId="742C3E19" w14:textId="77777777" w:rsidTr="00EF35E7">
        <w:trPr>
          <w:trHeight w:val="288"/>
        </w:trPr>
        <w:tc>
          <w:tcPr>
            <w:tcW w:w="1567" w:type="dxa"/>
            <w:tcBorders>
              <w:top w:val="nil"/>
              <w:left w:val="single" w:sz="4" w:space="0" w:color="auto"/>
              <w:bottom w:val="single" w:sz="4" w:space="0" w:color="auto"/>
              <w:right w:val="single" w:sz="4" w:space="0" w:color="auto"/>
            </w:tcBorders>
            <w:shd w:val="clear" w:color="auto" w:fill="auto"/>
            <w:vAlign w:val="center"/>
            <w:hideMark/>
          </w:tcPr>
          <w:p w14:paraId="4FC52911" w14:textId="77777777" w:rsidR="00EF35E7" w:rsidRPr="00EF35E7" w:rsidRDefault="00EF35E7" w:rsidP="00EF35E7">
            <w:pPr>
              <w:spacing w:after="0" w:line="240" w:lineRule="auto"/>
              <w:jc w:val="center"/>
              <w:rPr>
                <w:rFonts w:ascii="Calibri" w:eastAsia="Times New Roman" w:hAnsi="Calibri" w:cs="Calibri"/>
                <w:color w:val="262626"/>
                <w:kern w:val="0"/>
                <w:sz w:val="20"/>
                <w:szCs w:val="20"/>
                <w:lang w:val="en-IN" w:eastAsia="en-IN"/>
                <w14:ligatures w14:val="none"/>
              </w:rPr>
            </w:pPr>
            <w:r w:rsidRPr="00EF35E7">
              <w:rPr>
                <w:rFonts w:ascii="Calibri" w:eastAsia="Times New Roman" w:hAnsi="Calibri" w:cs="Calibri"/>
                <w:color w:val="262626"/>
                <w:kern w:val="0"/>
                <w:sz w:val="20"/>
                <w:szCs w:val="20"/>
                <w:lang w:val="en-IN" w:eastAsia="en-IN"/>
                <w14:ligatures w14:val="none"/>
              </w:rPr>
              <w:t>For a family of 4</w:t>
            </w:r>
          </w:p>
        </w:tc>
        <w:tc>
          <w:tcPr>
            <w:tcW w:w="1553" w:type="dxa"/>
            <w:tcBorders>
              <w:top w:val="nil"/>
              <w:left w:val="nil"/>
              <w:bottom w:val="single" w:sz="4" w:space="0" w:color="auto"/>
              <w:right w:val="single" w:sz="4" w:space="0" w:color="auto"/>
            </w:tcBorders>
            <w:shd w:val="clear" w:color="auto" w:fill="auto"/>
            <w:vAlign w:val="center"/>
            <w:hideMark/>
          </w:tcPr>
          <w:p w14:paraId="59C557C0" w14:textId="77777777" w:rsidR="00EF35E7" w:rsidRPr="00EF35E7" w:rsidRDefault="00EF35E7" w:rsidP="00EF35E7">
            <w:pPr>
              <w:spacing w:after="0" w:line="240" w:lineRule="auto"/>
              <w:jc w:val="center"/>
              <w:rPr>
                <w:rFonts w:ascii="Calibri" w:eastAsia="Times New Roman" w:hAnsi="Calibri" w:cs="Calibri"/>
                <w:color w:val="262626"/>
                <w:kern w:val="0"/>
                <w:sz w:val="20"/>
                <w:szCs w:val="20"/>
                <w:lang w:val="en-IN" w:eastAsia="en-IN"/>
                <w14:ligatures w14:val="none"/>
              </w:rPr>
            </w:pPr>
            <w:r w:rsidRPr="00EF35E7">
              <w:rPr>
                <w:rFonts w:ascii="Calibri" w:eastAsia="Times New Roman" w:hAnsi="Calibri" w:cs="Calibri"/>
                <w:color w:val="262626"/>
                <w:kern w:val="0"/>
                <w:sz w:val="20"/>
                <w:szCs w:val="20"/>
                <w:lang w:val="en-IN" w:eastAsia="en-IN"/>
                <w14:ligatures w14:val="none"/>
              </w:rPr>
              <w:t xml:space="preserve">$31,200 </w:t>
            </w:r>
          </w:p>
        </w:tc>
        <w:tc>
          <w:tcPr>
            <w:tcW w:w="1260" w:type="dxa"/>
            <w:tcBorders>
              <w:top w:val="nil"/>
              <w:left w:val="nil"/>
              <w:bottom w:val="single" w:sz="4" w:space="0" w:color="auto"/>
              <w:right w:val="single" w:sz="4" w:space="0" w:color="auto"/>
            </w:tcBorders>
            <w:shd w:val="clear" w:color="auto" w:fill="auto"/>
            <w:noWrap/>
            <w:vAlign w:val="center"/>
            <w:hideMark/>
          </w:tcPr>
          <w:p w14:paraId="02C45425"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 xml:space="preserve">$218,400 </w:t>
            </w:r>
          </w:p>
        </w:tc>
        <w:tc>
          <w:tcPr>
            <w:tcW w:w="1710" w:type="dxa"/>
            <w:tcBorders>
              <w:top w:val="nil"/>
              <w:left w:val="nil"/>
              <w:bottom w:val="single" w:sz="4" w:space="0" w:color="auto"/>
              <w:right w:val="single" w:sz="4" w:space="0" w:color="auto"/>
            </w:tcBorders>
            <w:shd w:val="clear" w:color="auto" w:fill="auto"/>
            <w:noWrap/>
            <w:vAlign w:val="center"/>
            <w:hideMark/>
          </w:tcPr>
          <w:p w14:paraId="40DCB86D"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3%</w:t>
            </w:r>
          </w:p>
        </w:tc>
        <w:tc>
          <w:tcPr>
            <w:tcW w:w="1350" w:type="dxa"/>
            <w:tcBorders>
              <w:top w:val="nil"/>
              <w:left w:val="nil"/>
              <w:bottom w:val="single" w:sz="4" w:space="0" w:color="auto"/>
              <w:right w:val="single" w:sz="4" w:space="0" w:color="auto"/>
            </w:tcBorders>
            <w:shd w:val="clear" w:color="auto" w:fill="auto"/>
            <w:noWrap/>
            <w:vAlign w:val="center"/>
            <w:hideMark/>
          </w:tcPr>
          <w:p w14:paraId="6E9C1526"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 xml:space="preserve">$93,600 </w:t>
            </w:r>
          </w:p>
        </w:tc>
        <w:tc>
          <w:tcPr>
            <w:tcW w:w="1645" w:type="dxa"/>
            <w:tcBorders>
              <w:top w:val="nil"/>
              <w:left w:val="nil"/>
              <w:bottom w:val="single" w:sz="4" w:space="0" w:color="auto"/>
              <w:right w:val="single" w:sz="4" w:space="0" w:color="auto"/>
            </w:tcBorders>
            <w:shd w:val="clear" w:color="auto" w:fill="auto"/>
            <w:noWrap/>
            <w:vAlign w:val="center"/>
            <w:hideMark/>
          </w:tcPr>
          <w:p w14:paraId="74E444B1"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2%</w:t>
            </w:r>
          </w:p>
        </w:tc>
      </w:tr>
      <w:tr w:rsidR="00EF35E7" w:rsidRPr="00EF35E7" w14:paraId="35D0A240" w14:textId="77777777" w:rsidTr="00EF35E7">
        <w:trPr>
          <w:trHeight w:val="288"/>
        </w:trPr>
        <w:tc>
          <w:tcPr>
            <w:tcW w:w="1567" w:type="dxa"/>
            <w:tcBorders>
              <w:top w:val="nil"/>
              <w:left w:val="single" w:sz="4" w:space="0" w:color="auto"/>
              <w:bottom w:val="single" w:sz="4" w:space="0" w:color="auto"/>
              <w:right w:val="single" w:sz="4" w:space="0" w:color="auto"/>
            </w:tcBorders>
            <w:shd w:val="clear" w:color="auto" w:fill="auto"/>
            <w:vAlign w:val="center"/>
            <w:hideMark/>
          </w:tcPr>
          <w:p w14:paraId="60573267" w14:textId="77777777" w:rsidR="00EF35E7" w:rsidRPr="00EF35E7" w:rsidRDefault="00EF35E7" w:rsidP="00EF35E7">
            <w:pPr>
              <w:spacing w:after="0" w:line="240" w:lineRule="auto"/>
              <w:jc w:val="center"/>
              <w:rPr>
                <w:rFonts w:ascii="Calibri" w:eastAsia="Times New Roman" w:hAnsi="Calibri" w:cs="Calibri"/>
                <w:color w:val="262626"/>
                <w:kern w:val="0"/>
                <w:sz w:val="20"/>
                <w:szCs w:val="20"/>
                <w:lang w:val="en-IN" w:eastAsia="en-IN"/>
                <w14:ligatures w14:val="none"/>
              </w:rPr>
            </w:pPr>
            <w:r w:rsidRPr="00EF35E7">
              <w:rPr>
                <w:rFonts w:ascii="Calibri" w:eastAsia="Times New Roman" w:hAnsi="Calibri" w:cs="Calibri"/>
                <w:color w:val="262626"/>
                <w:kern w:val="0"/>
                <w:sz w:val="20"/>
                <w:szCs w:val="20"/>
                <w:lang w:val="en-IN" w:eastAsia="en-IN"/>
                <w14:ligatures w14:val="none"/>
              </w:rPr>
              <w:t>For a family of 5</w:t>
            </w:r>
          </w:p>
        </w:tc>
        <w:tc>
          <w:tcPr>
            <w:tcW w:w="1553" w:type="dxa"/>
            <w:tcBorders>
              <w:top w:val="nil"/>
              <w:left w:val="nil"/>
              <w:bottom w:val="single" w:sz="4" w:space="0" w:color="auto"/>
              <w:right w:val="single" w:sz="4" w:space="0" w:color="auto"/>
            </w:tcBorders>
            <w:shd w:val="clear" w:color="auto" w:fill="auto"/>
            <w:vAlign w:val="center"/>
            <w:hideMark/>
          </w:tcPr>
          <w:p w14:paraId="0C3573DC" w14:textId="77777777" w:rsidR="00EF35E7" w:rsidRPr="00EF35E7" w:rsidRDefault="00EF35E7" w:rsidP="00EF35E7">
            <w:pPr>
              <w:spacing w:after="0" w:line="240" w:lineRule="auto"/>
              <w:jc w:val="center"/>
              <w:rPr>
                <w:rFonts w:ascii="Calibri" w:eastAsia="Times New Roman" w:hAnsi="Calibri" w:cs="Calibri"/>
                <w:color w:val="262626"/>
                <w:kern w:val="0"/>
                <w:sz w:val="20"/>
                <w:szCs w:val="20"/>
                <w:lang w:val="en-IN" w:eastAsia="en-IN"/>
                <w14:ligatures w14:val="none"/>
              </w:rPr>
            </w:pPr>
            <w:r w:rsidRPr="00EF35E7">
              <w:rPr>
                <w:rFonts w:ascii="Calibri" w:eastAsia="Times New Roman" w:hAnsi="Calibri" w:cs="Calibri"/>
                <w:color w:val="262626"/>
                <w:kern w:val="0"/>
                <w:sz w:val="20"/>
                <w:szCs w:val="20"/>
                <w:lang w:val="en-IN" w:eastAsia="en-IN"/>
                <w14:ligatures w14:val="none"/>
              </w:rPr>
              <w:t xml:space="preserve">$36,580 </w:t>
            </w:r>
          </w:p>
        </w:tc>
        <w:tc>
          <w:tcPr>
            <w:tcW w:w="1260" w:type="dxa"/>
            <w:tcBorders>
              <w:top w:val="nil"/>
              <w:left w:val="nil"/>
              <w:bottom w:val="single" w:sz="4" w:space="0" w:color="auto"/>
              <w:right w:val="single" w:sz="4" w:space="0" w:color="auto"/>
            </w:tcBorders>
            <w:shd w:val="clear" w:color="auto" w:fill="auto"/>
            <w:noWrap/>
            <w:vAlign w:val="center"/>
            <w:hideMark/>
          </w:tcPr>
          <w:p w14:paraId="79AA7B9C"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 xml:space="preserve">$256,060 </w:t>
            </w:r>
          </w:p>
        </w:tc>
        <w:tc>
          <w:tcPr>
            <w:tcW w:w="1710" w:type="dxa"/>
            <w:tcBorders>
              <w:top w:val="nil"/>
              <w:left w:val="nil"/>
              <w:bottom w:val="single" w:sz="4" w:space="0" w:color="auto"/>
              <w:right w:val="single" w:sz="4" w:space="0" w:color="auto"/>
            </w:tcBorders>
            <w:shd w:val="clear" w:color="auto" w:fill="auto"/>
            <w:noWrap/>
            <w:vAlign w:val="center"/>
            <w:hideMark/>
          </w:tcPr>
          <w:p w14:paraId="1C5514D2"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3%</w:t>
            </w:r>
          </w:p>
        </w:tc>
        <w:tc>
          <w:tcPr>
            <w:tcW w:w="1350" w:type="dxa"/>
            <w:tcBorders>
              <w:top w:val="nil"/>
              <w:left w:val="nil"/>
              <w:bottom w:val="single" w:sz="4" w:space="0" w:color="auto"/>
              <w:right w:val="single" w:sz="4" w:space="0" w:color="auto"/>
            </w:tcBorders>
            <w:shd w:val="clear" w:color="auto" w:fill="auto"/>
            <w:noWrap/>
            <w:vAlign w:val="center"/>
            <w:hideMark/>
          </w:tcPr>
          <w:p w14:paraId="070C8D97"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 xml:space="preserve">$109,740 </w:t>
            </w:r>
          </w:p>
        </w:tc>
        <w:tc>
          <w:tcPr>
            <w:tcW w:w="1645" w:type="dxa"/>
            <w:tcBorders>
              <w:top w:val="nil"/>
              <w:left w:val="nil"/>
              <w:bottom w:val="single" w:sz="4" w:space="0" w:color="auto"/>
              <w:right w:val="single" w:sz="4" w:space="0" w:color="auto"/>
            </w:tcBorders>
            <w:shd w:val="clear" w:color="auto" w:fill="auto"/>
            <w:noWrap/>
            <w:vAlign w:val="center"/>
            <w:hideMark/>
          </w:tcPr>
          <w:p w14:paraId="07A09068"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1%</w:t>
            </w:r>
          </w:p>
        </w:tc>
      </w:tr>
      <w:tr w:rsidR="00EF35E7" w:rsidRPr="00EF35E7" w14:paraId="05B12C99" w14:textId="77777777" w:rsidTr="00EF35E7">
        <w:trPr>
          <w:trHeight w:val="288"/>
        </w:trPr>
        <w:tc>
          <w:tcPr>
            <w:tcW w:w="1567" w:type="dxa"/>
            <w:tcBorders>
              <w:top w:val="nil"/>
              <w:left w:val="single" w:sz="4" w:space="0" w:color="auto"/>
              <w:bottom w:val="single" w:sz="4" w:space="0" w:color="auto"/>
              <w:right w:val="single" w:sz="4" w:space="0" w:color="auto"/>
            </w:tcBorders>
            <w:shd w:val="clear" w:color="auto" w:fill="auto"/>
            <w:vAlign w:val="center"/>
            <w:hideMark/>
          </w:tcPr>
          <w:p w14:paraId="1FED3B22" w14:textId="77777777" w:rsidR="00EF35E7" w:rsidRPr="00EF35E7" w:rsidRDefault="00EF35E7" w:rsidP="00EF35E7">
            <w:pPr>
              <w:spacing w:after="0" w:line="240" w:lineRule="auto"/>
              <w:jc w:val="center"/>
              <w:rPr>
                <w:rFonts w:ascii="Calibri" w:eastAsia="Times New Roman" w:hAnsi="Calibri" w:cs="Calibri"/>
                <w:color w:val="262626"/>
                <w:kern w:val="0"/>
                <w:sz w:val="20"/>
                <w:szCs w:val="20"/>
                <w:lang w:val="en-IN" w:eastAsia="en-IN"/>
                <w14:ligatures w14:val="none"/>
              </w:rPr>
            </w:pPr>
            <w:r w:rsidRPr="00EF35E7">
              <w:rPr>
                <w:rFonts w:ascii="Calibri" w:eastAsia="Times New Roman" w:hAnsi="Calibri" w:cs="Calibri"/>
                <w:color w:val="262626"/>
                <w:kern w:val="0"/>
                <w:sz w:val="20"/>
                <w:szCs w:val="20"/>
                <w:lang w:val="en-IN" w:eastAsia="en-IN"/>
                <w14:ligatures w14:val="none"/>
              </w:rPr>
              <w:t>For a family of 6</w:t>
            </w:r>
          </w:p>
        </w:tc>
        <w:tc>
          <w:tcPr>
            <w:tcW w:w="1553" w:type="dxa"/>
            <w:tcBorders>
              <w:top w:val="nil"/>
              <w:left w:val="nil"/>
              <w:bottom w:val="single" w:sz="4" w:space="0" w:color="auto"/>
              <w:right w:val="single" w:sz="4" w:space="0" w:color="auto"/>
            </w:tcBorders>
            <w:shd w:val="clear" w:color="auto" w:fill="auto"/>
            <w:vAlign w:val="center"/>
            <w:hideMark/>
          </w:tcPr>
          <w:p w14:paraId="6B023E92" w14:textId="77777777" w:rsidR="00EF35E7" w:rsidRPr="00EF35E7" w:rsidRDefault="00EF35E7" w:rsidP="00EF35E7">
            <w:pPr>
              <w:spacing w:after="0" w:line="240" w:lineRule="auto"/>
              <w:jc w:val="center"/>
              <w:rPr>
                <w:rFonts w:ascii="Calibri" w:eastAsia="Times New Roman" w:hAnsi="Calibri" w:cs="Calibri"/>
                <w:color w:val="262626"/>
                <w:kern w:val="0"/>
                <w:sz w:val="20"/>
                <w:szCs w:val="20"/>
                <w:lang w:val="en-IN" w:eastAsia="en-IN"/>
                <w14:ligatures w14:val="none"/>
              </w:rPr>
            </w:pPr>
            <w:r w:rsidRPr="00EF35E7">
              <w:rPr>
                <w:rFonts w:ascii="Calibri" w:eastAsia="Times New Roman" w:hAnsi="Calibri" w:cs="Calibri"/>
                <w:color w:val="262626"/>
                <w:kern w:val="0"/>
                <w:sz w:val="20"/>
                <w:szCs w:val="20"/>
                <w:lang w:val="en-IN" w:eastAsia="en-IN"/>
                <w14:ligatures w14:val="none"/>
              </w:rPr>
              <w:t xml:space="preserve">$41,960 </w:t>
            </w:r>
          </w:p>
        </w:tc>
        <w:tc>
          <w:tcPr>
            <w:tcW w:w="1260" w:type="dxa"/>
            <w:tcBorders>
              <w:top w:val="nil"/>
              <w:left w:val="nil"/>
              <w:bottom w:val="single" w:sz="4" w:space="0" w:color="auto"/>
              <w:right w:val="single" w:sz="4" w:space="0" w:color="auto"/>
            </w:tcBorders>
            <w:shd w:val="clear" w:color="auto" w:fill="auto"/>
            <w:noWrap/>
            <w:vAlign w:val="center"/>
            <w:hideMark/>
          </w:tcPr>
          <w:p w14:paraId="50276238"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 xml:space="preserve">$293,720 </w:t>
            </w:r>
          </w:p>
        </w:tc>
        <w:tc>
          <w:tcPr>
            <w:tcW w:w="1710" w:type="dxa"/>
            <w:tcBorders>
              <w:top w:val="nil"/>
              <w:left w:val="nil"/>
              <w:bottom w:val="single" w:sz="4" w:space="0" w:color="auto"/>
              <w:right w:val="single" w:sz="4" w:space="0" w:color="auto"/>
            </w:tcBorders>
            <w:shd w:val="clear" w:color="auto" w:fill="auto"/>
            <w:noWrap/>
            <w:vAlign w:val="center"/>
            <w:hideMark/>
          </w:tcPr>
          <w:p w14:paraId="11EFEFDD"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3%</w:t>
            </w:r>
          </w:p>
        </w:tc>
        <w:tc>
          <w:tcPr>
            <w:tcW w:w="1350" w:type="dxa"/>
            <w:tcBorders>
              <w:top w:val="nil"/>
              <w:left w:val="nil"/>
              <w:bottom w:val="single" w:sz="4" w:space="0" w:color="auto"/>
              <w:right w:val="single" w:sz="4" w:space="0" w:color="auto"/>
            </w:tcBorders>
            <w:shd w:val="clear" w:color="auto" w:fill="auto"/>
            <w:noWrap/>
            <w:vAlign w:val="center"/>
            <w:hideMark/>
          </w:tcPr>
          <w:p w14:paraId="3CD1ABE1"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 xml:space="preserve">$125,880 </w:t>
            </w:r>
          </w:p>
        </w:tc>
        <w:tc>
          <w:tcPr>
            <w:tcW w:w="1645" w:type="dxa"/>
            <w:tcBorders>
              <w:top w:val="nil"/>
              <w:left w:val="nil"/>
              <w:bottom w:val="single" w:sz="4" w:space="0" w:color="auto"/>
              <w:right w:val="single" w:sz="4" w:space="0" w:color="auto"/>
            </w:tcBorders>
            <w:shd w:val="clear" w:color="auto" w:fill="auto"/>
            <w:noWrap/>
            <w:vAlign w:val="center"/>
            <w:hideMark/>
          </w:tcPr>
          <w:p w14:paraId="52BBB23A"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1%</w:t>
            </w:r>
          </w:p>
        </w:tc>
      </w:tr>
      <w:tr w:rsidR="00EF35E7" w:rsidRPr="00EF35E7" w14:paraId="244FF393" w14:textId="77777777" w:rsidTr="00EF35E7">
        <w:trPr>
          <w:trHeight w:val="288"/>
        </w:trPr>
        <w:tc>
          <w:tcPr>
            <w:tcW w:w="1567" w:type="dxa"/>
            <w:tcBorders>
              <w:top w:val="nil"/>
              <w:left w:val="single" w:sz="4" w:space="0" w:color="auto"/>
              <w:bottom w:val="single" w:sz="4" w:space="0" w:color="auto"/>
              <w:right w:val="single" w:sz="4" w:space="0" w:color="auto"/>
            </w:tcBorders>
            <w:shd w:val="clear" w:color="auto" w:fill="auto"/>
            <w:vAlign w:val="center"/>
            <w:hideMark/>
          </w:tcPr>
          <w:p w14:paraId="79088EAB" w14:textId="77777777" w:rsidR="00EF35E7" w:rsidRPr="00EF35E7" w:rsidRDefault="00EF35E7" w:rsidP="00EF35E7">
            <w:pPr>
              <w:spacing w:after="0" w:line="240" w:lineRule="auto"/>
              <w:jc w:val="center"/>
              <w:rPr>
                <w:rFonts w:ascii="Calibri" w:eastAsia="Times New Roman" w:hAnsi="Calibri" w:cs="Calibri"/>
                <w:color w:val="262626"/>
                <w:kern w:val="0"/>
                <w:sz w:val="20"/>
                <w:szCs w:val="20"/>
                <w:lang w:val="en-IN" w:eastAsia="en-IN"/>
                <w14:ligatures w14:val="none"/>
              </w:rPr>
            </w:pPr>
            <w:r w:rsidRPr="00EF35E7">
              <w:rPr>
                <w:rFonts w:ascii="Calibri" w:eastAsia="Times New Roman" w:hAnsi="Calibri" w:cs="Calibri"/>
                <w:color w:val="262626"/>
                <w:kern w:val="0"/>
                <w:sz w:val="20"/>
                <w:szCs w:val="20"/>
                <w:lang w:val="en-IN" w:eastAsia="en-IN"/>
                <w14:ligatures w14:val="none"/>
              </w:rPr>
              <w:t>For a family of 7</w:t>
            </w:r>
          </w:p>
        </w:tc>
        <w:tc>
          <w:tcPr>
            <w:tcW w:w="1553" w:type="dxa"/>
            <w:tcBorders>
              <w:top w:val="nil"/>
              <w:left w:val="nil"/>
              <w:bottom w:val="single" w:sz="4" w:space="0" w:color="auto"/>
              <w:right w:val="single" w:sz="4" w:space="0" w:color="auto"/>
            </w:tcBorders>
            <w:shd w:val="clear" w:color="auto" w:fill="auto"/>
            <w:vAlign w:val="center"/>
            <w:hideMark/>
          </w:tcPr>
          <w:p w14:paraId="585632F3" w14:textId="77777777" w:rsidR="00EF35E7" w:rsidRPr="00EF35E7" w:rsidRDefault="00EF35E7" w:rsidP="00EF35E7">
            <w:pPr>
              <w:spacing w:after="0" w:line="240" w:lineRule="auto"/>
              <w:jc w:val="center"/>
              <w:rPr>
                <w:rFonts w:ascii="Calibri" w:eastAsia="Times New Roman" w:hAnsi="Calibri" w:cs="Calibri"/>
                <w:color w:val="262626"/>
                <w:kern w:val="0"/>
                <w:sz w:val="20"/>
                <w:szCs w:val="20"/>
                <w:lang w:val="en-IN" w:eastAsia="en-IN"/>
                <w14:ligatures w14:val="none"/>
              </w:rPr>
            </w:pPr>
            <w:r w:rsidRPr="00EF35E7">
              <w:rPr>
                <w:rFonts w:ascii="Calibri" w:eastAsia="Times New Roman" w:hAnsi="Calibri" w:cs="Calibri"/>
                <w:color w:val="262626"/>
                <w:kern w:val="0"/>
                <w:sz w:val="20"/>
                <w:szCs w:val="20"/>
                <w:lang w:val="en-IN" w:eastAsia="en-IN"/>
                <w14:ligatures w14:val="none"/>
              </w:rPr>
              <w:t xml:space="preserve">$47,340 </w:t>
            </w:r>
          </w:p>
        </w:tc>
        <w:tc>
          <w:tcPr>
            <w:tcW w:w="1260" w:type="dxa"/>
            <w:tcBorders>
              <w:top w:val="nil"/>
              <w:left w:val="nil"/>
              <w:bottom w:val="single" w:sz="4" w:space="0" w:color="auto"/>
              <w:right w:val="single" w:sz="4" w:space="0" w:color="auto"/>
            </w:tcBorders>
            <w:shd w:val="clear" w:color="auto" w:fill="auto"/>
            <w:noWrap/>
            <w:vAlign w:val="center"/>
            <w:hideMark/>
          </w:tcPr>
          <w:p w14:paraId="7DED85CA"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 xml:space="preserve">$331,380 </w:t>
            </w:r>
          </w:p>
        </w:tc>
        <w:tc>
          <w:tcPr>
            <w:tcW w:w="1710" w:type="dxa"/>
            <w:tcBorders>
              <w:top w:val="nil"/>
              <w:left w:val="nil"/>
              <w:bottom w:val="single" w:sz="4" w:space="0" w:color="auto"/>
              <w:right w:val="single" w:sz="4" w:space="0" w:color="auto"/>
            </w:tcBorders>
            <w:shd w:val="clear" w:color="auto" w:fill="auto"/>
            <w:noWrap/>
            <w:vAlign w:val="center"/>
            <w:hideMark/>
          </w:tcPr>
          <w:p w14:paraId="1C329DB5"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2%</w:t>
            </w:r>
          </w:p>
        </w:tc>
        <w:tc>
          <w:tcPr>
            <w:tcW w:w="1350" w:type="dxa"/>
            <w:tcBorders>
              <w:top w:val="nil"/>
              <w:left w:val="nil"/>
              <w:bottom w:val="single" w:sz="4" w:space="0" w:color="auto"/>
              <w:right w:val="single" w:sz="4" w:space="0" w:color="auto"/>
            </w:tcBorders>
            <w:shd w:val="clear" w:color="auto" w:fill="auto"/>
            <w:noWrap/>
            <w:vAlign w:val="center"/>
            <w:hideMark/>
          </w:tcPr>
          <w:p w14:paraId="5CD8DE07"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 xml:space="preserve">$142,020 </w:t>
            </w:r>
          </w:p>
        </w:tc>
        <w:tc>
          <w:tcPr>
            <w:tcW w:w="1645" w:type="dxa"/>
            <w:tcBorders>
              <w:top w:val="nil"/>
              <w:left w:val="nil"/>
              <w:bottom w:val="single" w:sz="4" w:space="0" w:color="auto"/>
              <w:right w:val="single" w:sz="4" w:space="0" w:color="auto"/>
            </w:tcBorders>
            <w:shd w:val="clear" w:color="auto" w:fill="auto"/>
            <w:noWrap/>
            <w:vAlign w:val="center"/>
            <w:hideMark/>
          </w:tcPr>
          <w:p w14:paraId="06CA9201"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1%</w:t>
            </w:r>
          </w:p>
        </w:tc>
      </w:tr>
      <w:tr w:rsidR="00EF35E7" w:rsidRPr="00EF35E7" w14:paraId="6FC1B15F" w14:textId="77777777" w:rsidTr="00EF35E7">
        <w:trPr>
          <w:trHeight w:val="288"/>
        </w:trPr>
        <w:tc>
          <w:tcPr>
            <w:tcW w:w="1567" w:type="dxa"/>
            <w:tcBorders>
              <w:top w:val="nil"/>
              <w:left w:val="single" w:sz="4" w:space="0" w:color="auto"/>
              <w:bottom w:val="single" w:sz="4" w:space="0" w:color="auto"/>
              <w:right w:val="single" w:sz="4" w:space="0" w:color="auto"/>
            </w:tcBorders>
            <w:shd w:val="clear" w:color="auto" w:fill="auto"/>
            <w:vAlign w:val="center"/>
            <w:hideMark/>
          </w:tcPr>
          <w:p w14:paraId="2A40259F" w14:textId="77777777" w:rsidR="00EF35E7" w:rsidRPr="00EF35E7" w:rsidRDefault="00EF35E7" w:rsidP="00EF35E7">
            <w:pPr>
              <w:spacing w:after="0" w:line="240" w:lineRule="auto"/>
              <w:jc w:val="center"/>
              <w:rPr>
                <w:rFonts w:ascii="Calibri" w:eastAsia="Times New Roman" w:hAnsi="Calibri" w:cs="Calibri"/>
                <w:color w:val="262626"/>
                <w:kern w:val="0"/>
                <w:sz w:val="20"/>
                <w:szCs w:val="20"/>
                <w:lang w:val="en-IN" w:eastAsia="en-IN"/>
                <w14:ligatures w14:val="none"/>
              </w:rPr>
            </w:pPr>
            <w:r w:rsidRPr="00EF35E7">
              <w:rPr>
                <w:rFonts w:ascii="Calibri" w:eastAsia="Times New Roman" w:hAnsi="Calibri" w:cs="Calibri"/>
                <w:color w:val="262626"/>
                <w:kern w:val="0"/>
                <w:sz w:val="20"/>
                <w:szCs w:val="20"/>
                <w:lang w:val="en-IN" w:eastAsia="en-IN"/>
                <w14:ligatures w14:val="none"/>
              </w:rPr>
              <w:t>For a family of 8</w:t>
            </w:r>
          </w:p>
        </w:tc>
        <w:tc>
          <w:tcPr>
            <w:tcW w:w="1553" w:type="dxa"/>
            <w:tcBorders>
              <w:top w:val="nil"/>
              <w:left w:val="nil"/>
              <w:bottom w:val="single" w:sz="4" w:space="0" w:color="auto"/>
              <w:right w:val="single" w:sz="4" w:space="0" w:color="auto"/>
            </w:tcBorders>
            <w:shd w:val="clear" w:color="auto" w:fill="auto"/>
            <w:vAlign w:val="center"/>
            <w:hideMark/>
          </w:tcPr>
          <w:p w14:paraId="79F008B8" w14:textId="77777777" w:rsidR="00EF35E7" w:rsidRPr="00EF35E7" w:rsidRDefault="00EF35E7" w:rsidP="00EF35E7">
            <w:pPr>
              <w:spacing w:after="0" w:line="240" w:lineRule="auto"/>
              <w:jc w:val="center"/>
              <w:rPr>
                <w:rFonts w:ascii="Calibri" w:eastAsia="Times New Roman" w:hAnsi="Calibri" w:cs="Calibri"/>
                <w:color w:val="262626"/>
                <w:kern w:val="0"/>
                <w:sz w:val="20"/>
                <w:szCs w:val="20"/>
                <w:lang w:val="en-IN" w:eastAsia="en-IN"/>
                <w14:ligatures w14:val="none"/>
              </w:rPr>
            </w:pPr>
            <w:r w:rsidRPr="00EF35E7">
              <w:rPr>
                <w:rFonts w:ascii="Calibri" w:eastAsia="Times New Roman" w:hAnsi="Calibri" w:cs="Calibri"/>
                <w:color w:val="262626"/>
                <w:kern w:val="0"/>
                <w:sz w:val="20"/>
                <w:szCs w:val="20"/>
                <w:lang w:val="en-IN" w:eastAsia="en-IN"/>
                <w14:ligatures w14:val="none"/>
              </w:rPr>
              <w:t xml:space="preserve">$52,720 </w:t>
            </w:r>
          </w:p>
        </w:tc>
        <w:tc>
          <w:tcPr>
            <w:tcW w:w="1260" w:type="dxa"/>
            <w:tcBorders>
              <w:top w:val="nil"/>
              <w:left w:val="nil"/>
              <w:bottom w:val="single" w:sz="4" w:space="0" w:color="auto"/>
              <w:right w:val="single" w:sz="4" w:space="0" w:color="auto"/>
            </w:tcBorders>
            <w:shd w:val="clear" w:color="auto" w:fill="auto"/>
            <w:noWrap/>
            <w:vAlign w:val="center"/>
            <w:hideMark/>
          </w:tcPr>
          <w:p w14:paraId="088B7162"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 xml:space="preserve">$369,040 </w:t>
            </w:r>
          </w:p>
        </w:tc>
        <w:tc>
          <w:tcPr>
            <w:tcW w:w="1710" w:type="dxa"/>
            <w:tcBorders>
              <w:top w:val="nil"/>
              <w:left w:val="nil"/>
              <w:bottom w:val="single" w:sz="4" w:space="0" w:color="auto"/>
              <w:right w:val="single" w:sz="4" w:space="0" w:color="auto"/>
            </w:tcBorders>
            <w:shd w:val="clear" w:color="auto" w:fill="auto"/>
            <w:noWrap/>
            <w:vAlign w:val="center"/>
            <w:hideMark/>
          </w:tcPr>
          <w:p w14:paraId="68897DDD"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2%</w:t>
            </w:r>
          </w:p>
        </w:tc>
        <w:tc>
          <w:tcPr>
            <w:tcW w:w="1350" w:type="dxa"/>
            <w:tcBorders>
              <w:top w:val="nil"/>
              <w:left w:val="nil"/>
              <w:bottom w:val="single" w:sz="4" w:space="0" w:color="auto"/>
              <w:right w:val="single" w:sz="4" w:space="0" w:color="auto"/>
            </w:tcBorders>
            <w:shd w:val="clear" w:color="auto" w:fill="auto"/>
            <w:noWrap/>
            <w:vAlign w:val="center"/>
            <w:hideMark/>
          </w:tcPr>
          <w:p w14:paraId="7DAE6923"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 xml:space="preserve">$158,160 </w:t>
            </w:r>
          </w:p>
        </w:tc>
        <w:tc>
          <w:tcPr>
            <w:tcW w:w="1645" w:type="dxa"/>
            <w:tcBorders>
              <w:top w:val="nil"/>
              <w:left w:val="nil"/>
              <w:bottom w:val="single" w:sz="4" w:space="0" w:color="auto"/>
              <w:right w:val="single" w:sz="4" w:space="0" w:color="auto"/>
            </w:tcBorders>
            <w:shd w:val="clear" w:color="auto" w:fill="auto"/>
            <w:noWrap/>
            <w:vAlign w:val="center"/>
            <w:hideMark/>
          </w:tcPr>
          <w:p w14:paraId="27046C76" w14:textId="77777777" w:rsidR="00EF35E7" w:rsidRPr="00EF35E7" w:rsidRDefault="00EF35E7" w:rsidP="00EF35E7">
            <w:pPr>
              <w:spacing w:after="0" w:line="240" w:lineRule="auto"/>
              <w:jc w:val="center"/>
              <w:rPr>
                <w:rFonts w:ascii="Calibri" w:eastAsia="Times New Roman" w:hAnsi="Calibri" w:cs="Calibri"/>
                <w:color w:val="000000"/>
                <w:kern w:val="0"/>
                <w:lang w:val="en-IN" w:eastAsia="en-IN"/>
                <w14:ligatures w14:val="none"/>
              </w:rPr>
            </w:pPr>
            <w:r w:rsidRPr="00EF35E7">
              <w:rPr>
                <w:rFonts w:ascii="Calibri" w:eastAsia="Times New Roman" w:hAnsi="Calibri" w:cs="Calibri"/>
                <w:color w:val="000000"/>
                <w:kern w:val="0"/>
                <w:lang w:val="en-IN" w:eastAsia="en-IN"/>
                <w14:ligatures w14:val="none"/>
              </w:rPr>
              <w:t>1%</w:t>
            </w:r>
          </w:p>
        </w:tc>
      </w:tr>
    </w:tbl>
    <w:p w14:paraId="4DA34037" w14:textId="1ABAE227" w:rsidR="00EF35E7" w:rsidRPr="00DF4CC3" w:rsidRDefault="00EF35E7" w:rsidP="00EF35E7">
      <w:pPr>
        <w:rPr>
          <w:rFonts w:cstheme="minorHAnsi"/>
          <w:sz w:val="20"/>
          <w:szCs w:val="20"/>
        </w:rPr>
      </w:pPr>
      <w:r>
        <w:rPr>
          <w:rFonts w:cstheme="minorHAnsi"/>
          <w:color w:val="808080" w:themeColor="background1" w:themeShade="80"/>
          <w:sz w:val="20"/>
          <w:szCs w:val="20"/>
        </w:rPr>
        <w:t>Table 2</w:t>
      </w:r>
      <w:r w:rsidRPr="00DF4CC3">
        <w:rPr>
          <w:rFonts w:cstheme="minorHAnsi"/>
          <w:color w:val="808080" w:themeColor="background1" w:themeShade="80"/>
          <w:sz w:val="20"/>
          <w:szCs w:val="20"/>
        </w:rPr>
        <w:t xml:space="preserve"> </w:t>
      </w:r>
      <w:r>
        <w:rPr>
          <w:rFonts w:cstheme="minorHAnsi"/>
          <w:color w:val="808080" w:themeColor="background1" w:themeShade="80"/>
          <w:sz w:val="20"/>
          <w:szCs w:val="20"/>
        </w:rPr>
        <w:t>– Tax benefit as proportion of income. Higher incomes (700% FPL) might be getting higher absolute benefits and higher proportional benefits (benefit/income) if ‘cleaner’ technology is more expensive.</w:t>
      </w:r>
    </w:p>
    <w:p w14:paraId="430B7C3A" w14:textId="56669869" w:rsidR="00EF35E7" w:rsidRPr="005E44CE" w:rsidRDefault="00EF35E7" w:rsidP="00884124">
      <w:pPr>
        <w:spacing w:before="240"/>
        <w:rPr>
          <w:sz w:val="24"/>
          <w:szCs w:val="24"/>
        </w:rPr>
      </w:pPr>
      <w:r>
        <w:rPr>
          <w:sz w:val="24"/>
          <w:szCs w:val="24"/>
        </w:rPr>
        <w:t>This ‘unfairness’ built in the program would be avoided if ‘clean’ technology doesn’t come with a premium. Policies to incentivize research and development in this space can change this.</w:t>
      </w:r>
    </w:p>
    <w:p w14:paraId="16B1D4F6" w14:textId="513C914C" w:rsidR="00C042A9" w:rsidRDefault="00C042A9" w:rsidP="00594317">
      <w:pPr>
        <w:spacing w:before="120"/>
        <w:rPr>
          <w:sz w:val="24"/>
          <w:szCs w:val="24"/>
          <w:u w:val="single"/>
        </w:rPr>
      </w:pPr>
      <w:r>
        <w:rPr>
          <w:sz w:val="24"/>
          <w:szCs w:val="24"/>
          <w:u w:val="single"/>
        </w:rPr>
        <w:t>Conclusion</w:t>
      </w:r>
    </w:p>
    <w:p w14:paraId="31F7554C" w14:textId="707B5C1F" w:rsidR="006B5FB2" w:rsidRDefault="009A015E" w:rsidP="00935B18">
      <w:pPr>
        <w:rPr>
          <w:sz w:val="24"/>
          <w:szCs w:val="24"/>
        </w:rPr>
      </w:pPr>
      <w:r>
        <w:rPr>
          <w:sz w:val="24"/>
          <w:szCs w:val="24"/>
        </w:rPr>
        <w:t xml:space="preserve">The memorandum considers three policies that address different factors contributing to high automobile gasoline use in the state. Strengthening the public transit system can </w:t>
      </w:r>
      <w:r w:rsidR="00845010">
        <w:rPr>
          <w:sz w:val="24"/>
          <w:szCs w:val="24"/>
        </w:rPr>
        <w:t>reduce the number of vehicles on the roads. By discouraging the use of old vehicle, and encouraging the purchase of ‘greener’ alternatives, the programs aim to reduce the emissions and incentivize the shift to cleaner fuels for both user</w:t>
      </w:r>
      <w:r w:rsidR="00F4591A">
        <w:rPr>
          <w:sz w:val="24"/>
          <w:szCs w:val="24"/>
        </w:rPr>
        <w:t>s</w:t>
      </w:r>
      <w:r w:rsidR="00845010">
        <w:rPr>
          <w:sz w:val="24"/>
          <w:szCs w:val="24"/>
        </w:rPr>
        <w:t xml:space="preserve"> and manufacturers.</w:t>
      </w:r>
    </w:p>
    <w:p w14:paraId="1065028D" w14:textId="77777777" w:rsidR="00AF0F05" w:rsidRDefault="00AF0F05" w:rsidP="00935B18">
      <w:pPr>
        <w:rPr>
          <w:sz w:val="24"/>
          <w:szCs w:val="24"/>
        </w:rPr>
      </w:pPr>
    </w:p>
    <w:p w14:paraId="68436B54" w14:textId="77777777" w:rsidR="00FB7FEB" w:rsidRDefault="00FB7FEB" w:rsidP="00935B18">
      <w:pPr>
        <w:rPr>
          <w:sz w:val="24"/>
          <w:szCs w:val="24"/>
        </w:rPr>
      </w:pPr>
    </w:p>
    <w:p w14:paraId="36D40EF5" w14:textId="77777777" w:rsidR="00FB7FEB" w:rsidRPr="001055A7" w:rsidRDefault="00FB7FEB" w:rsidP="00935B18">
      <w:pPr>
        <w:rPr>
          <w:sz w:val="24"/>
          <w:szCs w:val="24"/>
        </w:rPr>
      </w:pPr>
    </w:p>
    <w:p w14:paraId="37242FD3" w14:textId="77BA6BDF" w:rsidR="001055A7" w:rsidRPr="001055A7" w:rsidRDefault="00E9138F" w:rsidP="00935B18">
      <w:pPr>
        <w:rPr>
          <w:i/>
          <w:iCs/>
        </w:rPr>
      </w:pPr>
      <w:r>
        <w:rPr>
          <w:i/>
          <w:iCs/>
        </w:rPr>
        <w:t>References</w:t>
      </w:r>
    </w:p>
    <w:p w14:paraId="65D56246" w14:textId="0B90F0B9" w:rsidR="00EF5D36" w:rsidRPr="00EF5D36" w:rsidRDefault="00EF5D36" w:rsidP="001055A7">
      <w:pPr>
        <w:pStyle w:val="ListParagraph"/>
        <w:numPr>
          <w:ilvl w:val="0"/>
          <w:numId w:val="15"/>
        </w:numPr>
        <w:rPr>
          <w:i/>
          <w:iCs/>
        </w:rPr>
      </w:pPr>
      <w:r>
        <w:rPr>
          <w:i/>
          <w:iCs/>
        </w:rPr>
        <w:t>Policy Analysis in Practice - Assignment 1</w:t>
      </w:r>
    </w:p>
    <w:p w14:paraId="3F74922D" w14:textId="6260B283" w:rsidR="00302CE1" w:rsidRPr="00302CE1" w:rsidRDefault="00302CE1" w:rsidP="00302CE1">
      <w:pPr>
        <w:pStyle w:val="ListParagraph"/>
        <w:numPr>
          <w:ilvl w:val="0"/>
          <w:numId w:val="15"/>
        </w:numPr>
        <w:rPr>
          <w:i/>
          <w:iCs/>
        </w:rPr>
      </w:pPr>
      <w:r w:rsidRPr="00302CE1">
        <w:rPr>
          <w:i/>
          <w:iCs/>
        </w:rPr>
        <w:t xml:space="preserve">https://www.ecolane.com/blog/5-ways-rural-transit-differs-from-urban-transit </w:t>
      </w:r>
    </w:p>
    <w:p w14:paraId="6840E90B" w14:textId="74372BBD" w:rsidR="00570C01" w:rsidRDefault="00000000" w:rsidP="001055A7">
      <w:pPr>
        <w:pStyle w:val="ListParagraph"/>
        <w:numPr>
          <w:ilvl w:val="0"/>
          <w:numId w:val="15"/>
        </w:numPr>
        <w:rPr>
          <w:i/>
          <w:iCs/>
        </w:rPr>
      </w:pPr>
      <w:hyperlink r:id="rId8" w:history="1">
        <w:r w:rsidR="00D70F3E" w:rsidRPr="004A2334">
          <w:rPr>
            <w:rStyle w:val="Hyperlink"/>
            <w:i/>
            <w:iCs/>
          </w:rPr>
          <w:t>https://yaleclimateconnections.org/2023/10/american-society-wasnt-always-so-car-centric-our-future-doesnt-have-to-be-either/</w:t>
        </w:r>
      </w:hyperlink>
    </w:p>
    <w:p w14:paraId="406106B9" w14:textId="74B7D278" w:rsidR="00D70F3E" w:rsidRDefault="00000000" w:rsidP="001055A7">
      <w:pPr>
        <w:pStyle w:val="ListParagraph"/>
        <w:numPr>
          <w:ilvl w:val="0"/>
          <w:numId w:val="15"/>
        </w:numPr>
        <w:rPr>
          <w:i/>
          <w:iCs/>
        </w:rPr>
      </w:pPr>
      <w:hyperlink r:id="rId9" w:history="1">
        <w:r w:rsidR="00E56893" w:rsidRPr="004A2334">
          <w:rPr>
            <w:rStyle w:val="Hyperlink"/>
            <w:i/>
            <w:iCs/>
          </w:rPr>
          <w:t>https://www.vox.com/22662963/end-driving-obsession-connectivity-zoning-parking</w:t>
        </w:r>
      </w:hyperlink>
    </w:p>
    <w:p w14:paraId="6102850A" w14:textId="36C1192D" w:rsidR="00E56893" w:rsidRDefault="00000000" w:rsidP="001055A7">
      <w:pPr>
        <w:pStyle w:val="ListParagraph"/>
        <w:numPr>
          <w:ilvl w:val="0"/>
          <w:numId w:val="15"/>
        </w:numPr>
        <w:rPr>
          <w:i/>
          <w:iCs/>
        </w:rPr>
      </w:pPr>
      <w:hyperlink r:id="rId10" w:history="1">
        <w:r w:rsidR="00E7428B" w:rsidRPr="004A2334">
          <w:rPr>
            <w:rStyle w:val="Hyperlink"/>
            <w:i/>
            <w:iCs/>
          </w:rPr>
          <w:t>https://www.progressive.com/answers/used-car-mileage/</w:t>
        </w:r>
      </w:hyperlink>
    </w:p>
    <w:p w14:paraId="70164B8B" w14:textId="77777777" w:rsidR="00EF5D36" w:rsidRDefault="00000000" w:rsidP="00EF5D36">
      <w:pPr>
        <w:pStyle w:val="ListParagraph"/>
        <w:numPr>
          <w:ilvl w:val="0"/>
          <w:numId w:val="15"/>
        </w:numPr>
        <w:rPr>
          <w:i/>
          <w:iCs/>
        </w:rPr>
      </w:pPr>
      <w:hyperlink r:id="rId11" w:history="1">
        <w:r w:rsidR="00EF5D36" w:rsidRPr="00980DB0">
          <w:rPr>
            <w:rStyle w:val="Hyperlink"/>
            <w:i/>
            <w:iCs/>
          </w:rPr>
          <w:t>https://www.ncbi.nlm.nih.gov/pmc/articles/PMC4086228/</w:t>
        </w:r>
      </w:hyperlink>
    </w:p>
    <w:p w14:paraId="2724BB52" w14:textId="32AD444D" w:rsidR="00E7428B" w:rsidRDefault="00000000" w:rsidP="001055A7">
      <w:pPr>
        <w:pStyle w:val="ListParagraph"/>
        <w:numPr>
          <w:ilvl w:val="0"/>
          <w:numId w:val="15"/>
        </w:numPr>
        <w:rPr>
          <w:i/>
          <w:iCs/>
        </w:rPr>
      </w:pPr>
      <w:hyperlink r:id="rId12" w:history="1">
        <w:r w:rsidR="00302CE1" w:rsidRPr="004A2334">
          <w:rPr>
            <w:rStyle w:val="Hyperlink"/>
            <w:i/>
            <w:iCs/>
          </w:rPr>
          <w:t>https://afdc.energy.gov/files/u/publication/10_G00888_savings_WEB.pdf</w:t>
        </w:r>
      </w:hyperlink>
    </w:p>
    <w:p w14:paraId="00CD9133" w14:textId="02EE5B54" w:rsidR="00302CE1" w:rsidRDefault="00000000" w:rsidP="001055A7">
      <w:pPr>
        <w:pStyle w:val="ListParagraph"/>
        <w:numPr>
          <w:ilvl w:val="0"/>
          <w:numId w:val="15"/>
        </w:numPr>
        <w:rPr>
          <w:i/>
          <w:iCs/>
        </w:rPr>
      </w:pPr>
      <w:hyperlink r:id="rId13" w:anchor=":~:text=The%20Inflation%20Reduction%20Act%20(IRA,associated%20equipment%20such%20as%20chargers" w:history="1">
        <w:r w:rsidR="00013F6A" w:rsidRPr="006577FD">
          <w:rPr>
            <w:rStyle w:val="Hyperlink"/>
            <w:i/>
            <w:iCs/>
          </w:rPr>
          <w:t>https://www.energy.gov/energysaver/new-and-used-clean-vehicle-tax-credits#:~:text=The%20Inflation%20Reduction%20Act%20(IRA,associated%20equipment%20such%20as%20chargers</w:t>
        </w:r>
      </w:hyperlink>
      <w:r w:rsidR="00013F6A" w:rsidRPr="00013F6A">
        <w:rPr>
          <w:i/>
          <w:iCs/>
        </w:rPr>
        <w:t>.</w:t>
      </w:r>
    </w:p>
    <w:p w14:paraId="5A4F0454" w14:textId="77777777" w:rsidR="00013F6A" w:rsidRPr="001055A7" w:rsidRDefault="00013F6A" w:rsidP="00C042A9">
      <w:pPr>
        <w:pStyle w:val="ListParagraph"/>
        <w:rPr>
          <w:i/>
          <w:iCs/>
        </w:rPr>
      </w:pPr>
    </w:p>
    <w:p w14:paraId="585CC912" w14:textId="77777777" w:rsidR="00104072" w:rsidRPr="00104072" w:rsidRDefault="00104072" w:rsidP="00104072">
      <w:pPr>
        <w:rPr>
          <w:sz w:val="24"/>
          <w:szCs w:val="24"/>
        </w:rPr>
      </w:pPr>
    </w:p>
    <w:sectPr w:rsidR="00104072" w:rsidRPr="00104072">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6CC11" w14:textId="77777777" w:rsidR="00E23F6F" w:rsidRDefault="00E23F6F" w:rsidP="00444A56">
      <w:pPr>
        <w:spacing w:after="0" w:line="240" w:lineRule="auto"/>
      </w:pPr>
      <w:r>
        <w:separator/>
      </w:r>
    </w:p>
  </w:endnote>
  <w:endnote w:type="continuationSeparator" w:id="0">
    <w:p w14:paraId="503025A4" w14:textId="77777777" w:rsidR="00E23F6F" w:rsidRDefault="00E23F6F" w:rsidP="00444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E5D86A" w14:textId="77777777" w:rsidR="00E23F6F" w:rsidRDefault="00E23F6F" w:rsidP="00444A56">
      <w:pPr>
        <w:spacing w:after="0" w:line="240" w:lineRule="auto"/>
      </w:pPr>
      <w:r>
        <w:separator/>
      </w:r>
    </w:p>
  </w:footnote>
  <w:footnote w:type="continuationSeparator" w:id="0">
    <w:p w14:paraId="196C5FFB" w14:textId="77777777" w:rsidR="00E23F6F" w:rsidRDefault="00E23F6F" w:rsidP="00444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BCF4C" w14:textId="76C8D88A" w:rsidR="00444A56" w:rsidRDefault="00444A56">
    <w:pPr>
      <w:spacing w:line="264" w:lineRule="auto"/>
    </w:pPr>
    <w:r>
      <w:rPr>
        <w:noProof/>
        <w:color w:val="000000"/>
      </w:rPr>
      <mc:AlternateContent>
        <mc:Choice Requires="wps">
          <w:drawing>
            <wp:anchor distT="0" distB="0" distL="114300" distR="114300" simplePos="0" relativeHeight="251659264" behindDoc="0" locked="0" layoutInCell="1" allowOverlap="1" wp14:anchorId="64EC5FE3" wp14:editId="5B277A07">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F09522"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920C17587C064EAEA3377746E66FA17D"/>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MEMORANDUM</w:t>
        </w:r>
      </w:sdtContent>
    </w:sdt>
  </w:p>
  <w:p w14:paraId="0339D974" w14:textId="77777777" w:rsidR="00444A56" w:rsidRDefault="00444A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5894"/>
    <w:multiLevelType w:val="hybridMultilevel"/>
    <w:tmpl w:val="AE3244BE"/>
    <w:lvl w:ilvl="0" w:tplc="088A01F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1C11B7"/>
    <w:multiLevelType w:val="hybridMultilevel"/>
    <w:tmpl w:val="2E68CE76"/>
    <w:lvl w:ilvl="0" w:tplc="B36CAD48">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9125A7"/>
    <w:multiLevelType w:val="hybridMultilevel"/>
    <w:tmpl w:val="B5A8A692"/>
    <w:lvl w:ilvl="0" w:tplc="E7AC3D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CB33094"/>
    <w:multiLevelType w:val="hybridMultilevel"/>
    <w:tmpl w:val="3C40AFA8"/>
    <w:lvl w:ilvl="0" w:tplc="BA4443B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320BB7"/>
    <w:multiLevelType w:val="hybridMultilevel"/>
    <w:tmpl w:val="A3CC496A"/>
    <w:lvl w:ilvl="0" w:tplc="20F4785A">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512F2F"/>
    <w:multiLevelType w:val="hybridMultilevel"/>
    <w:tmpl w:val="C4B6F694"/>
    <w:lvl w:ilvl="0" w:tplc="0C8006C2">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F806CA1"/>
    <w:multiLevelType w:val="hybridMultilevel"/>
    <w:tmpl w:val="5CD020A6"/>
    <w:lvl w:ilvl="0" w:tplc="D3E0D3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9A7BA9"/>
    <w:multiLevelType w:val="hybridMultilevel"/>
    <w:tmpl w:val="9042D9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85702B"/>
    <w:multiLevelType w:val="hybridMultilevel"/>
    <w:tmpl w:val="BA1AE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3F5810"/>
    <w:multiLevelType w:val="hybridMultilevel"/>
    <w:tmpl w:val="C7080A5E"/>
    <w:lvl w:ilvl="0" w:tplc="21DC6BEC">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A5615E"/>
    <w:multiLevelType w:val="hybridMultilevel"/>
    <w:tmpl w:val="E254314C"/>
    <w:lvl w:ilvl="0" w:tplc="B540ECB0">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9B74E9"/>
    <w:multiLevelType w:val="multilevel"/>
    <w:tmpl w:val="AD62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AD4252"/>
    <w:multiLevelType w:val="hybridMultilevel"/>
    <w:tmpl w:val="C088C040"/>
    <w:lvl w:ilvl="0" w:tplc="4DDC67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3D283D"/>
    <w:multiLevelType w:val="hybridMultilevel"/>
    <w:tmpl w:val="99CE0CAE"/>
    <w:lvl w:ilvl="0" w:tplc="9C5CFD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4F409E4"/>
    <w:multiLevelType w:val="hybridMultilevel"/>
    <w:tmpl w:val="3418D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3271CA"/>
    <w:multiLevelType w:val="hybridMultilevel"/>
    <w:tmpl w:val="332EE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5F665A"/>
    <w:multiLevelType w:val="hybridMultilevel"/>
    <w:tmpl w:val="066A8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2065056">
    <w:abstractNumId w:val="12"/>
  </w:num>
  <w:num w:numId="2" w16cid:durableId="1206484452">
    <w:abstractNumId w:val="2"/>
  </w:num>
  <w:num w:numId="3" w16cid:durableId="1498425102">
    <w:abstractNumId w:val="5"/>
  </w:num>
  <w:num w:numId="4" w16cid:durableId="1539275125">
    <w:abstractNumId w:val="10"/>
  </w:num>
  <w:num w:numId="5" w16cid:durableId="33434830">
    <w:abstractNumId w:val="15"/>
  </w:num>
  <w:num w:numId="6" w16cid:durableId="902641312">
    <w:abstractNumId w:val="8"/>
  </w:num>
  <w:num w:numId="7" w16cid:durableId="151216054">
    <w:abstractNumId w:val="9"/>
  </w:num>
  <w:num w:numId="8" w16cid:durableId="2020623275">
    <w:abstractNumId w:val="7"/>
  </w:num>
  <w:num w:numId="9" w16cid:durableId="1299532664">
    <w:abstractNumId w:val="11"/>
  </w:num>
  <w:num w:numId="10" w16cid:durableId="2097095885">
    <w:abstractNumId w:val="0"/>
  </w:num>
  <w:num w:numId="11" w16cid:durableId="1406881425">
    <w:abstractNumId w:val="1"/>
  </w:num>
  <w:num w:numId="12" w16cid:durableId="639386974">
    <w:abstractNumId w:val="6"/>
  </w:num>
  <w:num w:numId="13" w16cid:durableId="1807114558">
    <w:abstractNumId w:val="3"/>
  </w:num>
  <w:num w:numId="14" w16cid:durableId="229074178">
    <w:abstractNumId w:val="13"/>
  </w:num>
  <w:num w:numId="15" w16cid:durableId="1707606832">
    <w:abstractNumId w:val="16"/>
  </w:num>
  <w:num w:numId="16" w16cid:durableId="339967101">
    <w:abstractNumId w:val="14"/>
  </w:num>
  <w:num w:numId="17" w16cid:durableId="1306929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73"/>
    <w:rsid w:val="000047D5"/>
    <w:rsid w:val="0000596E"/>
    <w:rsid w:val="00013F6A"/>
    <w:rsid w:val="000147F2"/>
    <w:rsid w:val="00017A67"/>
    <w:rsid w:val="00031323"/>
    <w:rsid w:val="00034966"/>
    <w:rsid w:val="00042617"/>
    <w:rsid w:val="00043B8E"/>
    <w:rsid w:val="00044481"/>
    <w:rsid w:val="00083603"/>
    <w:rsid w:val="00091487"/>
    <w:rsid w:val="000945CB"/>
    <w:rsid w:val="0009779A"/>
    <w:rsid w:val="000B5DE9"/>
    <w:rsid w:val="000B76D1"/>
    <w:rsid w:val="000D347D"/>
    <w:rsid w:val="000E1D3F"/>
    <w:rsid w:val="000F3E8F"/>
    <w:rsid w:val="00104072"/>
    <w:rsid w:val="001055A7"/>
    <w:rsid w:val="00122DF0"/>
    <w:rsid w:val="00124BCF"/>
    <w:rsid w:val="0014044D"/>
    <w:rsid w:val="00150A93"/>
    <w:rsid w:val="00166AFA"/>
    <w:rsid w:val="00172EB0"/>
    <w:rsid w:val="00175129"/>
    <w:rsid w:val="0017779D"/>
    <w:rsid w:val="00191894"/>
    <w:rsid w:val="001A2DEA"/>
    <w:rsid w:val="001A3302"/>
    <w:rsid w:val="001B77D3"/>
    <w:rsid w:val="001C0F46"/>
    <w:rsid w:val="001C28CE"/>
    <w:rsid w:val="001E78F7"/>
    <w:rsid w:val="00203ED6"/>
    <w:rsid w:val="002137E6"/>
    <w:rsid w:val="00216C9E"/>
    <w:rsid w:val="00217080"/>
    <w:rsid w:val="002367BC"/>
    <w:rsid w:val="00237330"/>
    <w:rsid w:val="0024174E"/>
    <w:rsid w:val="00242483"/>
    <w:rsid w:val="00246F4A"/>
    <w:rsid w:val="00267825"/>
    <w:rsid w:val="0028088A"/>
    <w:rsid w:val="00281AAD"/>
    <w:rsid w:val="002A06AD"/>
    <w:rsid w:val="002A0D53"/>
    <w:rsid w:val="002A293F"/>
    <w:rsid w:val="002F0DD5"/>
    <w:rsid w:val="00302CE1"/>
    <w:rsid w:val="0030741A"/>
    <w:rsid w:val="003206F3"/>
    <w:rsid w:val="00321E6B"/>
    <w:rsid w:val="00324A7F"/>
    <w:rsid w:val="00331960"/>
    <w:rsid w:val="00350689"/>
    <w:rsid w:val="00352B92"/>
    <w:rsid w:val="003550CF"/>
    <w:rsid w:val="00361450"/>
    <w:rsid w:val="00365F7B"/>
    <w:rsid w:val="003A285F"/>
    <w:rsid w:val="003B5A1C"/>
    <w:rsid w:val="003C08C5"/>
    <w:rsid w:val="003C1053"/>
    <w:rsid w:val="003E4DDD"/>
    <w:rsid w:val="003E62E3"/>
    <w:rsid w:val="003F0E0B"/>
    <w:rsid w:val="003F1887"/>
    <w:rsid w:val="0040193D"/>
    <w:rsid w:val="00431421"/>
    <w:rsid w:val="00436437"/>
    <w:rsid w:val="00444A56"/>
    <w:rsid w:val="004548EC"/>
    <w:rsid w:val="00472C27"/>
    <w:rsid w:val="004730A5"/>
    <w:rsid w:val="00475633"/>
    <w:rsid w:val="00476A5F"/>
    <w:rsid w:val="00477875"/>
    <w:rsid w:val="00483273"/>
    <w:rsid w:val="00486A68"/>
    <w:rsid w:val="00487D9C"/>
    <w:rsid w:val="004910B7"/>
    <w:rsid w:val="00496FEB"/>
    <w:rsid w:val="004A1032"/>
    <w:rsid w:val="004A4C54"/>
    <w:rsid w:val="004C08C2"/>
    <w:rsid w:val="004D2968"/>
    <w:rsid w:val="004D3D27"/>
    <w:rsid w:val="004D6B49"/>
    <w:rsid w:val="004E3672"/>
    <w:rsid w:val="005002EA"/>
    <w:rsid w:val="005023E7"/>
    <w:rsid w:val="00505B4B"/>
    <w:rsid w:val="00513894"/>
    <w:rsid w:val="00537F82"/>
    <w:rsid w:val="00550215"/>
    <w:rsid w:val="00561C0F"/>
    <w:rsid w:val="0056439C"/>
    <w:rsid w:val="00570AFE"/>
    <w:rsid w:val="00570C01"/>
    <w:rsid w:val="00570C6F"/>
    <w:rsid w:val="00584B2D"/>
    <w:rsid w:val="00594317"/>
    <w:rsid w:val="0059501B"/>
    <w:rsid w:val="005A3758"/>
    <w:rsid w:val="005B42F6"/>
    <w:rsid w:val="005C1C4B"/>
    <w:rsid w:val="005C7611"/>
    <w:rsid w:val="005C7F08"/>
    <w:rsid w:val="005E1664"/>
    <w:rsid w:val="005E44CE"/>
    <w:rsid w:val="005F0699"/>
    <w:rsid w:val="005F1236"/>
    <w:rsid w:val="00621507"/>
    <w:rsid w:val="00623510"/>
    <w:rsid w:val="00630EC4"/>
    <w:rsid w:val="00631BF4"/>
    <w:rsid w:val="00636D38"/>
    <w:rsid w:val="00637611"/>
    <w:rsid w:val="006712A1"/>
    <w:rsid w:val="00672AAA"/>
    <w:rsid w:val="006824CC"/>
    <w:rsid w:val="006837CA"/>
    <w:rsid w:val="006A0FBA"/>
    <w:rsid w:val="006A4481"/>
    <w:rsid w:val="006B2086"/>
    <w:rsid w:val="006B5FB2"/>
    <w:rsid w:val="006B798E"/>
    <w:rsid w:val="006C26F8"/>
    <w:rsid w:val="006F760B"/>
    <w:rsid w:val="00706ED8"/>
    <w:rsid w:val="00707320"/>
    <w:rsid w:val="00712C55"/>
    <w:rsid w:val="00720787"/>
    <w:rsid w:val="0072093C"/>
    <w:rsid w:val="00727F66"/>
    <w:rsid w:val="007305AA"/>
    <w:rsid w:val="00762345"/>
    <w:rsid w:val="007823C7"/>
    <w:rsid w:val="00793FF0"/>
    <w:rsid w:val="00795FA7"/>
    <w:rsid w:val="007A08E8"/>
    <w:rsid w:val="007A0935"/>
    <w:rsid w:val="007A0F33"/>
    <w:rsid w:val="007C35A5"/>
    <w:rsid w:val="007D0100"/>
    <w:rsid w:val="007D5439"/>
    <w:rsid w:val="007E6433"/>
    <w:rsid w:val="00803AED"/>
    <w:rsid w:val="008075B5"/>
    <w:rsid w:val="00810257"/>
    <w:rsid w:val="0081272E"/>
    <w:rsid w:val="00813C3E"/>
    <w:rsid w:val="00831BC1"/>
    <w:rsid w:val="008372BA"/>
    <w:rsid w:val="00845010"/>
    <w:rsid w:val="00846B17"/>
    <w:rsid w:val="00851212"/>
    <w:rsid w:val="008564AC"/>
    <w:rsid w:val="0086114E"/>
    <w:rsid w:val="00870CAE"/>
    <w:rsid w:val="00881B19"/>
    <w:rsid w:val="00882719"/>
    <w:rsid w:val="00884124"/>
    <w:rsid w:val="008A217A"/>
    <w:rsid w:val="008A2E23"/>
    <w:rsid w:val="008A6113"/>
    <w:rsid w:val="008C000D"/>
    <w:rsid w:val="008C0B5F"/>
    <w:rsid w:val="008C3B63"/>
    <w:rsid w:val="008D3B5C"/>
    <w:rsid w:val="008E4796"/>
    <w:rsid w:val="00905D95"/>
    <w:rsid w:val="00917F5B"/>
    <w:rsid w:val="00935B18"/>
    <w:rsid w:val="00943D74"/>
    <w:rsid w:val="00943E90"/>
    <w:rsid w:val="00952CF5"/>
    <w:rsid w:val="00954F27"/>
    <w:rsid w:val="009655A1"/>
    <w:rsid w:val="0097308C"/>
    <w:rsid w:val="00987014"/>
    <w:rsid w:val="009A015E"/>
    <w:rsid w:val="009A2BC9"/>
    <w:rsid w:val="009A75C1"/>
    <w:rsid w:val="009B236E"/>
    <w:rsid w:val="009C7737"/>
    <w:rsid w:val="009E4BDC"/>
    <w:rsid w:val="00A05957"/>
    <w:rsid w:val="00A12C7C"/>
    <w:rsid w:val="00A152C3"/>
    <w:rsid w:val="00A3023E"/>
    <w:rsid w:val="00A30A85"/>
    <w:rsid w:val="00A37871"/>
    <w:rsid w:val="00A40A14"/>
    <w:rsid w:val="00A60512"/>
    <w:rsid w:val="00A60536"/>
    <w:rsid w:val="00A71C4F"/>
    <w:rsid w:val="00A801F1"/>
    <w:rsid w:val="00A81295"/>
    <w:rsid w:val="00A85587"/>
    <w:rsid w:val="00A865CD"/>
    <w:rsid w:val="00A933E3"/>
    <w:rsid w:val="00AF041F"/>
    <w:rsid w:val="00AF0F05"/>
    <w:rsid w:val="00B05AC7"/>
    <w:rsid w:val="00B07598"/>
    <w:rsid w:val="00B1049B"/>
    <w:rsid w:val="00B13F29"/>
    <w:rsid w:val="00B23CCB"/>
    <w:rsid w:val="00B25137"/>
    <w:rsid w:val="00B45B20"/>
    <w:rsid w:val="00B536BE"/>
    <w:rsid w:val="00B56336"/>
    <w:rsid w:val="00B61A82"/>
    <w:rsid w:val="00B7099B"/>
    <w:rsid w:val="00B72BBA"/>
    <w:rsid w:val="00B80BCB"/>
    <w:rsid w:val="00B84B88"/>
    <w:rsid w:val="00B93DC4"/>
    <w:rsid w:val="00BA0ABC"/>
    <w:rsid w:val="00BA1129"/>
    <w:rsid w:val="00BA216E"/>
    <w:rsid w:val="00BB4FB0"/>
    <w:rsid w:val="00BC6713"/>
    <w:rsid w:val="00BD05E8"/>
    <w:rsid w:val="00BE142E"/>
    <w:rsid w:val="00C042A9"/>
    <w:rsid w:val="00C17AEA"/>
    <w:rsid w:val="00C26DE5"/>
    <w:rsid w:val="00C37134"/>
    <w:rsid w:val="00C41915"/>
    <w:rsid w:val="00C41F87"/>
    <w:rsid w:val="00C51AE8"/>
    <w:rsid w:val="00C5770B"/>
    <w:rsid w:val="00C6492B"/>
    <w:rsid w:val="00C70692"/>
    <w:rsid w:val="00C763FB"/>
    <w:rsid w:val="00CA4F48"/>
    <w:rsid w:val="00CA5542"/>
    <w:rsid w:val="00CB009A"/>
    <w:rsid w:val="00CB552B"/>
    <w:rsid w:val="00CB6B24"/>
    <w:rsid w:val="00CC4F83"/>
    <w:rsid w:val="00CD005E"/>
    <w:rsid w:val="00CD2C2C"/>
    <w:rsid w:val="00CD2E23"/>
    <w:rsid w:val="00CD35FE"/>
    <w:rsid w:val="00CE0914"/>
    <w:rsid w:val="00CE2D3B"/>
    <w:rsid w:val="00CE2EAF"/>
    <w:rsid w:val="00CE3331"/>
    <w:rsid w:val="00CE6D1D"/>
    <w:rsid w:val="00CF139F"/>
    <w:rsid w:val="00CF30FF"/>
    <w:rsid w:val="00D00734"/>
    <w:rsid w:val="00D16CF9"/>
    <w:rsid w:val="00D303C7"/>
    <w:rsid w:val="00D35E5B"/>
    <w:rsid w:val="00D46CDB"/>
    <w:rsid w:val="00D52049"/>
    <w:rsid w:val="00D546A8"/>
    <w:rsid w:val="00D62672"/>
    <w:rsid w:val="00D70F3E"/>
    <w:rsid w:val="00D751B1"/>
    <w:rsid w:val="00D76C5A"/>
    <w:rsid w:val="00D87A27"/>
    <w:rsid w:val="00D91A7D"/>
    <w:rsid w:val="00DA7BCC"/>
    <w:rsid w:val="00DC21DB"/>
    <w:rsid w:val="00DD3308"/>
    <w:rsid w:val="00DD5847"/>
    <w:rsid w:val="00DE1E01"/>
    <w:rsid w:val="00DF0989"/>
    <w:rsid w:val="00DF42BF"/>
    <w:rsid w:val="00DF4CC3"/>
    <w:rsid w:val="00DF72B7"/>
    <w:rsid w:val="00E10C74"/>
    <w:rsid w:val="00E17CB3"/>
    <w:rsid w:val="00E2051A"/>
    <w:rsid w:val="00E23F6F"/>
    <w:rsid w:val="00E2552B"/>
    <w:rsid w:val="00E30C6A"/>
    <w:rsid w:val="00E320F3"/>
    <w:rsid w:val="00E33F5E"/>
    <w:rsid w:val="00E402A1"/>
    <w:rsid w:val="00E42B87"/>
    <w:rsid w:val="00E45664"/>
    <w:rsid w:val="00E47E38"/>
    <w:rsid w:val="00E513B3"/>
    <w:rsid w:val="00E56893"/>
    <w:rsid w:val="00E7428B"/>
    <w:rsid w:val="00E747AB"/>
    <w:rsid w:val="00E81428"/>
    <w:rsid w:val="00E87E2C"/>
    <w:rsid w:val="00E9138F"/>
    <w:rsid w:val="00EA05EE"/>
    <w:rsid w:val="00EA1EAC"/>
    <w:rsid w:val="00EA3FB6"/>
    <w:rsid w:val="00EB04E6"/>
    <w:rsid w:val="00EB3AA5"/>
    <w:rsid w:val="00EC46C3"/>
    <w:rsid w:val="00EC7460"/>
    <w:rsid w:val="00ED2281"/>
    <w:rsid w:val="00ED3645"/>
    <w:rsid w:val="00EF35E7"/>
    <w:rsid w:val="00EF3978"/>
    <w:rsid w:val="00EF5D36"/>
    <w:rsid w:val="00EF67E9"/>
    <w:rsid w:val="00F05D2E"/>
    <w:rsid w:val="00F16B04"/>
    <w:rsid w:val="00F327E2"/>
    <w:rsid w:val="00F4591A"/>
    <w:rsid w:val="00F50F4B"/>
    <w:rsid w:val="00F6473B"/>
    <w:rsid w:val="00F66A4B"/>
    <w:rsid w:val="00F81ED9"/>
    <w:rsid w:val="00F85D17"/>
    <w:rsid w:val="00FA382F"/>
    <w:rsid w:val="00FA48C5"/>
    <w:rsid w:val="00FB7FEB"/>
    <w:rsid w:val="00FC075C"/>
    <w:rsid w:val="00FC1813"/>
    <w:rsid w:val="00FD332E"/>
    <w:rsid w:val="00FF425B"/>
    <w:rsid w:val="00FF6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34DB"/>
  <w15:chartTrackingRefBased/>
  <w15:docId w15:val="{88F7A52B-630B-45C5-97D7-460B85E1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137"/>
    <w:pPr>
      <w:ind w:left="720"/>
      <w:contextualSpacing/>
    </w:pPr>
  </w:style>
  <w:style w:type="character" w:styleId="Hyperlink">
    <w:name w:val="Hyperlink"/>
    <w:basedOn w:val="DefaultParagraphFont"/>
    <w:uiPriority w:val="99"/>
    <w:unhideWhenUsed/>
    <w:rsid w:val="0072093C"/>
    <w:rPr>
      <w:color w:val="0563C1" w:themeColor="hyperlink"/>
      <w:u w:val="single"/>
    </w:rPr>
  </w:style>
  <w:style w:type="character" w:styleId="UnresolvedMention">
    <w:name w:val="Unresolved Mention"/>
    <w:basedOn w:val="DefaultParagraphFont"/>
    <w:uiPriority w:val="99"/>
    <w:semiHidden/>
    <w:unhideWhenUsed/>
    <w:rsid w:val="0072093C"/>
    <w:rPr>
      <w:color w:val="605E5C"/>
      <w:shd w:val="clear" w:color="auto" w:fill="E1DFDD"/>
    </w:rPr>
  </w:style>
  <w:style w:type="character" w:styleId="CommentReference">
    <w:name w:val="annotation reference"/>
    <w:basedOn w:val="DefaultParagraphFont"/>
    <w:uiPriority w:val="99"/>
    <w:semiHidden/>
    <w:unhideWhenUsed/>
    <w:rsid w:val="00B05AC7"/>
    <w:rPr>
      <w:sz w:val="16"/>
      <w:szCs w:val="16"/>
    </w:rPr>
  </w:style>
  <w:style w:type="paragraph" w:styleId="CommentText">
    <w:name w:val="annotation text"/>
    <w:basedOn w:val="Normal"/>
    <w:link w:val="CommentTextChar"/>
    <w:uiPriority w:val="99"/>
    <w:unhideWhenUsed/>
    <w:rsid w:val="00B05AC7"/>
    <w:pPr>
      <w:spacing w:line="240" w:lineRule="auto"/>
    </w:pPr>
    <w:rPr>
      <w:sz w:val="20"/>
      <w:szCs w:val="20"/>
    </w:rPr>
  </w:style>
  <w:style w:type="character" w:customStyle="1" w:styleId="CommentTextChar">
    <w:name w:val="Comment Text Char"/>
    <w:basedOn w:val="DefaultParagraphFont"/>
    <w:link w:val="CommentText"/>
    <w:uiPriority w:val="99"/>
    <w:rsid w:val="00B05AC7"/>
    <w:rPr>
      <w:sz w:val="20"/>
      <w:szCs w:val="20"/>
      <w:lang w:val="en-US"/>
    </w:rPr>
  </w:style>
  <w:style w:type="paragraph" w:styleId="CommentSubject">
    <w:name w:val="annotation subject"/>
    <w:basedOn w:val="CommentText"/>
    <w:next w:val="CommentText"/>
    <w:link w:val="CommentSubjectChar"/>
    <w:uiPriority w:val="99"/>
    <w:semiHidden/>
    <w:unhideWhenUsed/>
    <w:rsid w:val="00B05AC7"/>
    <w:rPr>
      <w:b/>
      <w:bCs/>
    </w:rPr>
  </w:style>
  <w:style w:type="character" w:customStyle="1" w:styleId="CommentSubjectChar">
    <w:name w:val="Comment Subject Char"/>
    <w:basedOn w:val="CommentTextChar"/>
    <w:link w:val="CommentSubject"/>
    <w:uiPriority w:val="99"/>
    <w:semiHidden/>
    <w:rsid w:val="00B05AC7"/>
    <w:rPr>
      <w:b/>
      <w:bCs/>
      <w:sz w:val="20"/>
      <w:szCs w:val="20"/>
      <w:lang w:val="en-US"/>
    </w:rPr>
  </w:style>
  <w:style w:type="table" w:styleId="TableGrid">
    <w:name w:val="Table Grid"/>
    <w:basedOn w:val="TableNormal"/>
    <w:uiPriority w:val="39"/>
    <w:rsid w:val="006F7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4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A56"/>
    <w:rPr>
      <w:lang w:val="en-US"/>
    </w:rPr>
  </w:style>
  <w:style w:type="paragraph" w:styleId="Footer">
    <w:name w:val="footer"/>
    <w:basedOn w:val="Normal"/>
    <w:link w:val="FooterChar"/>
    <w:uiPriority w:val="99"/>
    <w:unhideWhenUsed/>
    <w:rsid w:val="00444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A5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9149">
      <w:bodyDiv w:val="1"/>
      <w:marLeft w:val="0"/>
      <w:marRight w:val="0"/>
      <w:marTop w:val="0"/>
      <w:marBottom w:val="0"/>
      <w:divBdr>
        <w:top w:val="none" w:sz="0" w:space="0" w:color="auto"/>
        <w:left w:val="none" w:sz="0" w:space="0" w:color="auto"/>
        <w:bottom w:val="none" w:sz="0" w:space="0" w:color="auto"/>
        <w:right w:val="none" w:sz="0" w:space="0" w:color="auto"/>
      </w:divBdr>
    </w:div>
    <w:div w:id="460002140">
      <w:bodyDiv w:val="1"/>
      <w:marLeft w:val="0"/>
      <w:marRight w:val="0"/>
      <w:marTop w:val="0"/>
      <w:marBottom w:val="0"/>
      <w:divBdr>
        <w:top w:val="none" w:sz="0" w:space="0" w:color="auto"/>
        <w:left w:val="none" w:sz="0" w:space="0" w:color="auto"/>
        <w:bottom w:val="none" w:sz="0" w:space="0" w:color="auto"/>
        <w:right w:val="none" w:sz="0" w:space="0" w:color="auto"/>
      </w:divBdr>
    </w:div>
    <w:div w:id="510024814">
      <w:bodyDiv w:val="1"/>
      <w:marLeft w:val="0"/>
      <w:marRight w:val="0"/>
      <w:marTop w:val="0"/>
      <w:marBottom w:val="0"/>
      <w:divBdr>
        <w:top w:val="none" w:sz="0" w:space="0" w:color="auto"/>
        <w:left w:val="none" w:sz="0" w:space="0" w:color="auto"/>
        <w:bottom w:val="none" w:sz="0" w:space="0" w:color="auto"/>
        <w:right w:val="none" w:sz="0" w:space="0" w:color="auto"/>
      </w:divBdr>
    </w:div>
    <w:div w:id="711617030">
      <w:bodyDiv w:val="1"/>
      <w:marLeft w:val="0"/>
      <w:marRight w:val="0"/>
      <w:marTop w:val="0"/>
      <w:marBottom w:val="0"/>
      <w:divBdr>
        <w:top w:val="none" w:sz="0" w:space="0" w:color="auto"/>
        <w:left w:val="none" w:sz="0" w:space="0" w:color="auto"/>
        <w:bottom w:val="none" w:sz="0" w:space="0" w:color="auto"/>
        <w:right w:val="none" w:sz="0" w:space="0" w:color="auto"/>
      </w:divBdr>
    </w:div>
    <w:div w:id="724720904">
      <w:bodyDiv w:val="1"/>
      <w:marLeft w:val="0"/>
      <w:marRight w:val="0"/>
      <w:marTop w:val="0"/>
      <w:marBottom w:val="0"/>
      <w:divBdr>
        <w:top w:val="none" w:sz="0" w:space="0" w:color="auto"/>
        <w:left w:val="none" w:sz="0" w:space="0" w:color="auto"/>
        <w:bottom w:val="none" w:sz="0" w:space="0" w:color="auto"/>
        <w:right w:val="none" w:sz="0" w:space="0" w:color="auto"/>
      </w:divBdr>
    </w:div>
    <w:div w:id="761880299">
      <w:bodyDiv w:val="1"/>
      <w:marLeft w:val="0"/>
      <w:marRight w:val="0"/>
      <w:marTop w:val="0"/>
      <w:marBottom w:val="0"/>
      <w:divBdr>
        <w:top w:val="none" w:sz="0" w:space="0" w:color="auto"/>
        <w:left w:val="none" w:sz="0" w:space="0" w:color="auto"/>
        <w:bottom w:val="none" w:sz="0" w:space="0" w:color="auto"/>
        <w:right w:val="none" w:sz="0" w:space="0" w:color="auto"/>
      </w:divBdr>
    </w:div>
    <w:div w:id="1453936687">
      <w:bodyDiv w:val="1"/>
      <w:marLeft w:val="0"/>
      <w:marRight w:val="0"/>
      <w:marTop w:val="0"/>
      <w:marBottom w:val="0"/>
      <w:divBdr>
        <w:top w:val="none" w:sz="0" w:space="0" w:color="auto"/>
        <w:left w:val="none" w:sz="0" w:space="0" w:color="auto"/>
        <w:bottom w:val="none" w:sz="0" w:space="0" w:color="auto"/>
        <w:right w:val="none" w:sz="0" w:space="0" w:color="auto"/>
      </w:divBdr>
    </w:div>
    <w:div w:id="15279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leclimateconnections.org/2023/10/american-society-wasnt-always-so-car-centric-our-future-doesnt-have-to-be-either/" TargetMode="External"/><Relationship Id="rId13" Type="http://schemas.openxmlformats.org/officeDocument/2006/relationships/hyperlink" Target="https://www.energy.gov/energysaver/new-and-used-clean-vehicle-tax-credi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fdc.energy.gov/files/u/publication/10_G00888_savings_WEB.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408622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rogressive.com/answers/used-car-mileage/" TargetMode="External"/><Relationship Id="rId4" Type="http://schemas.openxmlformats.org/officeDocument/2006/relationships/webSettings" Target="webSettings.xml"/><Relationship Id="rId9" Type="http://schemas.openxmlformats.org/officeDocument/2006/relationships/hyperlink" Target="https://www.vox.com/22662963/end-driving-obsession-connectivity-zoning-parking"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20C17587C064EAEA3377746E66FA17D"/>
        <w:category>
          <w:name w:val="General"/>
          <w:gallery w:val="placeholder"/>
        </w:category>
        <w:types>
          <w:type w:val="bbPlcHdr"/>
        </w:types>
        <w:behaviors>
          <w:behavior w:val="content"/>
        </w:behaviors>
        <w:guid w:val="{850CDCC6-37EC-435C-80A1-4ABC4ECADFF3}"/>
      </w:docPartPr>
      <w:docPartBody>
        <w:p w:rsidR="003C58EC" w:rsidRDefault="00AC2D12" w:rsidP="00AC2D12">
          <w:pPr>
            <w:pStyle w:val="920C17587C064EAEA3377746E66FA17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12"/>
    <w:rsid w:val="000739F2"/>
    <w:rsid w:val="00281AAD"/>
    <w:rsid w:val="003C58EC"/>
    <w:rsid w:val="00477875"/>
    <w:rsid w:val="00666EB9"/>
    <w:rsid w:val="00685D88"/>
    <w:rsid w:val="009B1848"/>
    <w:rsid w:val="00AC2D12"/>
    <w:rsid w:val="00D91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0C17587C064EAEA3377746E66FA17D">
    <w:name w:val="920C17587C064EAEA3377746E66FA17D"/>
    <w:rsid w:val="00AC2D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9972</TotalTime>
  <Pages>5</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
  <dc:creator>HP LAPTOP</dc:creator>
  <cp:keywords/>
  <dc:description/>
  <cp:lastModifiedBy>HP LAPTOP</cp:lastModifiedBy>
  <cp:revision>215</cp:revision>
  <dcterms:created xsi:type="dcterms:W3CDTF">2024-09-04T13:09:00Z</dcterms:created>
  <dcterms:modified xsi:type="dcterms:W3CDTF">2024-09-14T20:51:00Z</dcterms:modified>
</cp:coreProperties>
</file>