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52E5" w14:textId="77777777" w:rsidR="00115EAA" w:rsidRPr="00C10287" w:rsidRDefault="00000000">
      <w:pPr>
        <w:jc w:val="center"/>
        <w:rPr>
          <w:lang w:val="es-EC"/>
        </w:rPr>
      </w:pPr>
      <w:r w:rsidRPr="00C10287">
        <w:rPr>
          <w:b/>
          <w:sz w:val="26"/>
          <w:lang w:val="es-EC"/>
        </w:rPr>
        <w:t>UNIVERSIDAD TÉCNICA ESTATAL DE QUEVEDO</w:t>
      </w:r>
    </w:p>
    <w:p w14:paraId="6FD4031D" w14:textId="77777777" w:rsidR="00115EAA" w:rsidRPr="00C10287" w:rsidRDefault="00000000">
      <w:pPr>
        <w:jc w:val="center"/>
        <w:rPr>
          <w:lang w:val="es-EC"/>
        </w:rPr>
      </w:pPr>
      <w:r w:rsidRPr="00C10287">
        <w:rPr>
          <w:b/>
          <w:sz w:val="22"/>
          <w:lang w:val="es-EC"/>
        </w:rPr>
        <w:t>Facultad de Ciencias de la Computación — ISR-401 Ingeniería de Requisitos</w:t>
      </w:r>
    </w:p>
    <w:p w14:paraId="33886D44" w14:textId="77777777" w:rsidR="00115EAA" w:rsidRPr="00C10287" w:rsidRDefault="00115EAA">
      <w:pPr>
        <w:rPr>
          <w:lang w:val="es-EC"/>
        </w:rPr>
      </w:pPr>
    </w:p>
    <w:p w14:paraId="13D49BC1" w14:textId="77777777" w:rsidR="00115EAA" w:rsidRPr="00C10287" w:rsidRDefault="00000000">
      <w:pPr>
        <w:jc w:val="center"/>
        <w:rPr>
          <w:lang w:val="es-EC"/>
        </w:rPr>
      </w:pPr>
      <w:r w:rsidRPr="00C10287">
        <w:rPr>
          <w:b/>
          <w:sz w:val="26"/>
          <w:lang w:val="es-EC"/>
        </w:rPr>
        <w:t>A1. PROTOCOLO DE INVESTIGACIÓN INDIVIDUALIZADO</w:t>
      </w:r>
    </w:p>
    <w:p w14:paraId="5E67EA9E" w14:textId="77777777" w:rsidR="00115EAA" w:rsidRPr="00C10287" w:rsidRDefault="00000000">
      <w:pPr>
        <w:jc w:val="center"/>
        <w:rPr>
          <w:lang w:val="es-EC"/>
        </w:rPr>
      </w:pPr>
      <w:r w:rsidRPr="00C10287">
        <w:rPr>
          <w:b/>
          <w:lang w:val="es-EC"/>
        </w:rPr>
        <w:t>Proyecto: SIGA — Sistema Inteligente de Gestión de Aulas</w:t>
      </w:r>
    </w:p>
    <w:p w14:paraId="53A08F61" w14:textId="77777777" w:rsidR="00115EAA" w:rsidRPr="00C10287" w:rsidRDefault="00115EAA">
      <w:pPr>
        <w:rPr>
          <w:lang w:val="es-EC"/>
        </w:rPr>
      </w:pPr>
    </w:p>
    <w:p w14:paraId="51A9703A" w14:textId="77777777" w:rsidR="00115EAA" w:rsidRDefault="00000000">
      <w:pPr>
        <w:spacing w:before="280"/>
      </w:pPr>
      <w:r>
        <w:rPr>
          <w:b/>
          <w:color w:val="1D6B36"/>
          <w:sz w:val="26"/>
        </w:rPr>
        <w:t>1. 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5EAA" w14:paraId="1B40E0E9" w14:textId="77777777">
        <w:tc>
          <w:tcPr>
            <w:tcW w:w="4320" w:type="dxa"/>
            <w:shd w:val="clear" w:color="auto" w:fill="1D6B36"/>
          </w:tcPr>
          <w:p w14:paraId="6C4341CD" w14:textId="77777777" w:rsidR="00115EAA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1D6B36"/>
          </w:tcPr>
          <w:p w14:paraId="6B40426B" w14:textId="77777777" w:rsidR="00115EAA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115EAA" w:rsidRPr="00C10287" w14:paraId="23D9B067" w14:textId="77777777">
        <w:tc>
          <w:tcPr>
            <w:tcW w:w="4320" w:type="dxa"/>
          </w:tcPr>
          <w:p w14:paraId="2300FCA0" w14:textId="77777777" w:rsidR="00115EAA" w:rsidRDefault="00000000">
            <w:r>
              <w:rPr>
                <w:sz w:val="20"/>
              </w:rPr>
              <w:t>Título del proyecto</w:t>
            </w:r>
          </w:p>
        </w:tc>
        <w:tc>
          <w:tcPr>
            <w:tcW w:w="4320" w:type="dxa"/>
          </w:tcPr>
          <w:p w14:paraId="77E83F84" w14:textId="77777777" w:rsidR="00115EAA" w:rsidRPr="00C10287" w:rsidRDefault="00000000">
            <w:pPr>
              <w:rPr>
                <w:lang w:val="es-EC"/>
              </w:rPr>
            </w:pPr>
            <w:r w:rsidRPr="00C10287">
              <w:rPr>
                <w:sz w:val="20"/>
                <w:lang w:val="es-EC"/>
              </w:rPr>
              <w:t>Sistema Inteligente de Gestión de Aulas (SIGA)</w:t>
            </w:r>
          </w:p>
        </w:tc>
      </w:tr>
      <w:tr w:rsidR="00115EAA" w14:paraId="5E412B77" w14:textId="77777777">
        <w:tc>
          <w:tcPr>
            <w:tcW w:w="4320" w:type="dxa"/>
          </w:tcPr>
          <w:p w14:paraId="71512639" w14:textId="77777777" w:rsidR="00115EAA" w:rsidRDefault="00000000">
            <w:r>
              <w:rPr>
                <w:sz w:val="20"/>
              </w:rPr>
              <w:t>PFC al que pertenece</w:t>
            </w:r>
          </w:p>
        </w:tc>
        <w:tc>
          <w:tcPr>
            <w:tcW w:w="4320" w:type="dxa"/>
          </w:tcPr>
          <w:p w14:paraId="51344B7F" w14:textId="77777777" w:rsidR="00115EAA" w:rsidRDefault="00000000">
            <w:r>
              <w:rPr>
                <w:sz w:val="20"/>
              </w:rPr>
              <w:t>PFC #9 — cohorte 2026-2027 PPA, ISR-401</w:t>
            </w:r>
          </w:p>
        </w:tc>
      </w:tr>
      <w:tr w:rsidR="00115EAA" w:rsidRPr="00C10287" w14:paraId="43000CDF" w14:textId="77777777">
        <w:tc>
          <w:tcPr>
            <w:tcW w:w="4320" w:type="dxa"/>
          </w:tcPr>
          <w:p w14:paraId="052D5664" w14:textId="77777777" w:rsidR="00115EAA" w:rsidRDefault="00000000">
            <w:r>
              <w:rPr>
                <w:sz w:val="20"/>
              </w:rPr>
              <w:t>Docente responsable</w:t>
            </w:r>
          </w:p>
        </w:tc>
        <w:tc>
          <w:tcPr>
            <w:tcW w:w="4320" w:type="dxa"/>
          </w:tcPr>
          <w:p w14:paraId="3757EBDB" w14:textId="77777777" w:rsidR="00115EAA" w:rsidRPr="00C10287" w:rsidRDefault="00000000">
            <w:pPr>
              <w:rPr>
                <w:lang w:val="es-EC"/>
              </w:rPr>
            </w:pPr>
            <w:r w:rsidRPr="00C10287">
              <w:rPr>
                <w:sz w:val="20"/>
                <w:lang w:val="es-EC"/>
              </w:rPr>
              <w:t>Ing. Gleiston Guerrero Ulloa, PhD</w:t>
            </w:r>
          </w:p>
        </w:tc>
      </w:tr>
      <w:tr w:rsidR="00115EAA" w:rsidRPr="00C10287" w14:paraId="7435766E" w14:textId="77777777">
        <w:tc>
          <w:tcPr>
            <w:tcW w:w="4320" w:type="dxa"/>
          </w:tcPr>
          <w:p w14:paraId="73FA9875" w14:textId="77777777" w:rsidR="00115EAA" w:rsidRDefault="00000000">
            <w:r>
              <w:rPr>
                <w:sz w:val="20"/>
              </w:rPr>
              <w:t>Integrantes del equipo</w:t>
            </w:r>
          </w:p>
        </w:tc>
        <w:tc>
          <w:tcPr>
            <w:tcW w:w="4320" w:type="dxa"/>
          </w:tcPr>
          <w:p w14:paraId="6FB7AB59" w14:textId="77777777" w:rsidR="00115EAA" w:rsidRPr="00C10287" w:rsidRDefault="00000000">
            <w:pPr>
              <w:rPr>
                <w:lang w:val="es-EC"/>
              </w:rPr>
            </w:pPr>
            <w:r w:rsidRPr="00C10287">
              <w:rPr>
                <w:sz w:val="20"/>
                <w:lang w:val="es-EC"/>
              </w:rPr>
              <w:t>Sánchez Cornejo Gary Alberto (CI 1208338291, gsanchezc6@uteq.edu.ec); Mendoza Palma Allan Jeremy (CI 0956082309, amendozap10@uteq.edu.ec); Cedeño Avila Winston Damian (CI 0942833492, wcedenoa2@uteq.edu.ec); Muñoz Quiñonez Yeranick Esther (CI 1207929645, ymunozq@uteq.edu.ec); Gilces Carranza José Ignacio (CI 1251059240, jgilcesc3@uteq.edu.ec)</w:t>
            </w:r>
          </w:p>
        </w:tc>
      </w:tr>
      <w:tr w:rsidR="00115EAA" w14:paraId="40D39B79" w14:textId="77777777">
        <w:tc>
          <w:tcPr>
            <w:tcW w:w="4320" w:type="dxa"/>
          </w:tcPr>
          <w:p w14:paraId="420D58F7" w14:textId="77777777" w:rsidR="00115EAA" w:rsidRDefault="00000000">
            <w:r>
              <w:rPr>
                <w:sz w:val="20"/>
              </w:rPr>
              <w:t>Paralelo</w:t>
            </w:r>
          </w:p>
        </w:tc>
        <w:tc>
          <w:tcPr>
            <w:tcW w:w="4320" w:type="dxa"/>
          </w:tcPr>
          <w:p w14:paraId="151AD114" w14:textId="77777777" w:rsidR="00115EAA" w:rsidRDefault="00000000">
            <w:r>
              <w:rPr>
                <w:sz w:val="20"/>
              </w:rPr>
              <w:t>B</w:t>
            </w:r>
          </w:p>
        </w:tc>
      </w:tr>
      <w:tr w:rsidR="00115EAA" w14:paraId="44B7EEC1" w14:textId="77777777">
        <w:tc>
          <w:tcPr>
            <w:tcW w:w="4320" w:type="dxa"/>
          </w:tcPr>
          <w:p w14:paraId="11003512" w14:textId="77777777" w:rsidR="00115EAA" w:rsidRDefault="00000000">
            <w:r>
              <w:rPr>
                <w:sz w:val="20"/>
              </w:rPr>
              <w:t>Fecha</w:t>
            </w:r>
          </w:p>
        </w:tc>
        <w:tc>
          <w:tcPr>
            <w:tcW w:w="4320" w:type="dxa"/>
          </w:tcPr>
          <w:p w14:paraId="5000AB49" w14:textId="77777777" w:rsidR="00115EAA" w:rsidRDefault="00000000">
            <w:r>
              <w:rPr>
                <w:sz w:val="20"/>
              </w:rPr>
              <w:t>Julio 2026</w:t>
            </w:r>
          </w:p>
        </w:tc>
      </w:tr>
      <w:tr w:rsidR="00115EAA" w14:paraId="705F38FE" w14:textId="77777777">
        <w:tc>
          <w:tcPr>
            <w:tcW w:w="4320" w:type="dxa"/>
          </w:tcPr>
          <w:p w14:paraId="5F4F36C8" w14:textId="77777777" w:rsidR="00115EAA" w:rsidRDefault="00000000">
            <w:r>
              <w:rPr>
                <w:sz w:val="20"/>
              </w:rPr>
              <w:t>Versión</w:t>
            </w:r>
          </w:p>
        </w:tc>
        <w:tc>
          <w:tcPr>
            <w:tcW w:w="4320" w:type="dxa"/>
          </w:tcPr>
          <w:p w14:paraId="7CF57A3C" w14:textId="77777777" w:rsidR="00115EAA" w:rsidRDefault="00000000">
            <w:r>
              <w:rPr>
                <w:sz w:val="20"/>
              </w:rPr>
              <w:t>1.0</w:t>
            </w:r>
          </w:p>
        </w:tc>
      </w:tr>
    </w:tbl>
    <w:p w14:paraId="101A6961" w14:textId="77777777" w:rsidR="00115EAA" w:rsidRDefault="00115EAA"/>
    <w:p w14:paraId="60496083" w14:textId="77777777" w:rsidR="00115EAA" w:rsidRDefault="00000000">
      <w:pPr>
        <w:spacing w:before="160"/>
      </w:pPr>
      <w:r>
        <w:t>Firma del docente responsable: _________________________</w:t>
      </w:r>
    </w:p>
    <w:p w14:paraId="7A087D38" w14:textId="77777777" w:rsidR="00115EAA" w:rsidRPr="00C10287" w:rsidRDefault="00000000">
      <w:pPr>
        <w:spacing w:before="160"/>
        <w:rPr>
          <w:lang w:val="es-EC"/>
        </w:rPr>
      </w:pPr>
      <w:r w:rsidRPr="00C10287">
        <w:rPr>
          <w:lang w:val="es-EC"/>
        </w:rPr>
        <w:t>Firma del líder del equipo (Sánchez Cornejo Gary Alberto): ____________________</w:t>
      </w:r>
    </w:p>
    <w:p w14:paraId="32B8C24F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2. Resumen ejecutivo</w:t>
      </w:r>
    </w:p>
    <w:p w14:paraId="75031901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lastRenderedPageBreak/>
        <w:t>SIGA es un sistema de gestión inteligente de aulas basado en IoT e Inteligencia Artificial, desarrollado para la Facultad de Ciencias de la Computación y Diseño Digital de la UTEQ. El proyecto tiene un doble objetivo: especificar formalmente los requisitos del sistema mediante entrevistas, cuestionarios y observación con personal de coordinación, docentes, personal administrativo y estudiantes voluntarios; y ejecutar un componente empírico que compara la calidad de los requisitos funcionales elicitados por el equipo humano frente a los generados por un modelo de lenguaje grande (LLM) a partir del mismo material fuente. La población participante son adultos voluntarios de la propia comunidad UTEQ (caso de auto-observación institucional). El método combina entrevistas semiestructuradas, cuestionario digital, observación directa y validación por walkthrough, con un componente experimental cuasi-experimental apareado evaluado por jueces ciegos. El sistema incluye un módulo que consulta, de forma agregada y sin identificación de personas, el estado de ocupación mediante la cámara de videovigilancia existente, lo cual eleva el proyecto de categoría ética B a A. Se espera que este trabajo aporte evidencia empírica sobre el uso de LLM en elicitación de requisitos en un contexto universitario latinoamericano, y un manuscrito dirigido a una revista indexada en JCR/Scopus.</w:t>
      </w:r>
    </w:p>
    <w:p w14:paraId="12E32012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3. Justificación científica y social</w:t>
      </w:r>
    </w:p>
    <w:p w14:paraId="2E520AD0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Científicamente, el proyecto atiende un vacío identificado en la literatura reciente: la escasa evidencia empírica sobre la calidad comparativa de requisitos funcionales generados por LLM frente a los elicitados por equipos humanos noveles, fuera de contextos industriales de habla inglesa. Socialmente, el proyecto aporta a la propia Facultad un sistema que puede reducir el tiempo de respuesta ante fallas técnicas de aula y optimizar el consumo energético, además de formar al equipo estudiantil en investigación empírica aplicada. Se prevé la publicación de un manuscrito en una revista indexada en JCR/Scopus (editorial Springer Nature, Elsevier o IEEE), seleccionada mediante las herramientas oficiales de cada editorial.</w:t>
      </w:r>
    </w:p>
    <w:p w14:paraId="1C7590DA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4. Marco teórico y normativo</w:t>
      </w:r>
    </w:p>
    <w:p w14:paraId="6542B304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lastRenderedPageBreak/>
        <w:t>El proyecto se fundamenta en ISO/IEC/IEEE 29148:2018 (procesos de Ingeniería de Requisitos), ISO/IEC 25010:2023 (modelo de calidad de producto), SWEBOK v4.0 y el syllabus CPRE Foundation Level v3.1 del IREB. El componente empírico sigue las guías de reporte de experimentos de Jedlitschka et al. y las directrices de estudios de caso de Runeson y Höst. El marco de explicabilidad de RNF sigue a Chazette y Schneider. Ver la Sección 15 para el listado completo de referencias.</w:t>
      </w:r>
    </w:p>
    <w:p w14:paraId="4ADA86A8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5. Objetivo general y objetivos específicos</w:t>
      </w:r>
    </w:p>
    <w:p w14:paraId="3C6CAB94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Objetivo general: especificar los requisitos del Sistema Inteligente de Gestión de Aulas (SIGA) mediante técnicas de elicitación con partes interesadas reales, y generar evidencia empírica sobre la calidad de requisitos elicitados por humanos frente a los generados por un modelo de lenguaje grande.</w:t>
      </w:r>
    </w:p>
    <w:p w14:paraId="2FFF30B9" w14:textId="77777777" w:rsidR="00115EAA" w:rsidRPr="00C10287" w:rsidRDefault="00000000">
      <w:pPr>
        <w:rPr>
          <w:lang w:val="es-EC"/>
        </w:rPr>
      </w:pPr>
      <w:r w:rsidRPr="00C10287">
        <w:rPr>
          <w:lang w:val="es-EC"/>
        </w:rPr>
        <w:t>1. Elicitar y formalizar los requisitos funcionales y no funcionales de SIGA a partir de entrevistas, cuestionario y observación con partes interesadas reales de la Facultad.</w:t>
      </w:r>
    </w:p>
    <w:p w14:paraId="6BFCE885" w14:textId="77777777" w:rsidR="00115EAA" w:rsidRPr="00C10287" w:rsidRDefault="00000000">
      <w:pPr>
        <w:rPr>
          <w:lang w:val="es-EC"/>
        </w:rPr>
      </w:pPr>
      <w:r w:rsidRPr="00C10287">
        <w:rPr>
          <w:lang w:val="es-EC"/>
        </w:rPr>
        <w:t>2. Modelar el sistema mediante diagramas UML completos y el lenguaje i* para representar la intencionalidad organizacional de los actores.</w:t>
      </w:r>
    </w:p>
    <w:p w14:paraId="607122D0" w14:textId="77777777" w:rsidR="00115EAA" w:rsidRPr="00C10287" w:rsidRDefault="00000000">
      <w:pPr>
        <w:rPr>
          <w:lang w:val="es-EC"/>
        </w:rPr>
      </w:pPr>
      <w:r w:rsidRPr="00C10287">
        <w:rPr>
          <w:lang w:val="es-EC"/>
        </w:rPr>
        <w:t>3. Diseñar y ejecutar un componente empírico que compare la calidad de los requisitos funcionales elicitados por el equipo humano frente a los generados por un LLM.</w:t>
      </w:r>
    </w:p>
    <w:p w14:paraId="6F516000" w14:textId="77777777" w:rsidR="00115EAA" w:rsidRPr="00C10287" w:rsidRDefault="00000000">
      <w:pPr>
        <w:rPr>
          <w:lang w:val="es-EC"/>
        </w:rPr>
      </w:pPr>
      <w:r w:rsidRPr="00C10287">
        <w:rPr>
          <w:lang w:val="es-EC"/>
        </w:rPr>
        <w:t>4. Producir un Producto Mínimo Viable (MVP) que demuestre la viabilidad técnica del sistema especificado.</w:t>
      </w:r>
    </w:p>
    <w:p w14:paraId="1FDCC30F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6. Preguntas de investigación</w:t>
      </w:r>
    </w:p>
    <w:p w14:paraId="7333CF04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RQ1: ¿En qué dimensiones de calidad —completitud, ausencia de ambigüedad, verificabilidad, corrección respecto de la fuente y consistencia interna— los requisitos funcionales elicitados por un equipo humano difieren de los generados por un LLM a partir del mismo material fuente?</w:t>
      </w:r>
    </w:p>
    <w:p w14:paraId="2599D1FA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H0: no existe diferencia estadísticamente significativa en la calidad media entre ambos conjuntos. H1: existe una diferencia estadísticamente significativa.</w:t>
      </w:r>
    </w:p>
    <w:p w14:paraId="191931AC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7. Diseño metodológico</w:t>
      </w:r>
    </w:p>
    <w:p w14:paraId="769362C1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lastRenderedPageBreak/>
        <w:t>Enfoque mixto: cualitativo para la elicitación de requisitos (entrevistas semiestructuradas, observación) y cuantitativo para el componente empírico (cuasi-experimento apareado con evaluación ciega). Unidad de análisis: requisitos funcionales individuales (para el componente empírico) y procesos de trabajo de gestión de aulas (para la elicitación). Criterios de inclusión de participantes: mayor de edad, miembro de la comunidad de la Facultad de Ciencias de la Computación y Diseño Digital (docente, coordinación, personal administrativo, personal de servicios generales o estudiante de cuarto/quinto nivel), participación voluntaria. Criterios de exclusión: menores de edad, personas ajenas a la Facultad.</w:t>
      </w:r>
    </w:p>
    <w:p w14:paraId="0F408D10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8. Población y muestra</w:t>
      </w:r>
    </w:p>
    <w:p w14:paraId="3A705789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Población objetivo: personal de coordinación de carrera, personal administrativo, docentes de la Carrera de Ingeniería de Software y estudiantes voluntarios de cuarto y quinto nivel, y personal de servicios generales de la Facultad. Tamaño muestral: mínimo 8 participantes en entrevistas de campo (piso aceptado por el docente para la Entrega 3/2A, con avance hacia 16-24 en la Entrega 4/2B), y mínimo 30 respuestas de cuestionario (idealmente 60 por perfil dominante). Técnica de muestreo: por conveniencia e intencional, según disponibilidad y rol de los participantes dentro de la Facultad.</w:t>
      </w:r>
    </w:p>
    <w:p w14:paraId="02DAE982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9. Técnicas e instrumentos de elicitación</w:t>
      </w:r>
    </w:p>
    <w:p w14:paraId="233CBF53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Se aplican tres técnicas: (1) entrevista semiestructurada, con guiones diferenciados por rol (Coordinador, Conserje/Infraestructura, Docente), documentados y versionados en 06_Experimento/instrumentos/; (2) cuestionario digital aplicado vía Google Forms a estudiantes; (3) observación directa del entorno físico de las aulas, con protocolo de observación documentado. No se emplean sesiones de Design Thinking en este proyecto.</w:t>
      </w:r>
    </w:p>
    <w:p w14:paraId="6C84953D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10. Plan de análisis de datos</w:t>
      </w:r>
    </w:p>
    <w:p w14:paraId="355E3DF2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 xml:space="preserve">Para la elicitación: codificación temática de las transcripciones, con reporte de curva de saturación. Para el componente empírico: prueba de normalidad Shapiro-Wilk; prueba t para muestras apareadas o prueba de Wilcoxon según corresponda; tamaño del efecto </w:t>
      </w:r>
      <w:r w:rsidRPr="00C10287">
        <w:rPr>
          <w:lang w:val="es-EC"/>
        </w:rPr>
        <w:lastRenderedPageBreak/>
        <w:t xml:space="preserve">Cohen d o Cliff </w:t>
      </w:r>
      <w:r>
        <w:t>δ</w:t>
      </w:r>
      <w:r w:rsidRPr="00C10287">
        <w:rPr>
          <w:lang w:val="es-EC"/>
        </w:rPr>
        <w:t xml:space="preserve">; acuerdo inter-evaluador mediante </w:t>
      </w:r>
      <w:r>
        <w:t>κ</w:t>
      </w:r>
      <w:r w:rsidRPr="00C10287">
        <w:rPr>
          <w:lang w:val="es-EC"/>
        </w:rPr>
        <w:t xml:space="preserve"> de Cohen y </w:t>
      </w:r>
      <w:r>
        <w:t>κ</w:t>
      </w:r>
      <w:r w:rsidRPr="00C10287">
        <w:rPr>
          <w:lang w:val="es-EC"/>
        </w:rPr>
        <w:t xml:space="preserve"> de Fleiss; corrección de Bonferroni si se comparan las cinco dimensiones de forma individual. Software: R o Python.</w:t>
      </w:r>
    </w:p>
    <w:p w14:paraId="7B7B3F42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11. Consideraciones éticas</w:t>
      </w:r>
    </w:p>
    <w:p w14:paraId="4236B8B8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Riesgo mínimo, sin procedimientos invasivos. Consentimiento informado firmado por cada participante (Anexo A3), con autorización explícita para grabación de audio y video. Voluntariedad y derecho al retiro sin consecuencias. Anonimización y seudonimización de datos personales conforme a la LOPDP. Dado que SIGA es un caso de auto-observación institucional, las entrevistas a docentes de la carrera se conducen por integrantes del equipo sin asignaturas vigentes con ellos, y los datos de estudiantes participantes no se vinculan con su historial académico ni con el SGA institucional. El proyecto se clasifica en Categoría A (elevada desde B) por el uso de analítica visual agregada sobre el feed de la cámara de videovigilancia existente, sin reconocimiento facial ni almacenamiento de imagen — ver Anexos A1, A2, A4 y A5 de categoría A adjuntos.</w:t>
      </w:r>
    </w:p>
    <w:p w14:paraId="48593A7E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12. Cronograma</w:t>
      </w:r>
    </w:p>
    <w:p w14:paraId="2225D0D6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Ver Anexo A10 (cronograma Gantt semanal, semanas 1 a 17 del PPA 2026-2027), adjunto como documento separado.</w:t>
      </w:r>
    </w:p>
    <w:p w14:paraId="1FC96C26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13. Presupuesto</w:t>
      </w:r>
    </w:p>
    <w:p w14:paraId="0D46AF72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>El proyecto se autofinancia con recursos propios del equipo estudiantil (dispositivos personales para grabación, transporte para el trabajo de campo) y recursos institucionales de acceso libre (GitHub, Google Forms, Zenodo, OSF). No existe financiamiento externo ni patrocinio de ningún tipo. Costo estimado total: USD 0 en licencias de software (se usan exclusivamente herramientas gratuitas o de licencia educativa institucional).</w:t>
      </w:r>
    </w:p>
    <w:p w14:paraId="6BC56062" w14:textId="77777777" w:rsidR="00115EAA" w:rsidRPr="00C10287" w:rsidRDefault="00000000">
      <w:pPr>
        <w:spacing w:before="280"/>
        <w:rPr>
          <w:lang w:val="es-EC"/>
        </w:rPr>
      </w:pPr>
      <w:r w:rsidRPr="00C10287">
        <w:rPr>
          <w:b/>
          <w:color w:val="1D6B36"/>
          <w:sz w:val="26"/>
          <w:lang w:val="es-EC"/>
        </w:rPr>
        <w:t>14. Divulgación de resultados</w:t>
      </w:r>
    </w:p>
    <w:p w14:paraId="0E0F83BE" w14:textId="77777777" w:rsidR="00115EAA" w:rsidRPr="00C10287" w:rsidRDefault="00000000">
      <w:pPr>
        <w:jc w:val="both"/>
        <w:rPr>
          <w:lang w:val="es-EC"/>
        </w:rPr>
      </w:pPr>
      <w:r w:rsidRPr="00C10287">
        <w:rPr>
          <w:lang w:val="es-EC"/>
        </w:rPr>
        <w:t xml:space="preserve">Se prevén tres productos de divulgación: (1) un manuscrito científico redactado con la plantilla oficial de una revista indexada en JCR (Springer Nature, Elsevier o IEEE), </w:t>
      </w:r>
      <w:r w:rsidRPr="00C10287">
        <w:rPr>
          <w:lang w:val="es-EC"/>
        </w:rPr>
        <w:lastRenderedPageBreak/>
        <w:t>seleccionada mediante las herramientas oficiales de cada editorial en la Entrega 4; (2) la memoria completa del PFC (ERS/SRS, MVP, componente empírico) entregada conforme al syllabus de ISR-401; (3) una presentación en la jornada académica interna de la Facultad, si el calendario institucional lo permite.</w:t>
      </w:r>
    </w:p>
    <w:p w14:paraId="043DD87C" w14:textId="77777777" w:rsidR="00115EAA" w:rsidRDefault="00000000">
      <w:pPr>
        <w:spacing w:before="280"/>
      </w:pPr>
      <w:r>
        <w:rPr>
          <w:b/>
          <w:color w:val="1D6B36"/>
          <w:sz w:val="26"/>
        </w:rPr>
        <w:t>15. Referencias bibliográficas</w:t>
      </w:r>
    </w:p>
    <w:p w14:paraId="53A6B2F6" w14:textId="77777777" w:rsidR="00115EAA" w:rsidRDefault="00000000">
      <w:r>
        <w:t>[1] ISO/IEC/IEEE, “ISO/IEC/IEEE 29148:2018 — Systems and software engineering — Requirements engineering,” 2018.</w:t>
      </w:r>
    </w:p>
    <w:p w14:paraId="3D2C5DC3" w14:textId="77777777" w:rsidR="00115EAA" w:rsidRDefault="00000000">
      <w:r>
        <w:t>[2] ISO/IEC, “ISO/IEC 25010:2023 — Product quality model,” 2023.</w:t>
      </w:r>
    </w:p>
    <w:p w14:paraId="6A15C5DF" w14:textId="77777777" w:rsidR="00115EAA" w:rsidRDefault="00000000">
      <w:r>
        <w:t>[3] K. Pohl, Requirements Engineering: Fundamentals, Principles, and Techniques. Springer, 2010.</w:t>
      </w:r>
    </w:p>
    <w:p w14:paraId="6054F984" w14:textId="77777777" w:rsidR="00115EAA" w:rsidRDefault="00000000">
      <w:r>
        <w:t>[4] H. Cheng et al., “Generative AI for requirements engineering: A systematic literature review,” Software: Practice and Experience, vol. 56, no. 2, 2026.</w:t>
      </w:r>
    </w:p>
    <w:p w14:paraId="36F5204F" w14:textId="77777777" w:rsidR="00115EAA" w:rsidRDefault="00000000">
      <w:r>
        <w:t>[5] A. Vogelsang and J. Fischbach, “Using large language models for NLP tasks in requirements engineering,” arXiv:2402.13823, 2024.</w:t>
      </w:r>
    </w:p>
    <w:p w14:paraId="74E54AFE" w14:textId="77777777" w:rsidR="00115EAA" w:rsidRDefault="00000000">
      <w:r>
        <w:t>[6] L. Chazette and K. Schneider, “Explainability as a non-functional requirement,” Requirements Engineering, vol. 25, no. 4, 2020.</w:t>
      </w:r>
    </w:p>
    <w:p w14:paraId="1B7AD961" w14:textId="77777777" w:rsidR="00115EAA" w:rsidRPr="00C10287" w:rsidRDefault="00000000">
      <w:pPr>
        <w:rPr>
          <w:lang w:val="es-EC"/>
        </w:rPr>
      </w:pPr>
      <w:r w:rsidRPr="00C10287">
        <w:rPr>
          <w:lang w:val="es-EC"/>
        </w:rPr>
        <w:t>[7] Asamblea Nacional del Ecuador, “Ley Orgánica de Protección de Datos Personales,” Registro Oficial Suplemento No. 459, 2021.</w:t>
      </w:r>
    </w:p>
    <w:p w14:paraId="52F20F51" w14:textId="77777777" w:rsidR="00115EAA" w:rsidRDefault="00000000">
      <w:r>
        <w:t>[8] P. Runeson and M. Höst, “Guidelines for conducting and reporting case study research in software engineering,” Empirical Software Engineering, vol. 14, no. 2, 2009.</w:t>
      </w:r>
    </w:p>
    <w:p w14:paraId="2B426F4B" w14:textId="77777777" w:rsidR="00115EAA" w:rsidRDefault="00000000">
      <w:r>
        <w:t>[9] C. Wohlin et al., Experimentation in Software Engineering. Springer, 2012.</w:t>
      </w:r>
    </w:p>
    <w:p w14:paraId="2EB4540F" w14:textId="77777777" w:rsidR="00115EAA" w:rsidRDefault="00000000">
      <w:r>
        <w:t>[10] A. Jedlitschka, M. Ciolkowski, and D. Pfahl, “Reporting experiments in software engineering,” in Guide to Advanced Empirical Software Engineering, Springer, 2008.</w:t>
      </w:r>
    </w:p>
    <w:p w14:paraId="570985AF" w14:textId="77777777" w:rsidR="00115EAA" w:rsidRDefault="00000000">
      <w:r>
        <w:t>[11] J. Cohen, “A coefficient of agreement for nominal scales,” Educational and Psychological Measurement, vol. 20, no. 1, 1960.</w:t>
      </w:r>
    </w:p>
    <w:p w14:paraId="235A7A4B" w14:textId="77777777" w:rsidR="00115EAA" w:rsidRDefault="00000000">
      <w:r>
        <w:t>[12] J. L. Fleiss, “Measuring nominal scale agreement among many raters,” Psychological Bulletin, vol. 76, no. 5, 1971.</w:t>
      </w:r>
    </w:p>
    <w:p w14:paraId="6112626A" w14:textId="77777777" w:rsidR="00115EAA" w:rsidRDefault="00000000">
      <w:r>
        <w:lastRenderedPageBreak/>
        <w:t>[13] K. Ronanki, C. Berger, and J. Horkoff, “Investigating ChatGPT's Potential to Assist in Requirements Elicitation Processes,” in 49th Euromicro SEAA, 2023.</w:t>
      </w:r>
    </w:p>
    <w:p w14:paraId="19566E2D" w14:textId="77777777" w:rsidR="00115EAA" w:rsidRDefault="00000000">
      <w:r>
        <w:t>[14] K. Challa et al., “Gas Sensors and Real-Time Video for Accurate Classroom Occupancy Detection,” MethodsX, 2025.</w:t>
      </w:r>
    </w:p>
    <w:p w14:paraId="23CD7CE1" w14:textId="77777777" w:rsidR="00115EAA" w:rsidRDefault="00000000">
      <w:r>
        <w:t>[15] P. Chaudhari, Y. Xiao, M. M.-C. Cheng, and T. Li, “Fundamentals, Algorithms, and Technologies of Occupancy Detection for Smart Buildings Using IoT Sensors,” Sensors, vol. 24, no. 7, 2024.</w:t>
      </w:r>
    </w:p>
    <w:p w14:paraId="1D3C96FC" w14:textId="77777777" w:rsidR="00115EAA" w:rsidRDefault="00000000">
      <w:r>
        <w:t>[16] M. D. Wilkinson et al., “The FAIR guiding principles for scientific data management and stewardship,” Scientific Data, vol. 3, 2016.</w:t>
      </w:r>
    </w:p>
    <w:sectPr w:rsidR="00115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92042">
    <w:abstractNumId w:val="8"/>
  </w:num>
  <w:num w:numId="2" w16cid:durableId="2017341494">
    <w:abstractNumId w:val="6"/>
  </w:num>
  <w:num w:numId="3" w16cid:durableId="1782451277">
    <w:abstractNumId w:val="5"/>
  </w:num>
  <w:num w:numId="4" w16cid:durableId="2142140725">
    <w:abstractNumId w:val="4"/>
  </w:num>
  <w:num w:numId="5" w16cid:durableId="347174567">
    <w:abstractNumId w:val="7"/>
  </w:num>
  <w:num w:numId="6" w16cid:durableId="528296217">
    <w:abstractNumId w:val="3"/>
  </w:num>
  <w:num w:numId="7" w16cid:durableId="750660252">
    <w:abstractNumId w:val="2"/>
  </w:num>
  <w:num w:numId="8" w16cid:durableId="1747533199">
    <w:abstractNumId w:val="1"/>
  </w:num>
  <w:num w:numId="9" w16cid:durableId="35457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AA"/>
    <w:rsid w:val="0015074B"/>
    <w:rsid w:val="0029639D"/>
    <w:rsid w:val="00326F90"/>
    <w:rsid w:val="00AA1D8D"/>
    <w:rsid w:val="00B47730"/>
    <w:rsid w:val="00C10287"/>
    <w:rsid w:val="00CB0664"/>
    <w:rsid w:val="00F95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38754"/>
  <w14:defaultImageDpi w14:val="300"/>
  <w15:docId w15:val="{055B189C-6670-4AC5-8C3B-06E92492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1760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Vodruk 9029</cp:lastModifiedBy>
  <cp:revision>2</cp:revision>
  <dcterms:created xsi:type="dcterms:W3CDTF">2013-12-23T23:15:00Z</dcterms:created>
  <dcterms:modified xsi:type="dcterms:W3CDTF">2026-07-27T15:43:00Z</dcterms:modified>
  <cp:category/>
</cp:coreProperties>
</file>