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jc w:val="center"/>
      </w:pPr>
      <w:r>
        <w:rPr>
          <w:rFonts w:ascii="Calibri" w:cs="Calibri" w:eastAsia="Calibri" w:hAnsi="Calibri"/>
          <w:b/>
          <w:bCs/>
          <w:i w:val="false"/>
          <w:iCs w:val="false"/>
          <w:color w:val="1F3864"/>
          <w:sz w:val="52"/>
          <w:szCs w:val="52"/>
        </w:rPr>
        <w:t xml:space="preserve">Requirements Gathering Template</w:t>
      </w:r>
    </w:p>
    <w:p>
      <w:pPr>
        <w:spacing w:after="400"/>
        <w:jc w:val="center"/>
      </w:pPr>
      <w:r>
        <w:rPr>
          <w:rFonts w:ascii="Calibri" w:cs="Calibri" w:eastAsia="Calibri" w:hAnsi="Calibri"/>
          <w:b w:val="false"/>
          <w:bCs w:val="false"/>
          <w:i w:val="false"/>
          <w:iCs w:val="false"/>
          <w:color w:val="595959"/>
          <w:sz w:val="28"/>
          <w:szCs w:val="28"/>
        </w:rPr>
        <w:t xml:space="preserve">As-is capture at L3 activity level</w:t>
      </w:r>
    </w:p>
    <w:tbl>
      <w:tblPr>
        <w:tblW w:type="dxa" w:w="14678"/>
        <w:tblBorders>
          <w:top w:val="single" w:color="9AA3B0" w:sz="4"/>
          <w:left w:val="single" w:color="9AA3B0" w:sz="4"/>
          <w:bottom w:val="single" w:color="9AA3B0" w:sz="4"/>
          <w:right w:val="single" w:color="9AA3B0" w:sz="4"/>
          <w:insideH w:val="single" w:color="B8C0CC" w:sz="2"/>
          <w:insideV w:val="single" w:color="B8C0CC" w:sz="2"/>
        </w:tblBorders>
      </w:tblPr>
      <w:tblGrid>
        <w:gridCol w:w="4600"/>
        <w:gridCol w:w="10078"/>
      </w:tblGrid>
      <w:tr>
        <w:tc>
          <w:tcPr>
            <w:tcW w:type="dxa" w:w="4600"/>
            <w:shd w:fill="F2F2F2"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Document purpose</w:t>
            </w:r>
          </w:p>
        </w:tc>
        <w:tc>
          <w:tcPr>
            <w:tcW w:type="dxa" w:w="100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Structured capture of how an activity is performed today, as input to a BRD or automation assessment. This template records the current state only. It does not capture future-state design, solution options, or AI involvement.</w:t>
            </w:r>
          </w:p>
        </w:tc>
      </w:tr>
      <w:tr>
        <w:tc>
          <w:tcPr>
            <w:tcW w:type="dxa" w:w="4600"/>
            <w:shd w:fill="F2F2F2"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Capture unit</w:t>
            </w:r>
          </w:p>
        </w:tc>
        <w:tc>
          <w:tcPr>
            <w:tcW w:type="dxa" w:w="100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One Part A per L2 activity. One Part B per in-scope L3 activity underneath it.</w:t>
            </w:r>
          </w:p>
        </w:tc>
      </w:tr>
      <w:tr>
        <w:tc>
          <w:tcPr>
            <w:tcW w:type="dxa" w:w="4600"/>
            <w:shd w:fill="F2F2F2"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Completed by</w:t>
            </w:r>
          </w:p>
        </w:tc>
        <w:tc>
          <w:tcPr>
            <w:tcW w:type="dxa" w:w="100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r>
      <w:tr>
        <w:tc>
          <w:tcPr>
            <w:tcW w:type="dxa" w:w="4600"/>
            <w:shd w:fill="F2F2F2"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SME(s) interviewed</w:t>
            </w:r>
          </w:p>
        </w:tc>
        <w:tc>
          <w:tcPr>
            <w:tcW w:type="dxa" w:w="100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r>
      <w:tr>
        <w:tc>
          <w:tcPr>
            <w:tcW w:type="dxa" w:w="4600"/>
            <w:shd w:fill="F2F2F2"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Date of capture</w:t>
            </w:r>
          </w:p>
        </w:tc>
        <w:tc>
          <w:tcPr>
            <w:tcW w:type="dxa" w:w="100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r>
      <w:tr>
        <w:tc>
          <w:tcPr>
            <w:tcW w:type="dxa" w:w="4600"/>
            <w:shd w:fill="F2F2F2"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Version</w:t>
            </w:r>
          </w:p>
        </w:tc>
        <w:tc>
          <w:tcPr>
            <w:tcW w:type="dxa" w:w="100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r>
    </w:tbl>
    <w:p>
      <w:pPr>
        <w:spacing w:after="120"/>
      </w:pPr>
      <w:r>
        <w:rPr>
          <w:rFonts w:ascii="Calibri" w:cs="Calibri" w:eastAsia="Calibri" w:hAnsi="Calibri"/>
          <w:b w:val="false"/>
          <w:bCs w:val="false"/>
          <w:i w:val="false"/>
          <w:iCs w:val="false"/>
          <w:sz w:val="18"/>
          <w:szCs w:val="18"/>
        </w:rPr>
        <w:t xml:space="preserve"/>
      </w:r>
    </w:p>
    <w:p>
      <w:pPr>
        <w:pStyle w:val="Heading2"/>
        <w:spacing w:after="110" w:before="260"/>
      </w:pPr>
      <w:r>
        <w:rPr>
          <w:rFonts w:ascii="Calibri" w:cs="Calibri" w:eastAsia="Calibri" w:hAnsi="Calibri"/>
          <w:b/>
          <w:bCs/>
          <w:i w:val="false"/>
          <w:iCs w:val="false"/>
          <w:color w:val="2E5496"/>
          <w:sz w:val="22"/>
          <w:szCs w:val="22"/>
        </w:rPr>
        <w:t xml:space="preserve">How to use this template</w:t>
      </w:r>
    </w:p>
    <w:tbl>
      <w:tblPr>
        <w:tblW w:type="dxa" w:w="14678"/>
        <w:tblBorders>
          <w:top w:val="single" w:color="9AA3B0" w:sz="4"/>
          <w:left w:val="single" w:color="9AA3B0" w:sz="4"/>
          <w:bottom w:val="single" w:color="9AA3B0" w:sz="4"/>
          <w:right w:val="single" w:color="9AA3B0" w:sz="4"/>
          <w:insideH w:val="single" w:color="B8C0CC" w:sz="2"/>
          <w:insideV w:val="single" w:color="B8C0CC" w:sz="2"/>
        </w:tblBorders>
      </w:tblPr>
      <w:tblGrid>
        <w:gridCol w:w="700"/>
        <w:gridCol w:w="13978"/>
      </w:tblGrid>
      <w:tr>
        <w:trPr>
          <w:tblHeader/>
        </w:trPr>
        <w:tc>
          <w:tcPr>
            <w:tcW w:type="dxa" w:w="700"/>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w:t>
            </w:r>
          </w:p>
        </w:tc>
        <w:tc>
          <w:tcPr>
            <w:tcW w:type="dxa" w:w="13978"/>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Instruction</w:t>
            </w:r>
          </w:p>
        </w:tc>
      </w:tr>
      <w:tr>
        <w:tc>
          <w:tcPr>
            <w:tcW w:type="dxa" w:w="7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1</w:t>
            </w:r>
          </w:p>
        </w:tc>
        <w:tc>
          <w:tcPr>
            <w:tcW w:type="dxa" w:w="139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Fill Part A once for the L2 activity. It carries everything common across the L3s underneath it: intake channels, mailbox addresses, trigger identification, systems, and existing automation.</w:t>
            </w:r>
          </w:p>
        </w:tc>
      </w:tr>
      <w:tr>
        <w:tc>
          <w:tcPr>
            <w:tcW w:type="dxa" w:w="7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2</w:t>
            </w:r>
          </w:p>
        </w:tc>
        <w:tc>
          <w:tcPr>
            <w:tcW w:type="dxa" w:w="139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Complete the L3 inventory in Part A before starting any Part B form. That inventory tells you how many Part B forms should exist and which are still outstanding.</w:t>
            </w:r>
          </w:p>
        </w:tc>
      </w:tr>
      <w:tr>
        <w:tc>
          <w:tcPr>
            <w:tcW w:type="dxa" w:w="7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3</w:t>
            </w:r>
          </w:p>
        </w:tc>
        <w:tc>
          <w:tcPr>
            <w:tcW w:type="dxa" w:w="139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Fill one Part B per in-scope L3. Part B inherits Part A and records only what is specific to that L3.</w:t>
            </w:r>
          </w:p>
        </w:tc>
      </w:tr>
      <w:tr>
        <w:tc>
          <w:tcPr>
            <w:tcW w:type="dxa" w:w="7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4</w:t>
            </w:r>
          </w:p>
        </w:tc>
        <w:tc>
          <w:tcPr>
            <w:tcW w:type="dxa" w:w="139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Where an L3 is materially the same as another already captured, use the "Same as" field at the top of Part B and record only the difference. Do not refill the whole form.</w:t>
            </w:r>
          </w:p>
        </w:tc>
      </w:tr>
      <w:tr>
        <w:tc>
          <w:tcPr>
            <w:tcW w:type="dxa" w:w="7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5</w:t>
            </w:r>
          </w:p>
        </w:tc>
        <w:tc>
          <w:tcPr>
            <w:tcW w:type="dxa" w:w="139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Mark shared steps in the as-is table wherever a step also appears in other L3s. These are the candidate reusable components and are easier to identify at capture time than to reverse-engineer later.</w:t>
            </w:r>
          </w:p>
        </w:tc>
      </w:tr>
      <w:tr>
        <w:tc>
          <w:tcPr>
            <w:tcW w:type="dxa" w:w="7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6</w:t>
            </w:r>
          </w:p>
        </w:tc>
        <w:tc>
          <w:tcPr>
            <w:tcW w:type="dxa" w:w="139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Capture every numeric threshold at the point it arises, together with the person who owns that number. Thresholds left to a later pass tend to stall as a group because SMEs need to go away and check them.</w:t>
            </w:r>
          </w:p>
        </w:tc>
      </w:tr>
      <w:tr>
        <w:tc>
          <w:tcPr>
            <w:tcW w:type="dxa" w:w="7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7</w:t>
            </w:r>
          </w:p>
        </w:tc>
        <w:tc>
          <w:tcPr>
            <w:tcW w:type="dxa" w:w="139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Request real input files at the time of the walkthrough, not afterwards. Sample collection is usually the longest lead item.</w:t>
            </w:r>
          </w:p>
        </w:tc>
      </w:tr>
      <w:tr>
        <w:tc>
          <w:tcPr>
            <w:tcW w:type="dxa" w:w="7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8</w:t>
            </w:r>
          </w:p>
        </w:tc>
        <w:tc>
          <w:tcPr>
            <w:tcW w:type="dxa" w:w="139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A worked example for SSG OTC Settlements is at Annexure A. Use it as a reference for the level of detail expected.</w:t>
            </w:r>
          </w:p>
        </w:tc>
      </w:tr>
    </w:tbl>
    <w:p>
      <w:pPr>
        <w:spacing w:after="120"/>
      </w:pPr>
      <w:r>
        <w:rPr>
          <w:rFonts w:ascii="Calibri" w:cs="Calibri" w:eastAsia="Calibri" w:hAnsi="Calibri"/>
          <w:b w:val="false"/>
          <w:bCs w:val="false"/>
          <w:i w:val="false"/>
          <w:iCs w:val="false"/>
          <w:sz w:val="18"/>
          <w:szCs w:val="18"/>
        </w:rPr>
        <w:t xml:space="preserve"/>
      </w:r>
    </w:p>
    <w:p>
      <w:pPr>
        <w:pStyle w:val="Heading2"/>
        <w:spacing w:after="110" w:before="260"/>
      </w:pPr>
      <w:r>
        <w:rPr>
          <w:rFonts w:ascii="Calibri" w:cs="Calibri" w:eastAsia="Calibri" w:hAnsi="Calibri"/>
          <w:b/>
          <w:bCs/>
          <w:i w:val="false"/>
          <w:iCs w:val="false"/>
          <w:color w:val="2E5496"/>
          <w:sz w:val="22"/>
          <w:szCs w:val="22"/>
        </w:rPr>
        <w:t xml:space="preserve">Input pattern reference</w:t>
      </w:r>
    </w:p>
    <w:p>
      <w:pPr>
        <w:spacing w:after="140" w:before="60"/>
      </w:pPr>
      <w:r>
        <w:rPr>
          <w:rFonts w:ascii="Calibri" w:cs="Calibri" w:eastAsia="Calibri" w:hAnsi="Calibri"/>
          <w:b/>
          <w:bCs/>
          <w:i/>
          <w:iCs/>
          <w:color w:val="595959"/>
          <w:sz w:val="16"/>
          <w:szCs w:val="16"/>
        </w:rPr>
        <w:t xml:space="preserve">Guidance: </w:t>
      </w:r>
      <w:r>
        <w:rPr>
          <w:rFonts w:ascii="Calibri" w:cs="Calibri" w:eastAsia="Calibri" w:hAnsi="Calibri"/>
          <w:b w:val="false"/>
          <w:bCs w:val="false"/>
          <w:i/>
          <w:iCs/>
          <w:color w:val="595959"/>
          <w:sz w:val="16"/>
          <w:szCs w:val="16"/>
        </w:rPr>
        <w:t xml:space="preserve">Use these labels consistently. One activity can carry more than one input pattern; tag each channel separately rather than forcing a single label.</w:t>
      </w:r>
    </w:p>
    <w:tbl>
      <w:tblPr>
        <w:tblW w:type="dxa" w:w="14678"/>
        <w:tblBorders>
          <w:top w:val="single" w:color="9AA3B0" w:sz="4"/>
          <w:left w:val="single" w:color="9AA3B0" w:sz="4"/>
          <w:bottom w:val="single" w:color="9AA3B0" w:sz="4"/>
          <w:right w:val="single" w:color="9AA3B0" w:sz="4"/>
          <w:insideH w:val="single" w:color="B8C0CC" w:sz="2"/>
          <w:insideV w:val="single" w:color="B8C0CC" w:sz="2"/>
        </w:tblBorders>
      </w:tblPr>
      <w:tblGrid>
        <w:gridCol w:w="1500"/>
        <w:gridCol w:w="6000"/>
        <w:gridCol w:w="7178"/>
      </w:tblGrid>
      <w:tr>
        <w:trPr>
          <w:tblHeader/>
        </w:trPr>
        <w:tc>
          <w:tcPr>
            <w:tcW w:type="dxa" w:w="1500"/>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Pattern</w:t>
            </w:r>
          </w:p>
        </w:tc>
        <w:tc>
          <w:tcPr>
            <w:tcW w:type="dxa" w:w="6000"/>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Description</w:t>
            </w:r>
          </w:p>
        </w:tc>
        <w:tc>
          <w:tcPr>
            <w:tcW w:type="dxa" w:w="7178"/>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Typical characteristics</w:t>
            </w:r>
          </w:p>
        </w:tc>
      </w:tr>
      <w:tr>
        <w:tc>
          <w:tcPr>
            <w:tcW w:type="dxa" w:w="15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IP1</w:t>
            </w:r>
          </w:p>
        </w:tc>
        <w:tc>
          <w:tcPr>
            <w:tcW w:type="dxa" w:w="60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Request arrives by email containing a link to a webform or system screen</w:t>
            </w:r>
          </w:p>
        </w:tc>
        <w:tc>
          <w:tcPr>
            <w:tcW w:type="dxa" w:w="71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Structured fields plus an unstructured comments box behind the link</w:t>
            </w:r>
          </w:p>
        </w:tc>
      </w:tr>
      <w:tr>
        <w:tc>
          <w:tcPr>
            <w:tcW w:type="dxa" w:w="15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IP2</w:t>
            </w:r>
          </w:p>
        </w:tc>
        <w:tc>
          <w:tcPr>
            <w:tcW w:type="dxa" w:w="60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Request arrives by email with a file attachment (Excel or similar)</w:t>
            </w:r>
          </w:p>
        </w:tc>
        <w:tc>
          <w:tcPr>
            <w:tcW w:type="dxa" w:w="71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Attachment may be a controlled template or the requester's own format</w:t>
            </w:r>
          </w:p>
        </w:tc>
      </w:tr>
      <w:tr>
        <w:tc>
          <w:tcPr>
            <w:tcW w:type="dxa" w:w="15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IP3</w:t>
            </w:r>
          </w:p>
        </w:tc>
        <w:tc>
          <w:tcPr>
            <w:tcW w:type="dxa" w:w="60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Request arrives as free-text email</w:t>
            </w:r>
          </w:p>
        </w:tc>
        <w:tc>
          <w:tcPr>
            <w:tcW w:type="dxa" w:w="71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No template, no fixed fields, intent has to be read from the body</w:t>
            </w:r>
          </w:p>
        </w:tc>
      </w:tr>
      <w:tr>
        <w:tc>
          <w:tcPr>
            <w:tcW w:type="dxa" w:w="15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IP4</w:t>
            </w:r>
          </w:p>
        </w:tc>
        <w:tc>
          <w:tcPr>
            <w:tcW w:type="dxa" w:w="60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Request originates as a workflow item in a system, with no email</w:t>
            </w:r>
          </w:p>
        </w:tc>
        <w:tc>
          <w:tcPr>
            <w:tcW w:type="dxa" w:w="71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Automation starts at receipt of the work item, not at an email</w:t>
            </w:r>
          </w:p>
        </w:tc>
      </w:tr>
      <w:tr>
        <w:tc>
          <w:tcPr>
            <w:tcW w:type="dxa" w:w="15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Other</w:t>
            </w:r>
          </w:p>
        </w:tc>
        <w:tc>
          <w:tcPr>
            <w:tcW w:type="dxa" w:w="60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Chat, messaging feed, file drop, phone or any other channel</w:t>
            </w:r>
          </w:p>
        </w:tc>
        <w:tc>
          <w:tcPr>
            <w:tcW w:type="dxa" w:w="71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Describe in full in Part A, Section A3</w:t>
            </w:r>
          </w:p>
        </w:tc>
      </w:tr>
    </w:tbl>
    <w:p>
      <w:r>
        <w:br w:type="page"/>
      </w:r>
    </w:p>
    <w:p>
      <w:pPr>
        <w:pStyle w:val="Heading1"/>
        <w:spacing w:after="140" w:before="320"/>
      </w:pPr>
      <w:r>
        <w:rPr>
          <w:rFonts w:ascii="Calibri" w:cs="Calibri" w:eastAsia="Calibri" w:hAnsi="Calibri"/>
          <w:b/>
          <w:bCs/>
          <w:i w:val="false"/>
          <w:iCs w:val="false"/>
          <w:color w:val="1F3864"/>
          <w:sz w:val="26"/>
          <w:szCs w:val="26"/>
        </w:rPr>
        <w:t xml:space="preserve">Part A — L2 Context Sheet</w:t>
      </w:r>
    </w:p>
    <w:p>
      <w:pPr>
        <w:spacing w:after="140" w:before="60"/>
      </w:pPr>
      <w:r>
        <w:rPr>
          <w:rFonts w:ascii="Calibri" w:cs="Calibri" w:eastAsia="Calibri" w:hAnsi="Calibri"/>
          <w:b/>
          <w:bCs/>
          <w:i/>
          <w:iCs/>
          <w:color w:val="595959"/>
          <w:sz w:val="16"/>
          <w:szCs w:val="16"/>
        </w:rPr>
        <w:t xml:space="preserve">Guidance: </w:t>
      </w:r>
      <w:r>
        <w:rPr>
          <w:rFonts w:ascii="Calibri" w:cs="Calibri" w:eastAsia="Calibri" w:hAnsi="Calibri"/>
          <w:b w:val="false"/>
          <w:bCs w:val="false"/>
          <w:i/>
          <w:iCs/>
          <w:color w:val="595959"/>
          <w:sz w:val="16"/>
          <w:szCs w:val="16"/>
        </w:rPr>
        <w:t xml:space="preserve">Complete once per L2 activity. Everything recorded here is inherited by every L3 form underneath it and should not be repeated in Part B.</w:t>
      </w:r>
    </w:p>
    <w:p>
      <w:pPr>
        <w:pStyle w:val="Heading2"/>
        <w:spacing w:after="110" w:before="260"/>
      </w:pPr>
      <w:r>
        <w:rPr>
          <w:rFonts w:ascii="Calibri" w:cs="Calibri" w:eastAsia="Calibri" w:hAnsi="Calibri"/>
          <w:b/>
          <w:bCs/>
          <w:i w:val="false"/>
          <w:iCs w:val="false"/>
          <w:color w:val="2E5496"/>
          <w:sz w:val="22"/>
          <w:szCs w:val="22"/>
        </w:rPr>
        <w:t xml:space="preserve">A1. Identification</w:t>
      </w:r>
    </w:p>
    <w:tbl>
      <w:tblPr>
        <w:tblW w:type="dxa" w:w="14678"/>
        <w:tblBorders>
          <w:top w:val="single" w:color="9AA3B0" w:sz="4"/>
          <w:left w:val="single" w:color="9AA3B0" w:sz="4"/>
          <w:bottom w:val="single" w:color="9AA3B0" w:sz="4"/>
          <w:right w:val="single" w:color="9AA3B0" w:sz="4"/>
          <w:insideH w:val="single" w:color="B8C0CC" w:sz="2"/>
          <w:insideV w:val="single" w:color="B8C0CC" w:sz="2"/>
        </w:tblBorders>
      </w:tblPr>
      <w:tblGrid>
        <w:gridCol w:w="4000"/>
        <w:gridCol w:w="10678"/>
      </w:tblGrid>
      <w:tr>
        <w:tc>
          <w:tcPr>
            <w:tcW w:type="dxa" w:w="4000"/>
            <w:shd w:fill="F2F2F2"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Driver / function</w:t>
            </w:r>
          </w:p>
        </w:tc>
        <w:tc>
          <w:tcPr>
            <w:tcW w:type="dxa" w:w="106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r>
      <w:tr>
        <w:tc>
          <w:tcPr>
            <w:tcW w:type="dxa" w:w="4000"/>
            <w:shd w:fill="F2F2F2"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L2 activity reference and name</w:t>
            </w:r>
          </w:p>
        </w:tc>
        <w:tc>
          <w:tcPr>
            <w:tcW w:type="dxa" w:w="106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r>
      <w:tr>
        <w:tc>
          <w:tcPr>
            <w:tcW w:type="dxa" w:w="4000"/>
            <w:shd w:fill="F2F2F2"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Business unit and team</w:t>
            </w:r>
          </w:p>
        </w:tc>
        <w:tc>
          <w:tcPr>
            <w:tcW w:type="dxa" w:w="106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r>
      <w:tr>
        <w:tc>
          <w:tcPr>
            <w:tcW w:type="dxa" w:w="4000"/>
            <w:shd w:fill="F2F2F2"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Location(s) where performed</w:t>
            </w:r>
          </w:p>
        </w:tc>
        <w:tc>
          <w:tcPr>
            <w:tcW w:type="dxa" w:w="106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r>
      <w:tr>
        <w:tc>
          <w:tcPr>
            <w:tcW w:type="dxa" w:w="4000"/>
            <w:shd w:fill="F2F2F2"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SME name and role</w:t>
            </w:r>
          </w:p>
        </w:tc>
        <w:tc>
          <w:tcPr>
            <w:tcW w:type="dxa" w:w="106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r>
      <w:tr>
        <w:tc>
          <w:tcPr>
            <w:tcW w:type="dxa" w:w="4000"/>
            <w:shd w:fill="F2F2F2"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Process owner</w:t>
            </w:r>
          </w:p>
        </w:tc>
        <w:tc>
          <w:tcPr>
            <w:tcW w:type="dxa" w:w="106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r>
      <w:tr>
        <w:tc>
          <w:tcPr>
            <w:tcW w:type="dxa" w:w="4000"/>
            <w:shd w:fill="F2F2F2"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Other attendees at walkthrough</w:t>
            </w:r>
          </w:p>
        </w:tc>
        <w:tc>
          <w:tcPr>
            <w:tcW w:type="dxa" w:w="106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r>
      <w:tr>
        <w:tc>
          <w:tcPr>
            <w:tcW w:type="dxa" w:w="4000"/>
            <w:shd w:fill="F2F2F2"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One-line description of the L2 activity</w:t>
            </w:r>
          </w:p>
        </w:tc>
        <w:tc>
          <w:tcPr>
            <w:tcW w:type="dxa" w:w="106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r>
      <w:tr>
        <w:tc>
          <w:tcPr>
            <w:tcW w:type="dxa" w:w="4000"/>
            <w:shd w:fill="F2F2F2"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Date of capture / version</w:t>
            </w:r>
          </w:p>
        </w:tc>
        <w:tc>
          <w:tcPr>
            <w:tcW w:type="dxa" w:w="106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r>
    </w:tbl>
    <w:p>
      <w:pPr>
        <w:pStyle w:val="Heading2"/>
        <w:spacing w:after="110" w:before="260"/>
      </w:pPr>
      <w:r>
        <w:rPr>
          <w:rFonts w:ascii="Calibri" w:cs="Calibri" w:eastAsia="Calibri" w:hAnsi="Calibri"/>
          <w:b/>
          <w:bCs/>
          <w:i w:val="false"/>
          <w:iCs w:val="false"/>
          <w:color w:val="2E5496"/>
          <w:sz w:val="22"/>
          <w:szCs w:val="22"/>
        </w:rPr>
        <w:t xml:space="preserve">A2. L3 inventory</w:t>
      </w:r>
    </w:p>
    <w:p>
      <w:pPr>
        <w:spacing w:after="140" w:before="60"/>
      </w:pPr>
      <w:r>
        <w:rPr>
          <w:rFonts w:ascii="Calibri" w:cs="Calibri" w:eastAsia="Calibri" w:hAnsi="Calibri"/>
          <w:b/>
          <w:bCs/>
          <w:i/>
          <w:iCs/>
          <w:color w:val="595959"/>
          <w:sz w:val="16"/>
          <w:szCs w:val="16"/>
        </w:rPr>
        <w:t xml:space="preserve">Guidance: </w:t>
      </w:r>
      <w:r>
        <w:rPr>
          <w:rFonts w:ascii="Calibri" w:cs="Calibri" w:eastAsia="Calibri" w:hAnsi="Calibri"/>
          <w:b w:val="false"/>
          <w:bCs w:val="false"/>
          <w:i/>
          <w:iCs/>
          <w:color w:val="595959"/>
          <w:sz w:val="16"/>
          <w:szCs w:val="16"/>
        </w:rPr>
        <w:t xml:space="preserve">List every L3 underneath this L2, including those out of scope. This is the control sheet for the exercise: it tells you how many Part B forms are expected and which are still outstanding.</w:t>
      </w:r>
    </w:p>
    <w:tbl>
      <w:tblPr>
        <w:tblW w:type="dxa" w:w="14678"/>
        <w:tblBorders>
          <w:top w:val="single" w:color="9AA3B0" w:sz="4"/>
          <w:left w:val="single" w:color="9AA3B0" w:sz="4"/>
          <w:bottom w:val="single" w:color="9AA3B0" w:sz="4"/>
          <w:right w:val="single" w:color="9AA3B0" w:sz="4"/>
          <w:insideH w:val="single" w:color="B8C0CC" w:sz="2"/>
          <w:insideV w:val="single" w:color="B8C0CC" w:sz="2"/>
        </w:tblBorders>
      </w:tblPr>
      <w:tblGrid>
        <w:gridCol w:w="900"/>
        <w:gridCol w:w="3500"/>
        <w:gridCol w:w="1300"/>
        <w:gridCol w:w="1500"/>
        <w:gridCol w:w="1400"/>
        <w:gridCol w:w="1000"/>
        <w:gridCol w:w="1500"/>
        <w:gridCol w:w="3578"/>
      </w:tblGrid>
      <w:tr>
        <w:trPr>
          <w:tblHeader/>
        </w:trPr>
        <w:tc>
          <w:tcPr>
            <w:tcW w:type="dxa" w:w="900"/>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L3 ref</w:t>
            </w:r>
          </w:p>
        </w:tc>
        <w:tc>
          <w:tcPr>
            <w:tcW w:type="dxa" w:w="3500"/>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L3 activity name</w:t>
            </w:r>
          </w:p>
        </w:tc>
        <w:tc>
          <w:tcPr>
            <w:tcW w:type="dxa" w:w="1300"/>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Input pattern(s)</w:t>
            </w:r>
          </w:p>
        </w:tc>
        <w:tc>
          <w:tcPr>
            <w:tcW w:type="dxa" w:w="1500"/>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Volume (state period)</w:t>
            </w:r>
          </w:p>
        </w:tc>
        <w:tc>
          <w:tcPr>
            <w:tcW w:type="dxa" w:w="1400"/>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Frequency</w:t>
            </w:r>
          </w:p>
        </w:tc>
        <w:tc>
          <w:tcPr>
            <w:tcW w:type="dxa" w:w="1000"/>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In scope Y/N</w:t>
            </w:r>
          </w:p>
        </w:tc>
        <w:tc>
          <w:tcPr>
            <w:tcW w:type="dxa" w:w="1500"/>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SME</w:t>
            </w:r>
          </w:p>
        </w:tc>
        <w:tc>
          <w:tcPr>
            <w:tcW w:type="dxa" w:w="3578"/>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Part B form status</w:t>
            </w:r>
          </w:p>
        </w:tc>
      </w:tr>
      <w:tr>
        <w:tc>
          <w:tcPr>
            <w:tcW w:type="dxa" w:w="9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35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3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5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4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0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5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35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r>
      <w:tr>
        <w:tc>
          <w:tcPr>
            <w:tcW w:type="dxa" w:w="9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35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3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5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4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0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5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35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r>
      <w:tr>
        <w:tc>
          <w:tcPr>
            <w:tcW w:type="dxa" w:w="9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35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3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5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4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0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5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35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r>
      <w:tr>
        <w:tc>
          <w:tcPr>
            <w:tcW w:type="dxa" w:w="9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35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3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5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4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0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5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35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r>
      <w:tr>
        <w:tc>
          <w:tcPr>
            <w:tcW w:type="dxa" w:w="9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35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3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5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4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0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5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35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r>
      <w:tr>
        <w:tc>
          <w:tcPr>
            <w:tcW w:type="dxa" w:w="9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35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3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5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4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0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5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35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r>
      <w:tr>
        <w:tc>
          <w:tcPr>
            <w:tcW w:type="dxa" w:w="9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35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3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5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4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0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5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35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r>
      <w:tr>
        <w:tc>
          <w:tcPr>
            <w:tcW w:type="dxa" w:w="9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35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3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5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4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0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5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35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r>
      <w:tr>
        <w:tc>
          <w:tcPr>
            <w:tcW w:type="dxa" w:w="9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35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3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5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4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0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5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35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r>
      <w:tr>
        <w:tc>
          <w:tcPr>
            <w:tcW w:type="dxa" w:w="9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35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3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5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4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0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5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35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r>
    </w:tbl>
    <w:p>
      <w:pPr>
        <w:pStyle w:val="Heading2"/>
        <w:spacing w:after="110" w:before="260"/>
      </w:pPr>
      <w:r>
        <w:rPr>
          <w:rFonts w:ascii="Calibri" w:cs="Calibri" w:eastAsia="Calibri" w:hAnsi="Calibri"/>
          <w:b/>
          <w:bCs/>
          <w:i w:val="false"/>
          <w:iCs w:val="false"/>
          <w:color w:val="2E5496"/>
          <w:sz w:val="22"/>
          <w:szCs w:val="22"/>
        </w:rPr>
        <w:t xml:space="preserve">A3. Intake channels</w:t>
      </w:r>
    </w:p>
    <w:p>
      <w:pPr>
        <w:spacing w:after="140" w:before="60"/>
      </w:pPr>
      <w:r>
        <w:rPr>
          <w:rFonts w:ascii="Calibri" w:cs="Calibri" w:eastAsia="Calibri" w:hAnsi="Calibri"/>
          <w:b/>
          <w:bCs/>
          <w:i/>
          <w:iCs/>
          <w:color w:val="595959"/>
          <w:sz w:val="16"/>
          <w:szCs w:val="16"/>
        </w:rPr>
        <w:t xml:space="preserve">Guidance: </w:t>
      </w:r>
      <w:r>
        <w:rPr>
          <w:rFonts w:ascii="Calibri" w:cs="Calibri" w:eastAsia="Calibri" w:hAnsi="Calibri"/>
          <w:b w:val="false"/>
          <w:bCs w:val="false"/>
          <w:i/>
          <w:iCs/>
          <w:color w:val="595959"/>
          <w:sz w:val="16"/>
          <w:szCs w:val="16"/>
        </w:rPr>
        <w:t xml:space="preserve">One row per channel, not per L3. Where a link is referenced in the input, record what sits behind it and attach a screenshot. Request real input files (emails, Excel files, message extracts, forms) covering the clean case, the messy case, and at least one that was rejected or returned, with a minimum of 5 to 10 per input pattern.</w:t>
      </w:r>
    </w:p>
    <w:tbl>
      <w:tblPr>
        <w:tblW w:type="dxa" w:w="14678"/>
        <w:tblBorders>
          <w:top w:val="single" w:color="9AA3B0" w:sz="4"/>
          <w:left w:val="single" w:color="9AA3B0" w:sz="4"/>
          <w:bottom w:val="single" w:color="9AA3B0" w:sz="4"/>
          <w:right w:val="single" w:color="9AA3B0" w:sz="4"/>
          <w:insideH w:val="single" w:color="B8C0CC" w:sz="2"/>
          <w:insideV w:val="single" w:color="B8C0CC" w:sz="2"/>
        </w:tblBorders>
      </w:tblPr>
      <w:tblGrid>
        <w:gridCol w:w="700"/>
        <w:gridCol w:w="1100"/>
        <w:gridCol w:w="2600"/>
        <w:gridCol w:w="1600"/>
        <w:gridCol w:w="2800"/>
        <w:gridCol w:w="1500"/>
        <w:gridCol w:w="1400"/>
        <w:gridCol w:w="2978"/>
      </w:tblGrid>
      <w:tr>
        <w:trPr>
          <w:tblHeader/>
        </w:trPr>
        <w:tc>
          <w:tcPr>
            <w:tcW w:type="dxa" w:w="700"/>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Ch #</w:t>
            </w:r>
          </w:p>
        </w:tc>
        <w:tc>
          <w:tcPr>
            <w:tcW w:type="dxa" w:w="1100"/>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Input pattern</w:t>
            </w:r>
          </w:p>
        </w:tc>
        <w:tc>
          <w:tcPr>
            <w:tcW w:type="dxa" w:w="2600"/>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Mailbox address / queue / feed / system</w:t>
            </w:r>
          </w:p>
        </w:tc>
        <w:tc>
          <w:tcPr>
            <w:tcW w:type="dxa" w:w="1600"/>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Sender profile</w:t>
            </w:r>
          </w:p>
        </w:tc>
        <w:tc>
          <w:tcPr>
            <w:tcW w:type="dxa" w:w="2800"/>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Links referenced in the input and what sits behind them</w:t>
            </w:r>
          </w:p>
        </w:tc>
        <w:tc>
          <w:tcPr>
            <w:tcW w:type="dxa" w:w="1500"/>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Attachment types</w:t>
            </w:r>
          </w:p>
        </w:tc>
        <w:tc>
          <w:tcPr>
            <w:tcW w:type="dxa" w:w="1400"/>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Template fixed or free-form</w:t>
            </w:r>
          </w:p>
        </w:tc>
        <w:tc>
          <w:tcPr>
            <w:tcW w:type="dxa" w:w="2978"/>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Real input files: count, provided by, by when</w:t>
            </w:r>
          </w:p>
        </w:tc>
      </w:tr>
      <w:tr>
        <w:tc>
          <w:tcPr>
            <w:tcW w:type="dxa" w:w="7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1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6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6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8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5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4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9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r>
      <w:tr>
        <w:tc>
          <w:tcPr>
            <w:tcW w:type="dxa" w:w="7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1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6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6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8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5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4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9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r>
      <w:tr>
        <w:tc>
          <w:tcPr>
            <w:tcW w:type="dxa" w:w="7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1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6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6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8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5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4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9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r>
      <w:tr>
        <w:tc>
          <w:tcPr>
            <w:tcW w:type="dxa" w:w="7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1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6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6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8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5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4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9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r>
      <w:tr>
        <w:tc>
          <w:tcPr>
            <w:tcW w:type="dxa" w:w="7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1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6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6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8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5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4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9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r>
      <w:tr>
        <w:tc>
          <w:tcPr>
            <w:tcW w:type="dxa" w:w="7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1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6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6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8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5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4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9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r>
    </w:tbl>
    <w:p>
      <w:pPr>
        <w:pStyle w:val="Heading2"/>
        <w:spacing w:after="110" w:before="260"/>
      </w:pPr>
      <w:r>
        <w:rPr>
          <w:rFonts w:ascii="Calibri" w:cs="Calibri" w:eastAsia="Calibri" w:hAnsi="Calibri"/>
          <w:b/>
          <w:bCs/>
          <w:i w:val="false"/>
          <w:iCs w:val="false"/>
          <w:color w:val="2E5496"/>
          <w:sz w:val="22"/>
          <w:szCs w:val="22"/>
        </w:rPr>
        <w:t xml:space="preserve">A4. Trigger and intent identification</w:t>
      </w:r>
    </w:p>
    <w:p>
      <w:pPr>
        <w:spacing w:after="140" w:before="60"/>
      </w:pPr>
      <w:r>
        <w:rPr>
          <w:rFonts w:ascii="Calibri" w:cs="Calibri" w:eastAsia="Calibri" w:hAnsi="Calibri"/>
          <w:b/>
          <w:bCs/>
          <w:i/>
          <w:iCs/>
          <w:color w:val="595959"/>
          <w:sz w:val="16"/>
          <w:szCs w:val="16"/>
        </w:rPr>
        <w:t xml:space="preserve">Guidance: </w:t>
      </w:r>
      <w:r>
        <w:rPr>
          <w:rFonts w:ascii="Calibri" w:cs="Calibri" w:eastAsia="Calibri" w:hAnsi="Calibri"/>
          <w:b w:val="false"/>
          <w:bCs w:val="false"/>
          <w:i/>
          <w:iCs/>
          <w:color w:val="595959"/>
          <w:sz w:val="16"/>
          <w:szCs w:val="16"/>
        </w:rPr>
        <w:t xml:space="preserve">Out of everything arriving on this channel, how does the analyst know an item belongs to this L2, and then to which L3? Answer per channel. This is an L2-level question because the item arrives before anyone knows which L3 it is.</w:t>
      </w:r>
    </w:p>
    <w:tbl>
      <w:tblPr>
        <w:tblW w:type="dxa" w:w="14678"/>
        <w:tblBorders>
          <w:top w:val="single" w:color="9AA3B0" w:sz="4"/>
          <w:left w:val="single" w:color="9AA3B0" w:sz="4"/>
          <w:bottom w:val="single" w:color="9AA3B0" w:sz="4"/>
          <w:right w:val="single" w:color="9AA3B0" w:sz="4"/>
          <w:insideH w:val="single" w:color="B8C0CC" w:sz="2"/>
          <w:insideV w:val="single" w:color="B8C0CC" w:sz="2"/>
        </w:tblBorders>
      </w:tblPr>
      <w:tblGrid>
        <w:gridCol w:w="1600"/>
        <w:gridCol w:w="3200"/>
        <w:gridCol w:w="1200"/>
        <w:gridCol w:w="2400"/>
        <w:gridCol w:w="1400"/>
        <w:gridCol w:w="2400"/>
        <w:gridCol w:w="2478"/>
      </w:tblGrid>
      <w:tr>
        <w:trPr>
          <w:tblHeader/>
        </w:trPr>
        <w:tc>
          <w:tcPr>
            <w:tcW w:type="dxa" w:w="1600"/>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Channel</w:t>
            </w:r>
          </w:p>
        </w:tc>
        <w:tc>
          <w:tcPr>
            <w:tcW w:type="dxa" w:w="3200"/>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How the item is recognised as belonging to this activity (subject line, keyword, request type, message type, file name, sender group, read the body)</w:t>
            </w:r>
          </w:p>
        </w:tc>
        <w:tc>
          <w:tcPr>
            <w:tcW w:type="dxa" w:w="1200"/>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Signal reliability H/M/L</w:t>
            </w:r>
          </w:p>
        </w:tc>
        <w:tc>
          <w:tcPr>
            <w:tcW w:type="dxa" w:w="2400"/>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What the analyst does when it is ambiguous</w:t>
            </w:r>
          </w:p>
        </w:tc>
        <w:tc>
          <w:tcPr>
            <w:tcW w:type="dxa" w:w="1400"/>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Can one item map to multiple L3s? Y/N</w:t>
            </w:r>
          </w:p>
        </w:tc>
        <w:tc>
          <w:tcPr>
            <w:tcW w:type="dxa" w:w="2400"/>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If yes: how often, and how is it split today</w:t>
            </w:r>
          </w:p>
        </w:tc>
        <w:tc>
          <w:tcPr>
            <w:tcW w:type="dxa" w:w="2478"/>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Handled by one person or routed to several</w:t>
            </w:r>
          </w:p>
        </w:tc>
      </w:tr>
      <w:tr>
        <w:tc>
          <w:tcPr>
            <w:tcW w:type="dxa" w:w="16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32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2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4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4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4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4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r>
      <w:tr>
        <w:tc>
          <w:tcPr>
            <w:tcW w:type="dxa" w:w="16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32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2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4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4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4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4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r>
      <w:tr>
        <w:tc>
          <w:tcPr>
            <w:tcW w:type="dxa" w:w="16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32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2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4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4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4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4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r>
      <w:tr>
        <w:tc>
          <w:tcPr>
            <w:tcW w:type="dxa" w:w="16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32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2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4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4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4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4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r>
      <w:tr>
        <w:tc>
          <w:tcPr>
            <w:tcW w:type="dxa" w:w="16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32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2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4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4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4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4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r>
      <w:tr>
        <w:tc>
          <w:tcPr>
            <w:tcW w:type="dxa" w:w="16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32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2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4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4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4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4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r>
    </w:tbl>
    <w:p>
      <w:pPr>
        <w:pStyle w:val="Heading2"/>
        <w:spacing w:after="110" w:before="260"/>
      </w:pPr>
      <w:r>
        <w:rPr>
          <w:rFonts w:ascii="Calibri" w:cs="Calibri" w:eastAsia="Calibri" w:hAnsi="Calibri"/>
          <w:b/>
          <w:bCs/>
          <w:i w:val="false"/>
          <w:iCs w:val="false"/>
          <w:color w:val="2E5496"/>
          <w:sz w:val="22"/>
          <w:szCs w:val="22"/>
        </w:rPr>
        <w:t xml:space="preserve">A5. Systems landscape</w:t>
      </w:r>
    </w:p>
    <w:p>
      <w:pPr>
        <w:spacing w:after="140" w:before="60"/>
      </w:pPr>
      <w:r>
        <w:rPr>
          <w:rFonts w:ascii="Calibri" w:cs="Calibri" w:eastAsia="Calibri" w:hAnsi="Calibri"/>
          <w:b/>
          <w:bCs/>
          <w:i/>
          <w:iCs/>
          <w:color w:val="595959"/>
          <w:sz w:val="16"/>
          <w:szCs w:val="16"/>
        </w:rPr>
        <w:t xml:space="preserve">Guidance: </w:t>
      </w:r>
      <w:r>
        <w:rPr>
          <w:rFonts w:ascii="Calibri" w:cs="Calibri" w:eastAsia="Calibri" w:hAnsi="Calibri"/>
          <w:b w:val="false"/>
          <w:bCs w:val="false"/>
          <w:i/>
          <w:iCs/>
          <w:color w:val="595959"/>
          <w:sz w:val="16"/>
          <w:szCs w:val="16"/>
        </w:rPr>
        <w:t xml:space="preserve">Every system touched anywhere in this L2. Access method and constraints are recorded here because they determine what is feasible later, and they are the items with the longest lead time.</w:t>
      </w:r>
    </w:p>
    <w:tbl>
      <w:tblPr>
        <w:tblW w:type="dxa" w:w="14678"/>
        <w:tblBorders>
          <w:top w:val="single" w:color="9AA3B0" w:sz="4"/>
          <w:left w:val="single" w:color="9AA3B0" w:sz="4"/>
          <w:bottom w:val="single" w:color="9AA3B0" w:sz="4"/>
          <w:right w:val="single" w:color="9AA3B0" w:sz="4"/>
          <w:insideH w:val="single" w:color="B8C0CC" w:sz="2"/>
          <w:insideV w:val="single" w:color="B8C0CC" w:sz="2"/>
        </w:tblBorders>
      </w:tblPr>
      <w:tblGrid>
        <w:gridCol w:w="2000"/>
        <w:gridCol w:w="3400"/>
        <w:gridCol w:w="1200"/>
        <w:gridCol w:w="2200"/>
        <w:gridCol w:w="1800"/>
        <w:gridCol w:w="1400"/>
        <w:gridCol w:w="2678"/>
      </w:tblGrid>
      <w:tr>
        <w:trPr>
          <w:tblHeader/>
        </w:trPr>
        <w:tc>
          <w:tcPr>
            <w:tcW w:type="dxa" w:w="2000"/>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System</w:t>
            </w:r>
          </w:p>
        </w:tc>
        <w:tc>
          <w:tcPr>
            <w:tcW w:type="dxa" w:w="3400"/>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Role in this activity</w:t>
            </w:r>
          </w:p>
        </w:tc>
        <w:tc>
          <w:tcPr>
            <w:tcW w:type="dxa" w:w="1200"/>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Read / Write</w:t>
            </w:r>
          </w:p>
        </w:tc>
        <w:tc>
          <w:tcPr>
            <w:tcW w:type="dxa" w:w="2200"/>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Access method available today (UI only, API, file drop, none)</w:t>
            </w:r>
          </w:p>
        </w:tc>
        <w:tc>
          <w:tcPr>
            <w:tcW w:type="dxa" w:w="1800"/>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Owner team</w:t>
            </w:r>
          </w:p>
        </w:tc>
        <w:tc>
          <w:tcPr>
            <w:tcW w:type="dxa" w:w="1400"/>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Internal or third party</w:t>
            </w:r>
          </w:p>
        </w:tc>
        <w:tc>
          <w:tcPr>
            <w:tcW w:type="dxa" w:w="2678"/>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Known access, licensing or technical constraints</w:t>
            </w:r>
          </w:p>
        </w:tc>
      </w:tr>
      <w:tr>
        <w:tc>
          <w:tcPr>
            <w:tcW w:type="dxa" w:w="20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34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2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2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8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4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6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r>
      <w:tr>
        <w:tc>
          <w:tcPr>
            <w:tcW w:type="dxa" w:w="20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34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2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2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8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4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6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r>
      <w:tr>
        <w:tc>
          <w:tcPr>
            <w:tcW w:type="dxa" w:w="20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34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2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2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8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4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6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r>
      <w:tr>
        <w:tc>
          <w:tcPr>
            <w:tcW w:type="dxa" w:w="20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34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2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2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8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4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6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r>
      <w:tr>
        <w:tc>
          <w:tcPr>
            <w:tcW w:type="dxa" w:w="20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34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2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2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8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4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6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r>
      <w:tr>
        <w:tc>
          <w:tcPr>
            <w:tcW w:type="dxa" w:w="20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34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2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2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8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4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6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r>
      <w:tr>
        <w:tc>
          <w:tcPr>
            <w:tcW w:type="dxa" w:w="20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34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2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2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8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4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6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r>
      <w:tr>
        <w:tc>
          <w:tcPr>
            <w:tcW w:type="dxa" w:w="20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34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2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2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8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4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6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r>
      <w:tr>
        <w:tc>
          <w:tcPr>
            <w:tcW w:type="dxa" w:w="20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34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2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2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8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4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6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r>
      <w:tr>
        <w:tc>
          <w:tcPr>
            <w:tcW w:type="dxa" w:w="20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34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2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2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8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4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6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r>
    </w:tbl>
    <w:p>
      <w:pPr>
        <w:pStyle w:val="Heading2"/>
        <w:spacing w:after="110" w:before="260"/>
      </w:pPr>
      <w:r>
        <w:rPr>
          <w:rFonts w:ascii="Calibri" w:cs="Calibri" w:eastAsia="Calibri" w:hAnsi="Calibri"/>
          <w:b/>
          <w:bCs/>
          <w:i w:val="false"/>
          <w:iCs w:val="false"/>
          <w:color w:val="2E5496"/>
          <w:sz w:val="22"/>
          <w:szCs w:val="22"/>
        </w:rPr>
        <w:t xml:space="preserve">A6. Existing automation</w:t>
      </w:r>
    </w:p>
    <w:p>
      <w:pPr>
        <w:spacing w:after="140" w:before="60"/>
      </w:pPr>
      <w:r>
        <w:rPr>
          <w:rFonts w:ascii="Calibri" w:cs="Calibri" w:eastAsia="Calibri" w:hAnsi="Calibri"/>
          <w:b/>
          <w:bCs/>
          <w:i/>
          <w:iCs/>
          <w:color w:val="595959"/>
          <w:sz w:val="16"/>
          <w:szCs w:val="16"/>
        </w:rPr>
        <w:t xml:space="preserve">Guidance: </w:t>
      </w:r>
      <w:r>
        <w:rPr>
          <w:rFonts w:ascii="Calibri" w:cs="Calibri" w:eastAsia="Calibri" w:hAnsi="Calibri"/>
          <w:b w:val="false"/>
          <w:bCs w:val="false"/>
          <w:i/>
          <w:iCs/>
          <w:color w:val="595959"/>
          <w:sz w:val="16"/>
          <w:szCs w:val="16"/>
        </w:rPr>
        <w:t xml:space="preserve">Any macro, EUC, RPA bot, Excel tool, workflow rule, Power Automate flow or script already in use. What it does not cover is usually more informative than what it does.</w:t>
      </w:r>
    </w:p>
    <w:tbl>
      <w:tblPr>
        <w:tblW w:type="dxa" w:w="14678"/>
        <w:tblBorders>
          <w:top w:val="single" w:color="9AA3B0" w:sz="4"/>
          <w:left w:val="single" w:color="9AA3B0" w:sz="4"/>
          <w:bottom w:val="single" w:color="9AA3B0" w:sz="4"/>
          <w:right w:val="single" w:color="9AA3B0" w:sz="4"/>
          <w:insideH w:val="single" w:color="B8C0CC" w:sz="2"/>
          <w:insideV w:val="single" w:color="B8C0CC" w:sz="2"/>
        </w:tblBorders>
      </w:tblPr>
      <w:tblGrid>
        <w:gridCol w:w="1800"/>
        <w:gridCol w:w="1400"/>
        <w:gridCol w:w="1400"/>
        <w:gridCol w:w="3000"/>
        <w:gridCol w:w="3000"/>
        <w:gridCol w:w="1300"/>
        <w:gridCol w:w="1300"/>
        <w:gridCol w:w="1478"/>
      </w:tblGrid>
      <w:tr>
        <w:trPr>
          <w:tblHeader/>
        </w:trPr>
        <w:tc>
          <w:tcPr>
            <w:tcW w:type="dxa" w:w="1800"/>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Automation name</w:t>
            </w:r>
          </w:p>
        </w:tc>
        <w:tc>
          <w:tcPr>
            <w:tcW w:type="dxa" w:w="1400"/>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Type</w:t>
            </w:r>
          </w:p>
        </w:tc>
        <w:tc>
          <w:tcPr>
            <w:tcW w:type="dxa" w:w="1400"/>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L3s covered</w:t>
            </w:r>
          </w:p>
        </w:tc>
        <w:tc>
          <w:tcPr>
            <w:tcW w:type="dxa" w:w="3000"/>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What it does</w:t>
            </w:r>
          </w:p>
        </w:tc>
        <w:tc>
          <w:tcPr>
            <w:tcW w:type="dxa" w:w="3000"/>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What it does not cover</w:t>
            </w:r>
          </w:p>
        </w:tc>
        <w:tc>
          <w:tcPr>
            <w:tcW w:type="dxa" w:w="1300"/>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Built by</w:t>
            </w:r>
          </w:p>
        </w:tc>
        <w:tc>
          <w:tcPr>
            <w:tcW w:type="dxa" w:w="1300"/>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Maintained by</w:t>
            </w:r>
          </w:p>
        </w:tc>
        <w:tc>
          <w:tcPr>
            <w:tcW w:type="dxa" w:w="1478"/>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Registered / approved Y/N</w:t>
            </w:r>
          </w:p>
        </w:tc>
      </w:tr>
      <w:tr>
        <w:tc>
          <w:tcPr>
            <w:tcW w:type="dxa" w:w="18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4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4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30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30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3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3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4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r>
      <w:tr>
        <w:tc>
          <w:tcPr>
            <w:tcW w:type="dxa" w:w="18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4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4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30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30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3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3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4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r>
      <w:tr>
        <w:tc>
          <w:tcPr>
            <w:tcW w:type="dxa" w:w="18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4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4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30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30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3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3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4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r>
      <w:tr>
        <w:tc>
          <w:tcPr>
            <w:tcW w:type="dxa" w:w="18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4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4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30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30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3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3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4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r>
      <w:tr>
        <w:tc>
          <w:tcPr>
            <w:tcW w:type="dxa" w:w="18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4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4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30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30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3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3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4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r>
      <w:tr>
        <w:tc>
          <w:tcPr>
            <w:tcW w:type="dxa" w:w="18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4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4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30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30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3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3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4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r>
    </w:tbl>
    <w:p>
      <w:r>
        <w:br w:type="page"/>
      </w:r>
    </w:p>
    <w:p>
      <w:pPr>
        <w:pStyle w:val="Heading1"/>
        <w:spacing w:after="140" w:before="320"/>
      </w:pPr>
      <w:r>
        <w:rPr>
          <w:rFonts w:ascii="Calibri" w:cs="Calibri" w:eastAsia="Calibri" w:hAnsi="Calibri"/>
          <w:b/>
          <w:bCs/>
          <w:i w:val="false"/>
          <w:iCs w:val="false"/>
          <w:color w:val="1F3864"/>
          <w:sz w:val="26"/>
          <w:szCs w:val="26"/>
        </w:rPr>
        <w:t xml:space="preserve">Part B — L3 Activity Form</w:t>
      </w:r>
    </w:p>
    <w:p>
      <w:pPr>
        <w:spacing w:after="140" w:before="60"/>
      </w:pPr>
      <w:r>
        <w:rPr>
          <w:rFonts w:ascii="Calibri" w:cs="Calibri" w:eastAsia="Calibri" w:hAnsi="Calibri"/>
          <w:b/>
          <w:bCs/>
          <w:i/>
          <w:iCs/>
          <w:color w:val="595959"/>
          <w:sz w:val="16"/>
          <w:szCs w:val="16"/>
        </w:rPr>
        <w:t xml:space="preserve">Guidance: </w:t>
      </w:r>
      <w:r>
        <w:rPr>
          <w:rFonts w:ascii="Calibri" w:cs="Calibri" w:eastAsia="Calibri" w:hAnsi="Calibri"/>
          <w:b w:val="false"/>
          <w:bCs w:val="false"/>
          <w:i/>
          <w:iCs/>
          <w:color w:val="595959"/>
          <w:sz w:val="16"/>
          <w:szCs w:val="16"/>
        </w:rPr>
        <w:t xml:space="preserve">Complete one per in-scope L3 activity. Do not repeat anything already captured in Part A; record only what is specific to this L3 or differs from the L2 default.</w:t>
      </w:r>
    </w:p>
    <w:p>
      <w:pPr>
        <w:pStyle w:val="Heading2"/>
        <w:spacing w:after="110" w:before="260"/>
      </w:pPr>
      <w:r>
        <w:rPr>
          <w:rFonts w:ascii="Calibri" w:cs="Calibri" w:eastAsia="Calibri" w:hAnsi="Calibri"/>
          <w:b/>
          <w:bCs/>
          <w:i w:val="false"/>
          <w:iCs w:val="false"/>
          <w:color w:val="2E5496"/>
          <w:sz w:val="22"/>
          <w:szCs w:val="22"/>
        </w:rPr>
        <w:t xml:space="preserve">B1. Identification and effort</w:t>
      </w:r>
    </w:p>
    <w:tbl>
      <w:tblPr>
        <w:tblW w:type="dxa" w:w="14678"/>
        <w:tblBorders>
          <w:top w:val="single" w:color="9AA3B0" w:sz="4"/>
          <w:left w:val="single" w:color="9AA3B0" w:sz="4"/>
          <w:bottom w:val="single" w:color="9AA3B0" w:sz="4"/>
          <w:right w:val="single" w:color="9AA3B0" w:sz="4"/>
          <w:insideH w:val="single" w:color="B8C0CC" w:sz="2"/>
          <w:insideV w:val="single" w:color="B8C0CC" w:sz="2"/>
        </w:tblBorders>
      </w:tblPr>
      <w:tblGrid>
        <w:gridCol w:w="4000"/>
        <w:gridCol w:w="10678"/>
      </w:tblGrid>
      <w:tr>
        <w:tc>
          <w:tcPr>
            <w:tcW w:type="dxa" w:w="4000"/>
            <w:shd w:fill="F2F2F2"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L3 reference and name</w:t>
            </w:r>
          </w:p>
        </w:tc>
        <w:tc>
          <w:tcPr>
            <w:tcW w:type="dxa" w:w="106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r>
      <w:tr>
        <w:tc>
          <w:tcPr>
            <w:tcW w:type="dxa" w:w="4000"/>
            <w:shd w:fill="F2F2F2"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Parent L2 reference and name</w:t>
            </w:r>
          </w:p>
        </w:tc>
        <w:tc>
          <w:tcPr>
            <w:tcW w:type="dxa" w:w="106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r>
      <w:tr>
        <w:tc>
          <w:tcPr>
            <w:tcW w:type="dxa" w:w="4000"/>
            <w:shd w:fill="F2F2F2"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One-line description of what this activity does</w:t>
            </w:r>
          </w:p>
        </w:tc>
        <w:tc>
          <w:tcPr>
            <w:tcW w:type="dxa" w:w="106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r>
      <w:tr>
        <w:tc>
          <w:tcPr>
            <w:tcW w:type="dxa" w:w="4000"/>
            <w:shd w:fill="F2F2F2"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Same as (another L3), and the difference</w:t>
            </w:r>
          </w:p>
        </w:tc>
        <w:tc>
          <w:tcPr>
            <w:tcW w:type="dxa" w:w="106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Complete only where this L3 is materially the same as one already captured. State the reference and the difference, then skip to Section B8.</w:t>
            </w:r>
          </w:p>
        </w:tc>
      </w:tr>
      <w:tr>
        <w:tc>
          <w:tcPr>
            <w:tcW w:type="dxa" w:w="4000"/>
            <w:shd w:fill="F2F2F2"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Volume, stating the period</w:t>
            </w:r>
          </w:p>
        </w:tc>
        <w:tc>
          <w:tcPr>
            <w:tcW w:type="dxa" w:w="106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r>
      <w:tr>
        <w:tc>
          <w:tcPr>
            <w:tcW w:type="dxa" w:w="4000"/>
            <w:shd w:fill="F2F2F2"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Frequency and peak / seasonal pattern</w:t>
            </w:r>
          </w:p>
        </w:tc>
        <w:tc>
          <w:tcPr>
            <w:tcW w:type="dxa" w:w="106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r>
      <w:tr>
        <w:tc>
          <w:tcPr>
            <w:tcW w:type="dxa" w:w="4000"/>
            <w:shd w:fill="F2F2F2"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Average handling time per case</w:t>
            </w:r>
          </w:p>
        </w:tc>
        <w:tc>
          <w:tcPr>
            <w:tcW w:type="dxa" w:w="106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r>
      <w:tr>
        <w:tc>
          <w:tcPr>
            <w:tcW w:type="dxa" w:w="4000"/>
            <w:shd w:fill="F2F2F2"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Number of people performing it, and FTE effort</w:t>
            </w:r>
          </w:p>
        </w:tc>
        <w:tc>
          <w:tcPr>
            <w:tcW w:type="dxa" w:w="106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r>
      <w:tr>
        <w:tc>
          <w:tcPr>
            <w:tcW w:type="dxa" w:w="4000"/>
            <w:shd w:fill="F2F2F2"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TAT or SLA, and how it is measured</w:t>
            </w:r>
          </w:p>
        </w:tc>
        <w:tc>
          <w:tcPr>
            <w:tcW w:type="dxa" w:w="106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r>
      <w:tr>
        <w:tc>
          <w:tcPr>
            <w:tcW w:type="dxa" w:w="4000"/>
            <w:shd w:fill="F2F2F2"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In scope Y/N, and rationale</w:t>
            </w:r>
          </w:p>
        </w:tc>
        <w:tc>
          <w:tcPr>
            <w:tcW w:type="dxa" w:w="106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r>
    </w:tbl>
    <w:p>
      <w:pPr>
        <w:pStyle w:val="Heading2"/>
        <w:spacing w:after="110" w:before="260"/>
      </w:pPr>
      <w:r>
        <w:rPr>
          <w:rFonts w:ascii="Calibri" w:cs="Calibri" w:eastAsia="Calibri" w:hAnsi="Calibri"/>
          <w:b/>
          <w:bCs/>
          <w:i w:val="false"/>
          <w:iCs w:val="false"/>
          <w:color w:val="2E5496"/>
          <w:sz w:val="22"/>
          <w:szCs w:val="22"/>
        </w:rPr>
        <w:t xml:space="preserve">B2. Channel variance</w:t>
      </w:r>
    </w:p>
    <w:p>
      <w:pPr>
        <w:spacing w:after="140" w:before="60"/>
      </w:pPr>
      <w:r>
        <w:rPr>
          <w:rFonts w:ascii="Calibri" w:cs="Calibri" w:eastAsia="Calibri" w:hAnsi="Calibri"/>
          <w:b/>
          <w:bCs/>
          <w:i/>
          <w:iCs/>
          <w:color w:val="595959"/>
          <w:sz w:val="16"/>
          <w:szCs w:val="16"/>
        </w:rPr>
        <w:t xml:space="preserve">Guidance: </w:t>
      </w:r>
      <w:r>
        <w:rPr>
          <w:rFonts w:ascii="Calibri" w:cs="Calibri" w:eastAsia="Calibri" w:hAnsi="Calibri"/>
          <w:b w:val="false"/>
          <w:bCs w:val="false"/>
          <w:i/>
          <w:iCs/>
          <w:color w:val="595959"/>
          <w:sz w:val="16"/>
          <w:szCs w:val="16"/>
        </w:rPr>
        <w:t xml:space="preserve">Complete only where this L3 differs from the channels recorded in Part A, Section A3. Leave blank if it follows the L2 default.</w:t>
      </w:r>
    </w:p>
    <w:tbl>
      <w:tblPr>
        <w:tblW w:type="dxa" w:w="14678"/>
        <w:tblBorders>
          <w:top w:val="single" w:color="9AA3B0" w:sz="4"/>
          <w:left w:val="single" w:color="9AA3B0" w:sz="4"/>
          <w:bottom w:val="single" w:color="9AA3B0" w:sz="4"/>
          <w:right w:val="single" w:color="9AA3B0" w:sz="4"/>
          <w:insideH w:val="single" w:color="B8C0CC" w:sz="2"/>
          <w:insideV w:val="single" w:color="B8C0CC" w:sz="2"/>
        </w:tblBorders>
      </w:tblPr>
      <w:tblGrid>
        <w:gridCol w:w="3000"/>
        <w:gridCol w:w="7000"/>
        <w:gridCol w:w="4678"/>
      </w:tblGrid>
      <w:tr>
        <w:trPr>
          <w:tblHeader/>
        </w:trPr>
        <w:tc>
          <w:tcPr>
            <w:tcW w:type="dxa" w:w="3000"/>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Channel (from A3)</w:t>
            </w:r>
          </w:p>
        </w:tc>
        <w:tc>
          <w:tcPr>
            <w:tcW w:type="dxa" w:w="7000"/>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Difference for this L3</w:t>
            </w:r>
          </w:p>
        </w:tc>
        <w:tc>
          <w:tcPr>
            <w:tcW w:type="dxa" w:w="4678"/>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Notes</w:t>
            </w:r>
          </w:p>
        </w:tc>
      </w:tr>
      <w:tr>
        <w:tc>
          <w:tcPr>
            <w:tcW w:type="dxa" w:w="30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70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46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r>
      <w:tr>
        <w:tc>
          <w:tcPr>
            <w:tcW w:type="dxa" w:w="30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70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46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r>
      <w:tr>
        <w:tc>
          <w:tcPr>
            <w:tcW w:type="dxa" w:w="30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70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46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r>
    </w:tbl>
    <w:p>
      <w:pPr>
        <w:pStyle w:val="Heading2"/>
        <w:spacing w:after="110" w:before="260"/>
      </w:pPr>
      <w:r>
        <w:rPr>
          <w:rFonts w:ascii="Calibri" w:cs="Calibri" w:eastAsia="Calibri" w:hAnsi="Calibri"/>
          <w:b/>
          <w:bCs/>
          <w:i w:val="false"/>
          <w:iCs w:val="false"/>
          <w:color w:val="2E5496"/>
          <w:sz w:val="22"/>
          <w:szCs w:val="22"/>
        </w:rPr>
        <w:t xml:space="preserve">B3. As-is process steps and decision rules</w:t>
      </w:r>
    </w:p>
    <w:p>
      <w:pPr>
        <w:spacing w:after="140" w:before="60"/>
      </w:pPr>
      <w:r>
        <w:rPr>
          <w:rFonts w:ascii="Calibri" w:cs="Calibri" w:eastAsia="Calibri" w:hAnsi="Calibri"/>
          <w:b/>
          <w:bCs/>
          <w:i/>
          <w:iCs/>
          <w:color w:val="595959"/>
          <w:sz w:val="16"/>
          <w:szCs w:val="16"/>
        </w:rPr>
        <w:t xml:space="preserve">Guidance: </w:t>
      </w:r>
      <w:r>
        <w:rPr>
          <w:rFonts w:ascii="Calibri" w:cs="Calibri" w:eastAsia="Calibri" w:hAnsi="Calibri"/>
          <w:b w:val="false"/>
          <w:bCs w:val="false"/>
          <w:i/>
          <w:iCs/>
          <w:color w:val="595959"/>
          <w:sz w:val="16"/>
          <w:szCs w:val="16"/>
        </w:rPr>
        <w:t xml:space="preserve">One row per step as performed today. The last three columns apply only to steps that involve a judgement; leave them blank for pure execution steps. Capture the decision rule in the words the SME uses, and state where it is written down. Where it is written down nowhere, record "tacit". Every numeric limit needs a named owner, otherwise it will surface later as an unresolved item.</w:t>
      </w:r>
    </w:p>
    <w:tbl>
      <w:tblPr>
        <w:tblW w:type="dxa" w:w="14678"/>
        <w:tblBorders>
          <w:top w:val="single" w:color="9AA3B0" w:sz="4"/>
          <w:left w:val="single" w:color="9AA3B0" w:sz="4"/>
          <w:bottom w:val="single" w:color="9AA3B0" w:sz="4"/>
          <w:right w:val="single" w:color="9AA3B0" w:sz="4"/>
          <w:insideH w:val="single" w:color="B8C0CC" w:sz="2"/>
          <w:insideV w:val="single" w:color="B8C0CC" w:sz="2"/>
        </w:tblBorders>
      </w:tblPr>
      <w:tblGrid>
        <w:gridCol w:w="600"/>
        <w:gridCol w:w="2600"/>
        <w:gridCol w:w="1300"/>
        <w:gridCol w:w="1200"/>
        <w:gridCol w:w="800"/>
        <w:gridCol w:w="1200"/>
        <w:gridCol w:w="2800"/>
        <w:gridCol w:w="2000"/>
        <w:gridCol w:w="2178"/>
      </w:tblGrid>
      <w:tr>
        <w:trPr>
          <w:tblHeader/>
        </w:trPr>
        <w:tc>
          <w:tcPr>
            <w:tcW w:type="dxa" w:w="600"/>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Step #</w:t>
            </w:r>
          </w:p>
        </w:tc>
        <w:tc>
          <w:tcPr>
            <w:tcW w:type="dxa" w:w="2600"/>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Action performed</w:t>
            </w:r>
          </w:p>
        </w:tc>
        <w:tc>
          <w:tcPr>
            <w:tcW w:type="dxa" w:w="1300"/>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System(s) used</w:t>
            </w:r>
          </w:p>
        </w:tc>
        <w:tc>
          <w:tcPr>
            <w:tcW w:type="dxa" w:w="1200"/>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Performer role</w:t>
            </w:r>
          </w:p>
        </w:tc>
        <w:tc>
          <w:tcPr>
            <w:tcW w:type="dxa" w:w="800"/>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M / S / A</w:t>
            </w:r>
          </w:p>
        </w:tc>
        <w:tc>
          <w:tcPr>
            <w:tcW w:type="dxa" w:w="1200"/>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Shared step? Y + name</w:t>
            </w:r>
          </w:p>
        </w:tc>
        <w:tc>
          <w:tcPr>
            <w:tcW w:type="dxa" w:w="2800"/>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Decision rule as stated by the SME, and where it is documented</w:t>
            </w:r>
          </w:p>
        </w:tc>
        <w:tc>
          <w:tcPr>
            <w:tcW w:type="dxa" w:w="2000"/>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Thresholds and limits, with owner of each number</w:t>
            </w:r>
          </w:p>
        </w:tc>
        <w:tc>
          <w:tcPr>
            <w:tcW w:type="dxa" w:w="2178"/>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Exception, escalation or return-to-requester trigger</w:t>
            </w:r>
          </w:p>
        </w:tc>
      </w:tr>
      <w:tr>
        <w:tc>
          <w:tcPr>
            <w:tcW w:type="dxa" w:w="6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6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3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2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8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2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8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0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1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r>
      <w:tr>
        <w:tc>
          <w:tcPr>
            <w:tcW w:type="dxa" w:w="6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6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3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2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8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2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8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0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1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r>
      <w:tr>
        <w:tc>
          <w:tcPr>
            <w:tcW w:type="dxa" w:w="6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6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3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2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8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2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8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0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1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r>
      <w:tr>
        <w:tc>
          <w:tcPr>
            <w:tcW w:type="dxa" w:w="6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6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3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2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8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2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8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0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1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r>
      <w:tr>
        <w:tc>
          <w:tcPr>
            <w:tcW w:type="dxa" w:w="6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6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3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2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8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2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8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0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1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r>
      <w:tr>
        <w:tc>
          <w:tcPr>
            <w:tcW w:type="dxa" w:w="6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6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3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2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8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2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8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0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1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r>
      <w:tr>
        <w:tc>
          <w:tcPr>
            <w:tcW w:type="dxa" w:w="6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6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3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2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8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2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8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0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1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r>
      <w:tr>
        <w:tc>
          <w:tcPr>
            <w:tcW w:type="dxa" w:w="6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6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3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2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8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2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8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0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1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r>
      <w:tr>
        <w:tc>
          <w:tcPr>
            <w:tcW w:type="dxa" w:w="6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6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3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2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8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2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8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0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1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r>
      <w:tr>
        <w:tc>
          <w:tcPr>
            <w:tcW w:type="dxa" w:w="6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6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3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2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8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2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8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0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1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r>
      <w:tr>
        <w:tc>
          <w:tcPr>
            <w:tcW w:type="dxa" w:w="6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6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3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2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8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2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8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0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1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r>
      <w:tr>
        <w:tc>
          <w:tcPr>
            <w:tcW w:type="dxa" w:w="6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6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3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2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8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2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8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0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1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r>
    </w:tbl>
    <w:p>
      <w:pPr>
        <w:spacing w:after="140" w:before="60"/>
      </w:pPr>
      <w:r>
        <w:rPr>
          <w:rFonts w:ascii="Calibri" w:cs="Calibri" w:eastAsia="Calibri" w:hAnsi="Calibri"/>
          <w:b/>
          <w:bCs/>
          <w:i/>
          <w:iCs/>
          <w:color w:val="595959"/>
          <w:sz w:val="16"/>
          <w:szCs w:val="16"/>
        </w:rPr>
        <w:t xml:space="preserve">Guidance: </w:t>
      </w:r>
      <w:r>
        <w:rPr>
          <w:rFonts w:ascii="Calibri" w:cs="Calibri" w:eastAsia="Calibri" w:hAnsi="Calibri"/>
          <w:b w:val="false"/>
          <w:bCs w:val="false"/>
          <w:i/>
          <w:iCs/>
          <w:color w:val="595959"/>
          <w:sz w:val="16"/>
          <w:szCs w:val="16"/>
        </w:rPr>
        <w:t xml:space="preserve">M = fully manual, S = semi-automated (a tool assists but a person drives), A = fully automated today.</w:t>
      </w:r>
    </w:p>
    <w:p>
      <w:pPr>
        <w:pStyle w:val="Heading2"/>
        <w:spacing w:after="110" w:before="260"/>
      </w:pPr>
      <w:r>
        <w:rPr>
          <w:rFonts w:ascii="Calibri" w:cs="Calibri" w:eastAsia="Calibri" w:hAnsi="Calibri"/>
          <w:b/>
          <w:bCs/>
          <w:i w:val="false"/>
          <w:iCs w:val="false"/>
          <w:color w:val="2E5496"/>
          <w:sz w:val="22"/>
          <w:szCs w:val="22"/>
        </w:rPr>
        <w:t xml:space="preserve">B4. Current maker-checker process</w:t>
      </w:r>
    </w:p>
    <w:p>
      <w:pPr>
        <w:spacing w:after="140" w:before="60"/>
      </w:pPr>
      <w:r>
        <w:rPr>
          <w:rFonts w:ascii="Calibri" w:cs="Calibri" w:eastAsia="Calibri" w:hAnsi="Calibri"/>
          <w:b/>
          <w:bCs/>
          <w:i/>
          <w:iCs/>
          <w:color w:val="595959"/>
          <w:sz w:val="16"/>
          <w:szCs w:val="16"/>
        </w:rPr>
        <w:t xml:space="preserve">Guidance: </w:t>
      </w:r>
      <w:r>
        <w:rPr>
          <w:rFonts w:ascii="Calibri" w:cs="Calibri" w:eastAsia="Calibri" w:hAnsi="Calibri"/>
          <w:b w:val="false"/>
          <w:bCs w:val="false"/>
          <w:i/>
          <w:iCs/>
          <w:color w:val="595959"/>
          <w:sz w:val="16"/>
          <w:szCs w:val="16"/>
        </w:rPr>
        <w:t xml:space="preserve">Record what happens today, not what should happen. Where there is no second check, say so explicitly.</w:t>
      </w:r>
    </w:p>
    <w:tbl>
      <w:tblPr>
        <w:tblW w:type="dxa" w:w="14678"/>
        <w:tblBorders>
          <w:top w:val="single" w:color="9AA3B0" w:sz="4"/>
          <w:left w:val="single" w:color="9AA3B0" w:sz="4"/>
          <w:bottom w:val="single" w:color="9AA3B0" w:sz="4"/>
          <w:right w:val="single" w:color="9AA3B0" w:sz="4"/>
          <w:insideH w:val="single" w:color="B8C0CC" w:sz="2"/>
          <w:insideV w:val="single" w:color="B8C0CC" w:sz="2"/>
        </w:tblBorders>
      </w:tblPr>
      <w:tblGrid>
        <w:gridCol w:w="4000"/>
        <w:gridCol w:w="10678"/>
      </w:tblGrid>
      <w:tr>
        <w:tc>
          <w:tcPr>
            <w:tcW w:type="dxa" w:w="4000"/>
            <w:shd w:fill="F2F2F2"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Who prepares the change (maker), and role</w:t>
            </w:r>
          </w:p>
        </w:tc>
        <w:tc>
          <w:tcPr>
            <w:tcW w:type="dxa" w:w="106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r>
      <w:tr>
        <w:tc>
          <w:tcPr>
            <w:tcW w:type="dxa" w:w="4000"/>
            <w:shd w:fill="F2F2F2"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Whose credentials the maker acts on</w:t>
            </w:r>
          </w:p>
        </w:tc>
        <w:tc>
          <w:tcPr>
            <w:tcW w:type="dxa" w:w="106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r>
      <w:tr>
        <w:tc>
          <w:tcPr>
            <w:tcW w:type="dxa" w:w="4000"/>
            <w:shd w:fill="F2F2F2"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Who checks it, and role</w:t>
            </w:r>
          </w:p>
        </w:tc>
        <w:tc>
          <w:tcPr>
            <w:tcW w:type="dxa" w:w="106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r>
      <w:tr>
        <w:tc>
          <w:tcPr>
            <w:tcW w:type="dxa" w:w="4000"/>
            <w:shd w:fill="F2F2F2"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Whose credentials the checker acts on</w:t>
            </w:r>
          </w:p>
        </w:tc>
        <w:tc>
          <w:tcPr>
            <w:tcW w:type="dxa" w:w="106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r>
      <w:tr>
        <w:tc>
          <w:tcPr>
            <w:tcW w:type="dxa" w:w="4000"/>
            <w:shd w:fill="F2F2F2"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What triggers a check (all cases, value threshold, sampling, risk rating)</w:t>
            </w:r>
          </w:p>
        </w:tc>
        <w:tc>
          <w:tcPr>
            <w:tcW w:type="dxa" w:w="106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r>
      <w:tr>
        <w:tc>
          <w:tcPr>
            <w:tcW w:type="dxa" w:w="4000"/>
            <w:shd w:fill="F2F2F2"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Check coverage: 100% or sampled, and the sampling basis</w:t>
            </w:r>
          </w:p>
        </w:tc>
        <w:tc>
          <w:tcPr>
            <w:tcW w:type="dxa" w:w="106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r>
      <w:tr>
        <w:tc>
          <w:tcPr>
            <w:tcW w:type="dxa" w:w="4000"/>
            <w:shd w:fill="F2F2F2"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What evidence the checker looks at</w:t>
            </w:r>
          </w:p>
        </w:tc>
        <w:tc>
          <w:tcPr>
            <w:tcW w:type="dxa" w:w="106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r>
      <w:tr>
        <w:tc>
          <w:tcPr>
            <w:tcW w:type="dxa" w:w="4000"/>
            <w:shd w:fill="F2F2F2"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What happens on rejection, and who it goes back to</w:t>
            </w:r>
          </w:p>
        </w:tc>
        <w:tc>
          <w:tcPr>
            <w:tcW w:type="dxa" w:w="106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r>
      <w:tr>
        <w:tc>
          <w:tcPr>
            <w:tcW w:type="dxa" w:w="4000"/>
            <w:shd w:fill="F2F2F2"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Where the approval is recorded</w:t>
            </w:r>
          </w:p>
        </w:tc>
        <w:tc>
          <w:tcPr>
            <w:tcW w:type="dxa" w:w="106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r>
      <w:tr>
        <w:tc>
          <w:tcPr>
            <w:tcW w:type="dxa" w:w="4000"/>
            <w:shd w:fill="F2F2F2"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Any additional approver or authoriser, and what triggers them</w:t>
            </w:r>
          </w:p>
        </w:tc>
        <w:tc>
          <w:tcPr>
            <w:tcW w:type="dxa" w:w="106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r>
      <w:tr>
        <w:tc>
          <w:tcPr>
            <w:tcW w:type="dxa" w:w="4000"/>
            <w:shd w:fill="F2F2F2"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Any step performed today with no second check</w:t>
            </w:r>
          </w:p>
        </w:tc>
        <w:tc>
          <w:tcPr>
            <w:tcW w:type="dxa" w:w="106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r>
    </w:tbl>
    <w:p>
      <w:pPr>
        <w:pStyle w:val="Heading2"/>
        <w:spacing w:after="110" w:before="260"/>
      </w:pPr>
      <w:r>
        <w:rPr>
          <w:rFonts w:ascii="Calibri" w:cs="Calibri" w:eastAsia="Calibri" w:hAnsi="Calibri"/>
          <w:b/>
          <w:bCs/>
          <w:i w:val="false"/>
          <w:iCs w:val="false"/>
          <w:color w:val="2E5496"/>
          <w:sz w:val="22"/>
          <w:szCs w:val="22"/>
        </w:rPr>
        <w:t xml:space="preserve">B5. Systems used by this L3</w:t>
      </w:r>
    </w:p>
    <w:p>
      <w:pPr>
        <w:spacing w:after="140" w:before="60"/>
      </w:pPr>
      <w:r>
        <w:rPr>
          <w:rFonts w:ascii="Calibri" w:cs="Calibri" w:eastAsia="Calibri" w:hAnsi="Calibri"/>
          <w:b/>
          <w:bCs/>
          <w:i/>
          <w:iCs/>
          <w:color w:val="595959"/>
          <w:sz w:val="16"/>
          <w:szCs w:val="16"/>
        </w:rPr>
        <w:t xml:space="preserve">Guidance: </w:t>
      </w:r>
      <w:r>
        <w:rPr>
          <w:rFonts w:ascii="Calibri" w:cs="Calibri" w:eastAsia="Calibri" w:hAnsi="Calibri"/>
          <w:b w:val="false"/>
          <w:bCs w:val="false"/>
          <w:i/>
          <w:iCs/>
          <w:color w:val="595959"/>
          <w:sz w:val="16"/>
          <w:szCs w:val="16"/>
        </w:rPr>
        <w:t xml:space="preserve">Reference systems from the Part A list rather than re-describing them. Record only which ones this L3 touches and where.</w:t>
      </w:r>
    </w:p>
    <w:tbl>
      <w:tblPr>
        <w:tblW w:type="dxa" w:w="14678"/>
        <w:tblBorders>
          <w:top w:val="single" w:color="9AA3B0" w:sz="4"/>
          <w:left w:val="single" w:color="9AA3B0" w:sz="4"/>
          <w:bottom w:val="single" w:color="9AA3B0" w:sz="4"/>
          <w:right w:val="single" w:color="9AA3B0" w:sz="4"/>
          <w:insideH w:val="single" w:color="B8C0CC" w:sz="2"/>
          <w:insideV w:val="single" w:color="B8C0CC" w:sz="2"/>
        </w:tblBorders>
      </w:tblPr>
      <w:tblGrid>
        <w:gridCol w:w="3000"/>
        <w:gridCol w:w="2000"/>
        <w:gridCol w:w="1800"/>
        <w:gridCol w:w="7878"/>
      </w:tblGrid>
      <w:tr>
        <w:trPr>
          <w:tblHeader/>
        </w:trPr>
        <w:tc>
          <w:tcPr>
            <w:tcW w:type="dxa" w:w="3000"/>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System (from A5)</w:t>
            </w:r>
          </w:p>
        </w:tc>
        <w:tc>
          <w:tcPr>
            <w:tcW w:type="dxa" w:w="2000"/>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Used at step #</w:t>
            </w:r>
          </w:p>
        </w:tc>
        <w:tc>
          <w:tcPr>
            <w:tcW w:type="dxa" w:w="1800"/>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Read / Write</w:t>
            </w:r>
          </w:p>
        </w:tc>
        <w:tc>
          <w:tcPr>
            <w:tcW w:type="dxa" w:w="7878"/>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Notes specific to this L3</w:t>
            </w:r>
          </w:p>
        </w:tc>
      </w:tr>
      <w:tr>
        <w:tc>
          <w:tcPr>
            <w:tcW w:type="dxa" w:w="30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0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8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78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r>
      <w:tr>
        <w:tc>
          <w:tcPr>
            <w:tcW w:type="dxa" w:w="30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0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8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78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r>
      <w:tr>
        <w:tc>
          <w:tcPr>
            <w:tcW w:type="dxa" w:w="30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0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8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78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r>
      <w:tr>
        <w:tc>
          <w:tcPr>
            <w:tcW w:type="dxa" w:w="30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0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8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78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r>
      <w:tr>
        <w:tc>
          <w:tcPr>
            <w:tcW w:type="dxa" w:w="30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0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8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78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r>
      <w:tr>
        <w:tc>
          <w:tcPr>
            <w:tcW w:type="dxa" w:w="30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0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8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78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r>
      <w:tr>
        <w:tc>
          <w:tcPr>
            <w:tcW w:type="dxa" w:w="30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0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8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78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r>
    </w:tbl>
    <w:p>
      <w:pPr>
        <w:pStyle w:val="Heading2"/>
        <w:spacing w:after="110" w:before="260"/>
      </w:pPr>
      <w:r>
        <w:rPr>
          <w:rFonts w:ascii="Calibri" w:cs="Calibri" w:eastAsia="Calibri" w:hAnsi="Calibri"/>
          <w:b/>
          <w:bCs/>
          <w:i w:val="false"/>
          <w:iCs w:val="false"/>
          <w:color w:val="2E5496"/>
          <w:sz w:val="22"/>
          <w:szCs w:val="22"/>
        </w:rPr>
        <w:t xml:space="preserve">B6. Existing automation covering this L3</w:t>
      </w:r>
    </w:p>
    <w:tbl>
      <w:tblPr>
        <w:tblW w:type="dxa" w:w="14678"/>
        <w:tblBorders>
          <w:top w:val="single" w:color="9AA3B0" w:sz="4"/>
          <w:left w:val="single" w:color="9AA3B0" w:sz="4"/>
          <w:bottom w:val="single" w:color="9AA3B0" w:sz="4"/>
          <w:right w:val="single" w:color="9AA3B0" w:sz="4"/>
          <w:insideH w:val="single" w:color="B8C0CC" w:sz="2"/>
          <w:insideV w:val="single" w:color="B8C0CC" w:sz="2"/>
        </w:tblBorders>
      </w:tblPr>
      <w:tblGrid>
        <w:gridCol w:w="3500"/>
        <w:gridCol w:w="2500"/>
        <w:gridCol w:w="8678"/>
      </w:tblGrid>
      <w:tr>
        <w:trPr>
          <w:tblHeader/>
        </w:trPr>
        <w:tc>
          <w:tcPr>
            <w:tcW w:type="dxa" w:w="3500"/>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Automation (from A6)</w:t>
            </w:r>
          </w:p>
        </w:tc>
        <w:tc>
          <w:tcPr>
            <w:tcW w:type="dxa" w:w="2500"/>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Steps covered</w:t>
            </w:r>
          </w:p>
        </w:tc>
        <w:tc>
          <w:tcPr>
            <w:tcW w:type="dxa" w:w="8678"/>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What it does not cover for this L3</w:t>
            </w:r>
          </w:p>
        </w:tc>
      </w:tr>
      <w:tr>
        <w:tc>
          <w:tcPr>
            <w:tcW w:type="dxa" w:w="35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5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86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r>
      <w:tr>
        <w:tc>
          <w:tcPr>
            <w:tcW w:type="dxa" w:w="35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5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86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r>
      <w:tr>
        <w:tc>
          <w:tcPr>
            <w:tcW w:type="dxa" w:w="35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5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86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r>
      <w:tr>
        <w:tc>
          <w:tcPr>
            <w:tcW w:type="dxa" w:w="35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5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86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r>
    </w:tbl>
    <w:p>
      <w:pPr>
        <w:pStyle w:val="Heading2"/>
        <w:spacing w:after="110" w:before="260"/>
      </w:pPr>
      <w:r>
        <w:rPr>
          <w:rFonts w:ascii="Calibri" w:cs="Calibri" w:eastAsia="Calibri" w:hAnsi="Calibri"/>
          <w:b/>
          <w:bCs/>
          <w:i w:val="false"/>
          <w:iCs w:val="false"/>
          <w:color w:val="2E5496"/>
          <w:sz w:val="22"/>
          <w:szCs w:val="22"/>
        </w:rPr>
        <w:t xml:space="preserve">B7. Pain points and failure modes</w:t>
      </w:r>
    </w:p>
    <w:p>
      <w:pPr>
        <w:spacing w:after="140" w:before="60"/>
      </w:pPr>
      <w:r>
        <w:rPr>
          <w:rFonts w:ascii="Calibri" w:cs="Calibri" w:eastAsia="Calibri" w:hAnsi="Calibri"/>
          <w:b/>
          <w:bCs/>
          <w:i/>
          <w:iCs/>
          <w:color w:val="595959"/>
          <w:sz w:val="16"/>
          <w:szCs w:val="16"/>
        </w:rPr>
        <w:t xml:space="preserve">Guidance: </w:t>
      </w:r>
      <w:r>
        <w:rPr>
          <w:rFonts w:ascii="Calibri" w:cs="Calibri" w:eastAsia="Calibri" w:hAnsi="Calibri"/>
          <w:b w:val="false"/>
          <w:bCs w:val="false"/>
          <w:i/>
          <w:iCs/>
          <w:color w:val="595959"/>
          <w:sz w:val="16"/>
          <w:szCs w:val="16"/>
        </w:rPr>
        <w:t xml:space="preserve">Where rework happens, the most common error, what causes a break, backlog behaviour, and seasonality. Tie each to a step number so it can be traced.</w:t>
      </w:r>
    </w:p>
    <w:tbl>
      <w:tblPr>
        <w:tblW w:type="dxa" w:w="14678"/>
        <w:tblBorders>
          <w:top w:val="single" w:color="9AA3B0" w:sz="4"/>
          <w:left w:val="single" w:color="9AA3B0" w:sz="4"/>
          <w:bottom w:val="single" w:color="9AA3B0" w:sz="4"/>
          <w:right w:val="single" w:color="9AA3B0" w:sz="4"/>
          <w:insideH w:val="single" w:color="B8C0CC" w:sz="2"/>
          <w:insideV w:val="single" w:color="B8C0CC" w:sz="2"/>
        </w:tblBorders>
      </w:tblPr>
      <w:tblGrid>
        <w:gridCol w:w="4000"/>
        <w:gridCol w:w="1200"/>
        <w:gridCol w:w="1800"/>
        <w:gridCol w:w="3000"/>
        <w:gridCol w:w="4678"/>
      </w:tblGrid>
      <w:tr>
        <w:trPr>
          <w:tblHeader/>
        </w:trPr>
        <w:tc>
          <w:tcPr>
            <w:tcW w:type="dxa" w:w="4000"/>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Pain point or failure mode</w:t>
            </w:r>
          </w:p>
        </w:tc>
        <w:tc>
          <w:tcPr>
            <w:tcW w:type="dxa" w:w="1200"/>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Step #</w:t>
            </w:r>
          </w:p>
        </w:tc>
        <w:tc>
          <w:tcPr>
            <w:tcW w:type="dxa" w:w="1800"/>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Frequency</w:t>
            </w:r>
          </w:p>
        </w:tc>
        <w:tc>
          <w:tcPr>
            <w:tcW w:type="dxa" w:w="3000"/>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Impact</w:t>
            </w:r>
          </w:p>
        </w:tc>
        <w:tc>
          <w:tcPr>
            <w:tcW w:type="dxa" w:w="4678"/>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Current workaround</w:t>
            </w:r>
          </w:p>
        </w:tc>
      </w:tr>
      <w:tr>
        <w:tc>
          <w:tcPr>
            <w:tcW w:type="dxa" w:w="40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2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8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30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46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r>
      <w:tr>
        <w:tc>
          <w:tcPr>
            <w:tcW w:type="dxa" w:w="40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2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8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30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46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r>
      <w:tr>
        <w:tc>
          <w:tcPr>
            <w:tcW w:type="dxa" w:w="40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2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8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30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46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r>
      <w:tr>
        <w:tc>
          <w:tcPr>
            <w:tcW w:type="dxa" w:w="40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2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8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30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46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r>
      <w:tr>
        <w:tc>
          <w:tcPr>
            <w:tcW w:type="dxa" w:w="40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2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8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30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46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r>
      <w:tr>
        <w:tc>
          <w:tcPr>
            <w:tcW w:type="dxa" w:w="40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2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8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30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46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r>
      <w:tr>
        <w:tc>
          <w:tcPr>
            <w:tcW w:type="dxa" w:w="40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2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8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30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46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r>
      <w:tr>
        <w:tc>
          <w:tcPr>
            <w:tcW w:type="dxa" w:w="40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2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8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30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46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r>
    </w:tbl>
    <w:p>
      <w:pPr>
        <w:pStyle w:val="Heading2"/>
        <w:spacing w:after="110" w:before="260"/>
      </w:pPr>
      <w:r>
        <w:rPr>
          <w:rFonts w:ascii="Calibri" w:cs="Calibri" w:eastAsia="Calibri" w:hAnsi="Calibri"/>
          <w:b/>
          <w:bCs/>
          <w:i w:val="false"/>
          <w:iCs w:val="false"/>
          <w:color w:val="2E5496"/>
          <w:sz w:val="22"/>
          <w:szCs w:val="22"/>
        </w:rPr>
        <w:t xml:space="preserve">B8. Open points</w:t>
      </w:r>
    </w:p>
    <w:tbl>
      <w:tblPr>
        <w:tblW w:type="dxa" w:w="14678"/>
        <w:tblBorders>
          <w:top w:val="single" w:color="9AA3B0" w:sz="4"/>
          <w:left w:val="single" w:color="9AA3B0" w:sz="4"/>
          <w:bottom w:val="single" w:color="9AA3B0" w:sz="4"/>
          <w:right w:val="single" w:color="9AA3B0" w:sz="4"/>
          <w:insideH w:val="single" w:color="B8C0CC" w:sz="2"/>
          <w:insideV w:val="single" w:color="B8C0CC" w:sz="2"/>
        </w:tblBorders>
      </w:tblPr>
      <w:tblGrid>
        <w:gridCol w:w="700"/>
        <w:gridCol w:w="6000"/>
        <w:gridCol w:w="2000"/>
        <w:gridCol w:w="1800"/>
        <w:gridCol w:w="4178"/>
      </w:tblGrid>
      <w:tr>
        <w:trPr>
          <w:tblHeader/>
        </w:trPr>
        <w:tc>
          <w:tcPr>
            <w:tcW w:type="dxa" w:w="700"/>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w:t>
            </w:r>
          </w:p>
        </w:tc>
        <w:tc>
          <w:tcPr>
            <w:tcW w:type="dxa" w:w="6000"/>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Item</w:t>
            </w:r>
          </w:p>
        </w:tc>
        <w:tc>
          <w:tcPr>
            <w:tcW w:type="dxa" w:w="2000"/>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Owner</w:t>
            </w:r>
          </w:p>
        </w:tc>
        <w:tc>
          <w:tcPr>
            <w:tcW w:type="dxa" w:w="1800"/>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Raised date</w:t>
            </w:r>
          </w:p>
        </w:tc>
        <w:tc>
          <w:tcPr>
            <w:tcW w:type="dxa" w:w="4178"/>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Status</w:t>
            </w:r>
          </w:p>
        </w:tc>
      </w:tr>
      <w:tr>
        <w:tc>
          <w:tcPr>
            <w:tcW w:type="dxa" w:w="7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60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0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8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41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r>
      <w:tr>
        <w:tc>
          <w:tcPr>
            <w:tcW w:type="dxa" w:w="7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60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0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8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41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r>
      <w:tr>
        <w:tc>
          <w:tcPr>
            <w:tcW w:type="dxa" w:w="7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60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0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8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41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r>
      <w:tr>
        <w:tc>
          <w:tcPr>
            <w:tcW w:type="dxa" w:w="7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60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0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8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41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r>
      <w:tr>
        <w:tc>
          <w:tcPr>
            <w:tcW w:type="dxa" w:w="7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60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0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8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41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r>
      <w:tr>
        <w:tc>
          <w:tcPr>
            <w:tcW w:type="dxa" w:w="7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60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0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8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41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r>
      <w:tr>
        <w:tc>
          <w:tcPr>
            <w:tcW w:type="dxa" w:w="7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60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0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8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41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r>
      <w:tr>
        <w:tc>
          <w:tcPr>
            <w:tcW w:type="dxa" w:w="7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60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20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1800"/>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c>
          <w:tcPr>
            <w:tcW w:type="dxa" w:w="4178"/>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
            </w:r>
          </w:p>
        </w:tc>
      </w:tr>
    </w:tbl>
    <w:p>
      <w:r>
        <w:br w:type="page"/>
      </w:r>
    </w:p>
    <w:p>
      <w:pPr>
        <w:pStyle w:val="Heading1"/>
        <w:spacing w:after="140" w:before="320"/>
      </w:pPr>
      <w:r>
        <w:rPr>
          <w:rFonts w:ascii="Calibri" w:cs="Calibri" w:eastAsia="Calibri" w:hAnsi="Calibri"/>
          <w:b/>
          <w:bCs/>
          <w:i w:val="false"/>
          <w:iCs w:val="false"/>
          <w:color w:val="1F3864"/>
          <w:sz w:val="26"/>
          <w:szCs w:val="26"/>
        </w:rPr>
        <w:t xml:space="preserve">Annexure A — Worked example: SSG OTC Settlements</w:t>
      </w:r>
    </w:p>
    <w:p>
      <w:pPr>
        <w:spacing w:after="140" w:before="60"/>
      </w:pPr>
      <w:r>
        <w:rPr>
          <w:rFonts w:ascii="Calibri" w:cs="Calibri" w:eastAsia="Calibri" w:hAnsi="Calibri"/>
          <w:b/>
          <w:bCs/>
          <w:i/>
          <w:iCs/>
          <w:color w:val="595959"/>
          <w:sz w:val="16"/>
          <w:szCs w:val="16"/>
        </w:rPr>
        <w:t xml:space="preserve">Guidance: </w:t>
      </w:r>
      <w:r>
        <w:rPr>
          <w:rFonts w:ascii="Calibri" w:cs="Calibri" w:eastAsia="Calibri" w:hAnsi="Calibri"/>
          <w:b w:val="false"/>
          <w:bCs w:val="false"/>
          <w:i/>
          <w:iCs/>
          <w:color w:val="595959"/>
          <w:sz w:val="16"/>
          <w:szCs w:val="16"/>
        </w:rPr>
        <w:t xml:space="preserve">Illustrative only, drawn from the OTC Allege as-is capture. Shown to demonstrate the level of detail expected, particularly in Sections A4 and B3.</w:t>
      </w:r>
    </w:p>
    <w:p>
      <w:pPr>
        <w:pStyle w:val="Heading2"/>
        <w:spacing w:after="110" w:before="260"/>
      </w:pPr>
      <w:r>
        <w:rPr>
          <w:rFonts w:ascii="Calibri" w:cs="Calibri" w:eastAsia="Calibri" w:hAnsi="Calibri"/>
          <w:b/>
          <w:bCs/>
          <w:i w:val="false"/>
          <w:iCs w:val="false"/>
          <w:color w:val="2E5496"/>
          <w:sz w:val="22"/>
          <w:szCs w:val="22"/>
        </w:rPr>
        <w:t xml:space="preserve">Example — Part A, Section A1. Identification</w:t>
      </w:r>
    </w:p>
    <w:tbl>
      <w:tblPr>
        <w:tblW w:type="dxa" w:w="14678"/>
        <w:tblBorders>
          <w:top w:val="single" w:color="9AA3B0" w:sz="4"/>
          <w:left w:val="single" w:color="9AA3B0" w:sz="4"/>
          <w:bottom w:val="single" w:color="9AA3B0" w:sz="4"/>
          <w:right w:val="single" w:color="9AA3B0" w:sz="4"/>
          <w:insideH w:val="single" w:color="B8C0CC" w:sz="2"/>
          <w:insideV w:val="single" w:color="B8C0CC" w:sz="2"/>
        </w:tblBorders>
      </w:tblPr>
      <w:tblGrid>
        <w:gridCol w:w="4000"/>
        <w:gridCol w:w="10678"/>
      </w:tblGrid>
      <w:tr>
        <w:tc>
          <w:tcPr>
            <w:tcW w:type="dxa" w:w="4000"/>
            <w:shd w:fill="F2F2F2"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Driver / function</w:t>
            </w:r>
          </w:p>
        </w:tc>
        <w:tc>
          <w:tcPr>
            <w:tcW w:type="dxa" w:w="10678"/>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Shared Services Group (SSG), Settlements Operations</w:t>
            </w:r>
          </w:p>
        </w:tc>
      </w:tr>
      <w:tr>
        <w:tc>
          <w:tcPr>
            <w:tcW w:type="dxa" w:w="4000"/>
            <w:shd w:fill="F2F2F2"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L2 activity reference and name</w:t>
            </w:r>
          </w:p>
        </w:tc>
        <w:tc>
          <w:tcPr>
            <w:tcW w:type="dxa" w:w="10678"/>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OTC Settlements Compare and Match (pre-matching of counterparty settlement correspondence)</w:t>
            </w:r>
          </w:p>
        </w:tc>
      </w:tr>
      <w:tr>
        <w:tc>
          <w:tcPr>
            <w:tcW w:type="dxa" w:w="4000"/>
            <w:shd w:fill="F2F2F2"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Business unit and team</w:t>
            </w:r>
          </w:p>
        </w:tc>
        <w:tc>
          <w:tcPr>
            <w:tcW w:type="dxa" w:w="10678"/>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SSG, OTC Settlements team</w:t>
            </w:r>
          </w:p>
        </w:tc>
      </w:tr>
      <w:tr>
        <w:tc>
          <w:tcPr>
            <w:tcW w:type="dxa" w:w="4000"/>
            <w:shd w:fill="F2F2F2"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Location(s) where performed</w:t>
            </w:r>
          </w:p>
        </w:tc>
        <w:tc>
          <w:tcPr>
            <w:tcW w:type="dxa" w:w="10678"/>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India Operations, Powai</w:t>
            </w:r>
          </w:p>
        </w:tc>
      </w:tr>
      <w:tr>
        <w:tc>
          <w:tcPr>
            <w:tcW w:type="dxa" w:w="4000"/>
            <w:shd w:fill="F2F2F2"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SME name and role</w:t>
            </w:r>
          </w:p>
        </w:tc>
        <w:tc>
          <w:tcPr>
            <w:tcW w:type="dxa" w:w="10678"/>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Haris Raza, SME Settlements Operations</w:t>
            </w:r>
          </w:p>
        </w:tc>
      </w:tr>
      <w:tr>
        <w:tc>
          <w:tcPr>
            <w:tcW w:type="dxa" w:w="4000"/>
            <w:shd w:fill="F2F2F2"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Process owner</w:t>
            </w:r>
          </w:p>
        </w:tc>
        <w:tc>
          <w:tcPr>
            <w:tcW w:type="dxa" w:w="10678"/>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Bipin Kadam, Business Owner</w:t>
            </w:r>
          </w:p>
        </w:tc>
      </w:tr>
      <w:tr>
        <w:tc>
          <w:tcPr>
            <w:tcW w:type="dxa" w:w="4000"/>
            <w:shd w:fill="F2F2F2"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Other attendees at walkthrough</w:t>
            </w:r>
          </w:p>
        </w:tc>
        <w:tc>
          <w:tcPr>
            <w:tcW w:type="dxa" w:w="10678"/>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Settlements Operations analysts and managers who perform the activity today</w:t>
            </w:r>
          </w:p>
        </w:tc>
      </w:tr>
      <w:tr>
        <w:tc>
          <w:tcPr>
            <w:tcW w:type="dxa" w:w="4000"/>
            <w:shd w:fill="F2F2F2"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One-line description of the L2 activity</w:t>
            </w:r>
          </w:p>
        </w:tc>
        <w:tc>
          <w:tcPr>
            <w:tcW w:type="dxa" w:w="10678"/>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Reconciling counterparty-asserted trade and cashflow details against Nomura records, and acting on the outcome</w:t>
            </w:r>
          </w:p>
        </w:tc>
      </w:tr>
      <w:tr>
        <w:tc>
          <w:tcPr>
            <w:tcW w:type="dxa" w:w="4000"/>
            <w:shd w:fill="F2F2F2"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Date of capture / version</w:t>
            </w:r>
          </w:p>
        </w:tc>
        <w:tc>
          <w:tcPr>
            <w:tcW w:type="dxa" w:w="10678"/>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May 2026, v0.2</w:t>
            </w:r>
          </w:p>
        </w:tc>
      </w:tr>
    </w:tbl>
    <w:p>
      <w:pPr>
        <w:pStyle w:val="Heading2"/>
        <w:spacing w:after="110" w:before="260"/>
      </w:pPr>
      <w:r>
        <w:rPr>
          <w:rFonts w:ascii="Calibri" w:cs="Calibri" w:eastAsia="Calibri" w:hAnsi="Calibri"/>
          <w:b/>
          <w:bCs/>
          <w:i w:val="false"/>
          <w:iCs w:val="false"/>
          <w:color w:val="2E5496"/>
          <w:sz w:val="22"/>
          <w:szCs w:val="22"/>
        </w:rPr>
        <w:t xml:space="preserve">Example — Part A, Section A2. L3 inventory</w:t>
      </w:r>
    </w:p>
    <w:tbl>
      <w:tblPr>
        <w:tblW w:type="dxa" w:w="14678"/>
        <w:tblBorders>
          <w:top w:val="single" w:color="9AA3B0" w:sz="4"/>
          <w:left w:val="single" w:color="9AA3B0" w:sz="4"/>
          <w:bottom w:val="single" w:color="9AA3B0" w:sz="4"/>
          <w:right w:val="single" w:color="9AA3B0" w:sz="4"/>
          <w:insideH w:val="single" w:color="B8C0CC" w:sz="2"/>
          <w:insideV w:val="single" w:color="B8C0CC" w:sz="2"/>
        </w:tblBorders>
      </w:tblPr>
      <w:tblGrid>
        <w:gridCol w:w="900"/>
        <w:gridCol w:w="3500"/>
        <w:gridCol w:w="1300"/>
        <w:gridCol w:w="1500"/>
        <w:gridCol w:w="1400"/>
        <w:gridCol w:w="1000"/>
        <w:gridCol w:w="1500"/>
        <w:gridCol w:w="3578"/>
      </w:tblGrid>
      <w:tr>
        <w:trPr>
          <w:tblHeader/>
        </w:trPr>
        <w:tc>
          <w:tcPr>
            <w:tcW w:type="dxa" w:w="900"/>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L3 ref</w:t>
            </w:r>
          </w:p>
        </w:tc>
        <w:tc>
          <w:tcPr>
            <w:tcW w:type="dxa" w:w="3500"/>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L3 activity name</w:t>
            </w:r>
          </w:p>
        </w:tc>
        <w:tc>
          <w:tcPr>
            <w:tcW w:type="dxa" w:w="1300"/>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Input pattern(s)</w:t>
            </w:r>
          </w:p>
        </w:tc>
        <w:tc>
          <w:tcPr>
            <w:tcW w:type="dxa" w:w="1500"/>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Volume (state period)</w:t>
            </w:r>
          </w:p>
        </w:tc>
        <w:tc>
          <w:tcPr>
            <w:tcW w:type="dxa" w:w="1400"/>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Frequency</w:t>
            </w:r>
          </w:p>
        </w:tc>
        <w:tc>
          <w:tcPr>
            <w:tcW w:type="dxa" w:w="1000"/>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In scope Y/N</w:t>
            </w:r>
          </w:p>
        </w:tc>
        <w:tc>
          <w:tcPr>
            <w:tcW w:type="dxa" w:w="1500"/>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SME</w:t>
            </w:r>
          </w:p>
        </w:tc>
        <w:tc>
          <w:tcPr>
            <w:tcW w:type="dxa" w:w="3578"/>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Part B form status</w:t>
            </w:r>
          </w:p>
        </w:tc>
      </w:tr>
      <w:tr>
        <w:tc>
          <w:tcPr>
            <w:tcW w:type="dxa" w:w="9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1.1</w:t>
            </w:r>
          </w:p>
        </w:tc>
        <w:tc>
          <w:tcPr>
            <w:tcW w:type="dxa" w:w="35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Counterparty response in email body, allege or DK</w:t>
            </w:r>
          </w:p>
        </w:tc>
        <w:tc>
          <w:tcPr>
            <w:tcW w:type="dxa" w:w="13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IP3</w:t>
            </w:r>
          </w:p>
        </w:tc>
        <w:tc>
          <w:tcPr>
            <w:tcW w:type="dxa" w:w="15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Split TBC</w:t>
            </w:r>
          </w:p>
        </w:tc>
        <w:tc>
          <w:tcPr>
            <w:tcW w:type="dxa" w:w="14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Daily</w:t>
            </w:r>
          </w:p>
        </w:tc>
        <w:tc>
          <w:tcPr>
            <w:tcW w:type="dxa" w:w="10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N, Phase 2</w:t>
            </w:r>
          </w:p>
        </w:tc>
        <w:tc>
          <w:tcPr>
            <w:tcW w:type="dxa" w:w="15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Haris Raza</w:t>
            </w:r>
          </w:p>
        </w:tc>
        <w:tc>
          <w:tcPr>
            <w:tcW w:type="dxa" w:w="3578"/>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Not started</w:t>
            </w:r>
          </w:p>
        </w:tc>
      </w:tr>
      <w:tr>
        <w:tc>
          <w:tcPr>
            <w:tcW w:type="dxa" w:w="9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1.2</w:t>
            </w:r>
          </w:p>
        </w:tc>
        <w:tc>
          <w:tcPr>
            <w:tcW w:type="dxa" w:w="35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Counterparty response in email body, matched</w:t>
            </w:r>
          </w:p>
        </w:tc>
        <w:tc>
          <w:tcPr>
            <w:tcW w:type="dxa" w:w="13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IP3</w:t>
            </w:r>
          </w:p>
        </w:tc>
        <w:tc>
          <w:tcPr>
            <w:tcW w:type="dxa" w:w="15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Split TBC</w:t>
            </w:r>
          </w:p>
        </w:tc>
        <w:tc>
          <w:tcPr>
            <w:tcW w:type="dxa" w:w="14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Daily</w:t>
            </w:r>
          </w:p>
        </w:tc>
        <w:tc>
          <w:tcPr>
            <w:tcW w:type="dxa" w:w="10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N, Phase 2</w:t>
            </w:r>
          </w:p>
        </w:tc>
        <w:tc>
          <w:tcPr>
            <w:tcW w:type="dxa" w:w="15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Haris Raza</w:t>
            </w:r>
          </w:p>
        </w:tc>
        <w:tc>
          <w:tcPr>
            <w:tcW w:type="dxa" w:w="3578"/>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Not started</w:t>
            </w:r>
          </w:p>
        </w:tc>
      </w:tr>
      <w:tr>
        <w:tc>
          <w:tcPr>
            <w:tcW w:type="dxa" w:w="9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1.3</w:t>
            </w:r>
          </w:p>
        </w:tc>
        <w:tc>
          <w:tcPr>
            <w:tcW w:type="dxa" w:w="35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Counterparty response in email body, unmatched</w:t>
            </w:r>
          </w:p>
        </w:tc>
        <w:tc>
          <w:tcPr>
            <w:tcW w:type="dxa" w:w="13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IP3</w:t>
            </w:r>
          </w:p>
        </w:tc>
        <w:tc>
          <w:tcPr>
            <w:tcW w:type="dxa" w:w="15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Split TBC</w:t>
            </w:r>
          </w:p>
        </w:tc>
        <w:tc>
          <w:tcPr>
            <w:tcW w:type="dxa" w:w="14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Daily</w:t>
            </w:r>
          </w:p>
        </w:tc>
        <w:tc>
          <w:tcPr>
            <w:tcW w:type="dxa" w:w="10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N, Phase 2</w:t>
            </w:r>
          </w:p>
        </w:tc>
        <w:tc>
          <w:tcPr>
            <w:tcW w:type="dxa" w:w="15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Haris Raza</w:t>
            </w:r>
          </w:p>
        </w:tc>
        <w:tc>
          <w:tcPr>
            <w:tcW w:type="dxa" w:w="3578"/>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Not started</w:t>
            </w:r>
          </w:p>
        </w:tc>
      </w:tr>
      <w:tr>
        <w:tc>
          <w:tcPr>
            <w:tcW w:type="dxa" w:w="9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1.4</w:t>
            </w:r>
          </w:p>
        </w:tc>
        <w:tc>
          <w:tcPr>
            <w:tcW w:type="dxa" w:w="35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Counterparty response in email body, multiple trades</w:t>
            </w:r>
          </w:p>
        </w:tc>
        <w:tc>
          <w:tcPr>
            <w:tcW w:type="dxa" w:w="13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IP3</w:t>
            </w:r>
          </w:p>
        </w:tc>
        <w:tc>
          <w:tcPr>
            <w:tcW w:type="dxa" w:w="15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Split TBC</w:t>
            </w:r>
          </w:p>
        </w:tc>
        <w:tc>
          <w:tcPr>
            <w:tcW w:type="dxa" w:w="14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Daily</w:t>
            </w:r>
          </w:p>
        </w:tc>
        <w:tc>
          <w:tcPr>
            <w:tcW w:type="dxa" w:w="10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N, Phase 2</w:t>
            </w:r>
          </w:p>
        </w:tc>
        <w:tc>
          <w:tcPr>
            <w:tcW w:type="dxa" w:w="15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Haris Raza</w:t>
            </w:r>
          </w:p>
        </w:tc>
        <w:tc>
          <w:tcPr>
            <w:tcW w:type="dxa" w:w="3578"/>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Not started</w:t>
            </w:r>
          </w:p>
        </w:tc>
      </w:tr>
      <w:tr>
        <w:tc>
          <w:tcPr>
            <w:tcW w:type="dxa" w:w="9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2.1</w:t>
            </w:r>
          </w:p>
        </w:tc>
        <w:tc>
          <w:tcPr>
            <w:tcW w:type="dxa" w:w="35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Counterparty drafts a new email, single or multiple trades in the body</w:t>
            </w:r>
          </w:p>
        </w:tc>
        <w:tc>
          <w:tcPr>
            <w:tcW w:type="dxa" w:w="13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IP3</w:t>
            </w:r>
          </w:p>
        </w:tc>
        <w:tc>
          <w:tcPr>
            <w:tcW w:type="dxa" w:w="15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15 to 18 unstructured cashflows per analyst per business day, combined across themes; 2.1 split TBC</w:t>
            </w:r>
          </w:p>
        </w:tc>
        <w:tc>
          <w:tcPr>
            <w:tcW w:type="dxa" w:w="14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Daily, peaks from the 20th of the last month of each quarter and in the first week of each month</w:t>
            </w:r>
          </w:p>
        </w:tc>
        <w:tc>
          <w:tcPr>
            <w:tcW w:type="dxa" w:w="10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Y</w:t>
            </w:r>
          </w:p>
        </w:tc>
        <w:tc>
          <w:tcPr>
            <w:tcW w:type="dxa" w:w="15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Haris Raza</w:t>
            </w:r>
          </w:p>
        </w:tc>
        <w:tc>
          <w:tcPr>
            <w:tcW w:type="dxa" w:w="3578"/>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Complete, see Part B example</w:t>
            </w:r>
          </w:p>
        </w:tc>
      </w:tr>
      <w:tr>
        <w:tc>
          <w:tcPr>
            <w:tcW w:type="dxa" w:w="9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3.1</w:t>
            </w:r>
          </w:p>
        </w:tc>
        <w:tc>
          <w:tcPr>
            <w:tcW w:type="dxa" w:w="35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Excel attached listing multiple trades</w:t>
            </w:r>
          </w:p>
        </w:tc>
        <w:tc>
          <w:tcPr>
            <w:tcW w:type="dxa" w:w="13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IP2</w:t>
            </w:r>
          </w:p>
        </w:tc>
        <w:tc>
          <w:tcPr>
            <w:tcW w:type="dxa" w:w="15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Split TBC</w:t>
            </w:r>
          </w:p>
        </w:tc>
        <w:tc>
          <w:tcPr>
            <w:tcW w:type="dxa" w:w="14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Daily</w:t>
            </w:r>
          </w:p>
        </w:tc>
        <w:tc>
          <w:tcPr>
            <w:tcW w:type="dxa" w:w="10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Y</w:t>
            </w:r>
          </w:p>
        </w:tc>
        <w:tc>
          <w:tcPr>
            <w:tcW w:type="dxa" w:w="15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Haris Raza</w:t>
            </w:r>
          </w:p>
        </w:tc>
        <w:tc>
          <w:tcPr>
            <w:tcW w:type="dxa" w:w="3578"/>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Not started</w:t>
            </w:r>
          </w:p>
        </w:tc>
      </w:tr>
      <w:tr>
        <w:tc>
          <w:tcPr>
            <w:tcW w:type="dxa" w:w="9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4.1 to 4.4</w:t>
            </w:r>
          </w:p>
        </w:tc>
        <w:tc>
          <w:tcPr>
            <w:tcW w:type="dxa" w:w="35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SSI verification</w:t>
            </w:r>
          </w:p>
        </w:tc>
        <w:tc>
          <w:tcPr>
            <w:tcW w:type="dxa" w:w="13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IP3</w:t>
            </w:r>
          </w:p>
        </w:tc>
        <w:tc>
          <w:tcPr>
            <w:tcW w:type="dxa" w:w="15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Split TBC</w:t>
            </w:r>
          </w:p>
        </w:tc>
        <w:tc>
          <w:tcPr>
            <w:tcW w:type="dxa" w:w="14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Daily</w:t>
            </w:r>
          </w:p>
        </w:tc>
        <w:tc>
          <w:tcPr>
            <w:tcW w:type="dxa" w:w="10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N, Phase 2</w:t>
            </w:r>
          </w:p>
        </w:tc>
        <w:tc>
          <w:tcPr>
            <w:tcW w:type="dxa" w:w="15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Haris Raza</w:t>
            </w:r>
          </w:p>
        </w:tc>
        <w:tc>
          <w:tcPr>
            <w:tcW w:type="dxa" w:w="3578"/>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Not started</w:t>
            </w:r>
          </w:p>
        </w:tc>
      </w:tr>
    </w:tbl>
    <w:p>
      <w:pPr>
        <w:spacing w:after="140" w:before="60"/>
      </w:pPr>
      <w:r>
        <w:rPr>
          <w:rFonts w:ascii="Calibri" w:cs="Calibri" w:eastAsia="Calibri" w:hAnsi="Calibri"/>
          <w:b/>
          <w:bCs/>
          <w:i/>
          <w:iCs/>
          <w:color w:val="595959"/>
          <w:sz w:val="16"/>
          <w:szCs w:val="16"/>
        </w:rPr>
        <w:t xml:space="preserve">Guidance: </w:t>
      </w:r>
      <w:r>
        <w:rPr>
          <w:rFonts w:ascii="Calibri" w:cs="Calibri" w:eastAsia="Calibri" w:hAnsi="Calibri"/>
          <w:b w:val="false"/>
          <w:bCs w:val="false"/>
          <w:i/>
          <w:iCs/>
          <w:color w:val="595959"/>
          <w:sz w:val="16"/>
          <w:szCs w:val="16"/>
        </w:rPr>
        <w:t xml:space="preserve">Volume context recorded at L2 level: around 32% of mail in the shared mailbox is from counterparties; of external mail, 45% are fresh counterparty emails and the remainder are replies to existing threads.</w:t>
      </w:r>
    </w:p>
    <w:p>
      <w:pPr>
        <w:pStyle w:val="Heading2"/>
        <w:spacing w:after="110" w:before="260"/>
      </w:pPr>
      <w:r>
        <w:rPr>
          <w:rFonts w:ascii="Calibri" w:cs="Calibri" w:eastAsia="Calibri" w:hAnsi="Calibri"/>
          <w:b/>
          <w:bCs/>
          <w:i w:val="false"/>
          <w:iCs w:val="false"/>
          <w:color w:val="2E5496"/>
          <w:sz w:val="22"/>
          <w:szCs w:val="22"/>
        </w:rPr>
        <w:t xml:space="preserve">Example — Part A, Section A3. Intake channels</w:t>
      </w:r>
    </w:p>
    <w:tbl>
      <w:tblPr>
        <w:tblW w:type="dxa" w:w="14678"/>
        <w:tblBorders>
          <w:top w:val="single" w:color="9AA3B0" w:sz="4"/>
          <w:left w:val="single" w:color="9AA3B0" w:sz="4"/>
          <w:bottom w:val="single" w:color="9AA3B0" w:sz="4"/>
          <w:right w:val="single" w:color="9AA3B0" w:sz="4"/>
          <w:insideH w:val="single" w:color="B8C0CC" w:sz="2"/>
          <w:insideV w:val="single" w:color="B8C0CC" w:sz="2"/>
        </w:tblBorders>
      </w:tblPr>
      <w:tblGrid>
        <w:gridCol w:w="700"/>
        <w:gridCol w:w="1100"/>
        <w:gridCol w:w="2600"/>
        <w:gridCol w:w="1600"/>
        <w:gridCol w:w="2800"/>
        <w:gridCol w:w="1500"/>
        <w:gridCol w:w="1400"/>
        <w:gridCol w:w="2978"/>
      </w:tblGrid>
      <w:tr>
        <w:trPr>
          <w:tblHeader/>
        </w:trPr>
        <w:tc>
          <w:tcPr>
            <w:tcW w:type="dxa" w:w="700"/>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Ch #</w:t>
            </w:r>
          </w:p>
        </w:tc>
        <w:tc>
          <w:tcPr>
            <w:tcW w:type="dxa" w:w="1100"/>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Input pattern</w:t>
            </w:r>
          </w:p>
        </w:tc>
        <w:tc>
          <w:tcPr>
            <w:tcW w:type="dxa" w:w="2600"/>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Mailbox address / queue / feed / system</w:t>
            </w:r>
          </w:p>
        </w:tc>
        <w:tc>
          <w:tcPr>
            <w:tcW w:type="dxa" w:w="1600"/>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Sender profile</w:t>
            </w:r>
          </w:p>
        </w:tc>
        <w:tc>
          <w:tcPr>
            <w:tcW w:type="dxa" w:w="2800"/>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Links referenced in the input and what sits behind them</w:t>
            </w:r>
          </w:p>
        </w:tc>
        <w:tc>
          <w:tcPr>
            <w:tcW w:type="dxa" w:w="1500"/>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Attachment types</w:t>
            </w:r>
          </w:p>
        </w:tc>
        <w:tc>
          <w:tcPr>
            <w:tcW w:type="dxa" w:w="1400"/>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Template fixed or free-form</w:t>
            </w:r>
          </w:p>
        </w:tc>
        <w:tc>
          <w:tcPr>
            <w:tcW w:type="dxa" w:w="2978"/>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Real input files: count, provided by, by when</w:t>
            </w:r>
          </w:p>
        </w:tc>
      </w:tr>
      <w:tr>
        <w:tc>
          <w:tcPr>
            <w:tcW w:type="dxa" w:w="7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1</w:t>
            </w:r>
          </w:p>
        </w:tc>
        <w:tc>
          <w:tcPr>
            <w:tcW w:type="dxa" w:w="11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IP3</w:t>
            </w:r>
          </w:p>
        </w:tc>
        <w:tc>
          <w:tcPr>
            <w:tcW w:type="dxa" w:w="26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otcsettlements@nomura.com, Outlook shared mailbox</w:t>
            </w:r>
          </w:p>
        </w:tc>
        <w:tc>
          <w:tcPr>
            <w:tcW w:type="dxa" w:w="16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External, counterparty initiated</w:t>
            </w:r>
          </w:p>
        </w:tc>
        <w:tc>
          <w:tcPr>
            <w:tcW w:type="dxa" w:w="28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None typically</w:t>
            </w:r>
          </w:p>
        </w:tc>
        <w:tc>
          <w:tcPr>
            <w:tcW w:type="dxa" w:w="15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None, or occasional .xls / .xlsx</w:t>
            </w:r>
          </w:p>
        </w:tc>
        <w:tc>
          <w:tcPr>
            <w:tcW w:type="dxa" w:w="14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Free-form</w:t>
            </w:r>
          </w:p>
        </w:tc>
        <w:tc>
          <w:tcPr>
            <w:tcW w:type="dxa" w:w="2978"/>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To be loaded to the Confluence page by Haris Raza, count TBC</w:t>
            </w:r>
          </w:p>
        </w:tc>
      </w:tr>
      <w:tr>
        <w:tc>
          <w:tcPr>
            <w:tcW w:type="dxa" w:w="7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2</w:t>
            </w:r>
          </w:p>
        </w:tc>
        <w:tc>
          <w:tcPr>
            <w:tcW w:type="dxa" w:w="11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IP2</w:t>
            </w:r>
          </w:p>
        </w:tc>
        <w:tc>
          <w:tcPr>
            <w:tcW w:type="dxa" w:w="26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otcsettlements@nomura.com, Outlook shared mailbox</w:t>
            </w:r>
          </w:p>
        </w:tc>
        <w:tc>
          <w:tcPr>
            <w:tcW w:type="dxa" w:w="16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External, counterparty initiated</w:t>
            </w:r>
          </w:p>
        </w:tc>
        <w:tc>
          <w:tcPr>
            <w:tcW w:type="dxa" w:w="28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None typically</w:t>
            </w:r>
          </w:p>
        </w:tc>
        <w:tc>
          <w:tcPr>
            <w:tcW w:type="dxa" w:w="15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.xls, .xlsx</w:t>
            </w:r>
          </w:p>
        </w:tc>
        <w:tc>
          <w:tcPr>
            <w:tcW w:type="dxa" w:w="14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Free-form; counterparty's own format, not the Nomura template</w:t>
            </w:r>
          </w:p>
        </w:tc>
        <w:tc>
          <w:tcPr>
            <w:tcW w:type="dxa" w:w="2978"/>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To be loaded to the Confluence page by Haris Raza, count TBC</w:t>
            </w:r>
          </w:p>
        </w:tc>
      </w:tr>
      <w:tr>
        <w:tc>
          <w:tcPr>
            <w:tcW w:type="dxa" w:w="7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3</w:t>
            </w:r>
          </w:p>
        </w:tc>
        <w:tc>
          <w:tcPr>
            <w:tcW w:type="dxa" w:w="11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IP2</w:t>
            </w:r>
          </w:p>
        </w:tc>
        <w:tc>
          <w:tcPr>
            <w:tcW w:type="dxa" w:w="26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NEWS-issued thread, counterparty replies to the NEWS no-reply address</w:t>
            </w:r>
          </w:p>
        </w:tc>
        <w:tc>
          <w:tcPr>
            <w:tcW w:type="dxa" w:w="16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External, replying to a Nomura-issued thread</w:t>
            </w:r>
          </w:p>
        </w:tc>
        <w:tc>
          <w:tcPr>
            <w:tcW w:type="dxa" w:w="28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None</w:t>
            </w:r>
          </w:p>
        </w:tc>
        <w:tc>
          <w:tcPr>
            <w:tcW w:type="dxa" w:w="15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.xls, .xlsx</w:t>
            </w:r>
          </w:p>
        </w:tc>
        <w:tc>
          <w:tcPr>
            <w:tcW w:type="dxa" w:w="14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Fixed, Nomura NEWS Excel template</w:t>
            </w:r>
          </w:p>
        </w:tc>
        <w:tc>
          <w:tcPr>
            <w:tcW w:type="dxa" w:w="2978"/>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Available from NEWS</w:t>
            </w:r>
          </w:p>
        </w:tc>
      </w:tr>
      <w:tr>
        <w:tc>
          <w:tcPr>
            <w:tcW w:type="dxa" w:w="7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Out of scope</w:t>
            </w:r>
          </w:p>
        </w:tc>
        <w:tc>
          <w:tcPr>
            <w:tcW w:type="dxa" w:w="11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Other</w:t>
            </w:r>
          </w:p>
        </w:tc>
        <w:tc>
          <w:tcPr>
            <w:tcW w:type="dxa" w:w="26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TRAM, shared folders, Bloomberg chat</w:t>
            </w:r>
          </w:p>
        </w:tc>
        <w:tc>
          <w:tcPr>
            <w:tcW w:type="dxa" w:w="16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Mixed</w:t>
            </w:r>
          </w:p>
        </w:tc>
        <w:tc>
          <w:tcPr>
            <w:tcW w:type="dxa" w:w="28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Not assessed</w:t>
            </w:r>
          </w:p>
        </w:tc>
        <w:tc>
          <w:tcPr>
            <w:tcW w:type="dxa" w:w="15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Not assessed</w:t>
            </w:r>
          </w:p>
        </w:tc>
        <w:tc>
          <w:tcPr>
            <w:tcW w:type="dxa" w:w="14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Not assessed</w:t>
            </w:r>
          </w:p>
        </w:tc>
        <w:tc>
          <w:tcPr>
            <w:tcW w:type="dxa" w:w="2978"/>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Not requested</w:t>
            </w:r>
          </w:p>
        </w:tc>
      </w:tr>
    </w:tbl>
    <w:p>
      <w:pPr>
        <w:pStyle w:val="Heading2"/>
        <w:spacing w:after="110" w:before="260"/>
      </w:pPr>
      <w:r>
        <w:rPr>
          <w:rFonts w:ascii="Calibri" w:cs="Calibri" w:eastAsia="Calibri" w:hAnsi="Calibri"/>
          <w:b/>
          <w:bCs/>
          <w:i w:val="false"/>
          <w:iCs w:val="false"/>
          <w:color w:val="2E5496"/>
          <w:sz w:val="22"/>
          <w:szCs w:val="22"/>
        </w:rPr>
        <w:t xml:space="preserve">Example — Part A, Section A4. Trigger and intent identification</w:t>
      </w:r>
    </w:p>
    <w:tbl>
      <w:tblPr>
        <w:tblW w:type="dxa" w:w="14678"/>
        <w:tblBorders>
          <w:top w:val="single" w:color="9AA3B0" w:sz="4"/>
          <w:left w:val="single" w:color="9AA3B0" w:sz="4"/>
          <w:bottom w:val="single" w:color="9AA3B0" w:sz="4"/>
          <w:right w:val="single" w:color="9AA3B0" w:sz="4"/>
          <w:insideH w:val="single" w:color="B8C0CC" w:sz="2"/>
          <w:insideV w:val="single" w:color="B8C0CC" w:sz="2"/>
        </w:tblBorders>
      </w:tblPr>
      <w:tblGrid>
        <w:gridCol w:w="1600"/>
        <w:gridCol w:w="3200"/>
        <w:gridCol w:w="1200"/>
        <w:gridCol w:w="2400"/>
        <w:gridCol w:w="1400"/>
        <w:gridCol w:w="2400"/>
        <w:gridCol w:w="2478"/>
      </w:tblGrid>
      <w:tr>
        <w:trPr>
          <w:tblHeader/>
        </w:trPr>
        <w:tc>
          <w:tcPr>
            <w:tcW w:type="dxa" w:w="1600"/>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Channel</w:t>
            </w:r>
          </w:p>
        </w:tc>
        <w:tc>
          <w:tcPr>
            <w:tcW w:type="dxa" w:w="3200"/>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How the item is recognised as belonging to this activity</w:t>
            </w:r>
          </w:p>
        </w:tc>
        <w:tc>
          <w:tcPr>
            <w:tcW w:type="dxa" w:w="1200"/>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Signal reliability H/M/L</w:t>
            </w:r>
          </w:p>
        </w:tc>
        <w:tc>
          <w:tcPr>
            <w:tcW w:type="dxa" w:w="2400"/>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What the analyst does when it is ambiguous</w:t>
            </w:r>
          </w:p>
        </w:tc>
        <w:tc>
          <w:tcPr>
            <w:tcW w:type="dxa" w:w="1400"/>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Can one item map to multiple L3s? Y/N</w:t>
            </w:r>
          </w:p>
        </w:tc>
        <w:tc>
          <w:tcPr>
            <w:tcW w:type="dxa" w:w="2400"/>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If yes: how often, and how is it split today</w:t>
            </w:r>
          </w:p>
        </w:tc>
        <w:tc>
          <w:tcPr>
            <w:tcW w:type="dxa" w:w="2478"/>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Handled by one person or routed to several</w:t>
            </w:r>
          </w:p>
        </w:tc>
      </w:tr>
      <w:tr>
        <w:tc>
          <w:tcPr>
            <w:tcW w:type="dxa" w:w="16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Ch 1 and 2, shared mailbox</w:t>
            </w:r>
          </w:p>
        </w:tc>
        <w:tc>
          <w:tcPr>
            <w:tcW w:type="dxa" w:w="32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The team lead runs a script that surfaces allege emails from the mailbox. The team lead then allocates them manually, by AM grade and above, against an agreed client allocation list that changes infrequently. The analyst then reads the body and any attachment to establish what the counterparty is asserting: one trade or several, and whether the assertion is a match, an allege or DK, an SSI verification or a reaffirmation.</w:t>
            </w:r>
          </w:p>
        </w:tc>
        <w:tc>
          <w:tcPr>
            <w:tcW w:type="dxa" w:w="12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M</w:t>
            </w:r>
          </w:p>
        </w:tc>
        <w:tc>
          <w:tcPr>
            <w:tcW w:type="dxa" w:w="24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The analyst reads the full body and attachment. Non-operational mail sharing the inbox (out-of-office replies, bounce-backs, counterparty newsletters and KYC requests, duplicate sends, aged mail resurfacing) is identified by reading and set aside.</w:t>
            </w:r>
          </w:p>
        </w:tc>
        <w:tc>
          <w:tcPr>
            <w:tcW w:type="dxa" w:w="14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Y</w:t>
            </w:r>
          </w:p>
        </w:tc>
        <w:tc>
          <w:tcPr>
            <w:tcW w:type="dxa" w:w="24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A single email may concern multiple trades. Parent-and-child structure is seen, where a summary trade sits in the body and the child trade details sit in an attachment, which spans L3 2.1 and 3.1. Separately, a mail may appear counterparty-initiated in the headers while the body references a NEWS-issued thread, which spans Theme 1 and Themes 2 and 3; this is rare.</w:t>
            </w:r>
          </w:p>
        </w:tc>
        <w:tc>
          <w:tcPr>
            <w:tcW w:type="dxa" w:w="2478"/>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One analyst handles the whole email. Each trade within it is tracked as a separate cashflow record under one parent email reference.</w:t>
            </w:r>
          </w:p>
        </w:tc>
      </w:tr>
      <w:tr>
        <w:tc>
          <w:tcPr>
            <w:tcW w:type="dxa" w:w="16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Ch 3, NEWS thread</w:t>
            </w:r>
          </w:p>
        </w:tc>
        <w:tc>
          <w:tcPr>
            <w:tcW w:type="dxa" w:w="32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NEWS parses the reply automatically where the counterparty has populated the Nomura template correctly. Where it cannot parse the reply, NEWS routes it to "Assigned to User for Investigation" and it reaches the analyst.</w:t>
            </w:r>
          </w:p>
        </w:tc>
        <w:tc>
          <w:tcPr>
            <w:tcW w:type="dxa" w:w="12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H where the template is used correctly</w:t>
            </w:r>
          </w:p>
        </w:tc>
        <w:tc>
          <w:tcPr>
            <w:tcW w:type="dxa" w:w="24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Falls to the analyst as unstructured correspondence.</w:t>
            </w:r>
          </w:p>
        </w:tc>
        <w:tc>
          <w:tcPr>
            <w:tcW w:type="dxa" w:w="14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Y</w:t>
            </w:r>
          </w:p>
        </w:tc>
        <w:tc>
          <w:tcPr>
            <w:tcW w:type="dxa" w:w="24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Where a counterparty drops the NEWS no-reply address from the chain, an otherwise acceptable reply cannot be ingested and lands in Outlook for manual handling.</w:t>
            </w:r>
          </w:p>
        </w:tc>
        <w:tc>
          <w:tcPr>
            <w:tcW w:type="dxa" w:w="2478"/>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One analyst.</w:t>
            </w:r>
          </w:p>
        </w:tc>
      </w:tr>
    </w:tbl>
    <w:p>
      <w:pPr>
        <w:pStyle w:val="Heading2"/>
        <w:spacing w:after="110" w:before="260"/>
      </w:pPr>
      <w:r>
        <w:rPr>
          <w:rFonts w:ascii="Calibri" w:cs="Calibri" w:eastAsia="Calibri" w:hAnsi="Calibri"/>
          <w:b/>
          <w:bCs/>
          <w:i w:val="false"/>
          <w:iCs w:val="false"/>
          <w:color w:val="2E5496"/>
          <w:sz w:val="22"/>
          <w:szCs w:val="22"/>
        </w:rPr>
        <w:t xml:space="preserve">Example — Part A, Section A5. Systems landscape</w:t>
      </w:r>
    </w:p>
    <w:tbl>
      <w:tblPr>
        <w:tblW w:type="dxa" w:w="14678"/>
        <w:tblBorders>
          <w:top w:val="single" w:color="9AA3B0" w:sz="4"/>
          <w:left w:val="single" w:color="9AA3B0" w:sz="4"/>
          <w:bottom w:val="single" w:color="9AA3B0" w:sz="4"/>
          <w:right w:val="single" w:color="9AA3B0" w:sz="4"/>
          <w:insideH w:val="single" w:color="B8C0CC" w:sz="2"/>
          <w:insideV w:val="single" w:color="B8C0CC" w:sz="2"/>
        </w:tblBorders>
      </w:tblPr>
      <w:tblGrid>
        <w:gridCol w:w="2000"/>
        <w:gridCol w:w="3400"/>
        <w:gridCol w:w="1200"/>
        <w:gridCol w:w="2200"/>
        <w:gridCol w:w="1800"/>
        <w:gridCol w:w="1400"/>
        <w:gridCol w:w="2678"/>
      </w:tblGrid>
      <w:tr>
        <w:trPr>
          <w:tblHeader/>
        </w:trPr>
        <w:tc>
          <w:tcPr>
            <w:tcW w:type="dxa" w:w="2000"/>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System</w:t>
            </w:r>
          </w:p>
        </w:tc>
        <w:tc>
          <w:tcPr>
            <w:tcW w:type="dxa" w:w="3400"/>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Role in this activity</w:t>
            </w:r>
          </w:p>
        </w:tc>
        <w:tc>
          <w:tcPr>
            <w:tcW w:type="dxa" w:w="1200"/>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Read / Write</w:t>
            </w:r>
          </w:p>
        </w:tc>
        <w:tc>
          <w:tcPr>
            <w:tcW w:type="dxa" w:w="2200"/>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Access method available today</w:t>
            </w:r>
          </w:p>
        </w:tc>
        <w:tc>
          <w:tcPr>
            <w:tcW w:type="dxa" w:w="1800"/>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Owner team</w:t>
            </w:r>
          </w:p>
        </w:tc>
        <w:tc>
          <w:tcPr>
            <w:tcW w:type="dxa" w:w="1400"/>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Internal or third party</w:t>
            </w:r>
          </w:p>
        </w:tc>
        <w:tc>
          <w:tcPr>
            <w:tcW w:type="dxa" w:w="2678"/>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Known constraints</w:t>
            </w:r>
          </w:p>
        </w:tc>
      </w:tr>
      <w:tr>
        <w:tc>
          <w:tcPr>
            <w:tcW w:type="dxa" w:w="20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Outlook shared mailbox</w:t>
            </w:r>
          </w:p>
        </w:tc>
        <w:tc>
          <w:tcPr>
            <w:tcW w:type="dxa" w:w="34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Counterparty email arrives here; the analyst drafts and sends responses from here</w:t>
            </w:r>
          </w:p>
        </w:tc>
        <w:tc>
          <w:tcPr>
            <w:tcW w:type="dxa" w:w="12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Read and Write</w:t>
            </w:r>
          </w:p>
        </w:tc>
        <w:tc>
          <w:tcPr>
            <w:tcW w:type="dxa" w:w="22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UI</w:t>
            </w:r>
          </w:p>
        </w:tc>
        <w:tc>
          <w:tcPr>
            <w:tcW w:type="dxa" w:w="18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IT Team</w:t>
            </w:r>
          </w:p>
        </w:tc>
        <w:tc>
          <w:tcPr>
            <w:tcW w:type="dxa" w:w="14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Internal</w:t>
            </w:r>
          </w:p>
        </w:tc>
        <w:tc>
          <w:tcPr>
            <w:tcW w:type="dxa" w:w="2678"/>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Shared mailbox access to be provisioned</w:t>
            </w:r>
          </w:p>
        </w:tc>
      </w:tr>
      <w:tr>
        <w:tc>
          <w:tcPr>
            <w:tcW w:type="dxa" w:w="20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NEWS</w:t>
            </w:r>
          </w:p>
        </w:tc>
        <w:tc>
          <w:tcPr>
            <w:tcW w:type="dxa" w:w="34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Custom workflow system of record; processes the structured 5 to 10% end to end and routes the unstructured residual to analysts</w:t>
            </w:r>
          </w:p>
        </w:tc>
        <w:tc>
          <w:tcPr>
            <w:tcW w:type="dxa" w:w="12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Read and Write</w:t>
            </w:r>
          </w:p>
        </w:tc>
        <w:tc>
          <w:tcPr>
            <w:tcW w:type="dxa" w:w="22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UI, integration interface</w:t>
            </w:r>
          </w:p>
        </w:tc>
        <w:tc>
          <w:tcPr>
            <w:tcW w:type="dxa" w:w="18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NEWS Platform Team</w:t>
            </w:r>
          </w:p>
        </w:tc>
        <w:tc>
          <w:tcPr>
            <w:tcW w:type="dxa" w:w="14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Internal</w:t>
            </w:r>
          </w:p>
        </w:tc>
        <w:tc>
          <w:tcPr>
            <w:tcW w:type="dxa" w:w="2678"/>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Write-back validates that the same trade and same version is being updated</w:t>
            </w:r>
          </w:p>
        </w:tc>
      </w:tr>
      <w:tr>
        <w:tc>
          <w:tcPr>
            <w:tcW w:type="dxa" w:w="20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Phoenix Cash Manager (PCM)</w:t>
            </w:r>
          </w:p>
        </w:tc>
        <w:tc>
          <w:tcPr>
            <w:tcW w:type="dxa" w:w="34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Source-of-truth cashflow ledger; status changes are written here</w:t>
            </w:r>
          </w:p>
        </w:tc>
        <w:tc>
          <w:tcPr>
            <w:tcW w:type="dxa" w:w="12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Read and Write</w:t>
            </w:r>
          </w:p>
        </w:tc>
        <w:tc>
          <w:tcPr>
            <w:tcW w:type="dxa" w:w="22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UI</w:t>
            </w:r>
          </w:p>
        </w:tc>
        <w:tc>
          <w:tcPr>
            <w:tcW w:type="dxa" w:w="18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IT Team</w:t>
            </w:r>
          </w:p>
        </w:tc>
        <w:tc>
          <w:tcPr>
            <w:tcW w:type="dxa" w:w="14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Internal</w:t>
            </w:r>
          </w:p>
        </w:tc>
        <w:tc>
          <w:tcPr>
            <w:tcW w:type="dxa" w:w="2678"/>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Access to be provisioned</w:t>
            </w:r>
          </w:p>
        </w:tc>
      </w:tr>
      <w:tr>
        <w:tc>
          <w:tcPr>
            <w:tcW w:type="dxa" w:w="20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Eve / RDM</w:t>
            </w:r>
          </w:p>
        </w:tc>
        <w:tc>
          <w:tcPr>
            <w:tcW w:type="dxa" w:w="34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Counterparty reference and alias data used to validate counterparty identity</w:t>
            </w:r>
          </w:p>
        </w:tc>
        <w:tc>
          <w:tcPr>
            <w:tcW w:type="dxa" w:w="12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Read</w:t>
            </w:r>
          </w:p>
        </w:tc>
        <w:tc>
          <w:tcPr>
            <w:tcW w:type="dxa" w:w="22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UI</w:t>
            </w:r>
          </w:p>
        </w:tc>
        <w:tc>
          <w:tcPr>
            <w:tcW w:type="dxa" w:w="18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IT Team</w:t>
            </w:r>
          </w:p>
        </w:tc>
        <w:tc>
          <w:tcPr>
            <w:tcW w:type="dxa" w:w="14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Internal</w:t>
            </w:r>
          </w:p>
        </w:tc>
        <w:tc>
          <w:tcPr>
            <w:tcW w:type="dxa" w:w="2678"/>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Alias data required for trade location</w:t>
            </w:r>
          </w:p>
        </w:tc>
      </w:tr>
      <w:tr>
        <w:tc>
          <w:tcPr>
            <w:tcW w:type="dxa" w:w="20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TRAM</w:t>
            </w:r>
          </w:p>
        </w:tc>
        <w:tc>
          <w:tcPr>
            <w:tcW w:type="dxa" w:w="34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Internal booking system</w:t>
            </w:r>
          </w:p>
        </w:tc>
        <w:tc>
          <w:tcPr>
            <w:tcW w:type="dxa" w:w="12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Read</w:t>
            </w:r>
          </w:p>
        </w:tc>
        <w:tc>
          <w:tcPr>
            <w:tcW w:type="dxa" w:w="22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UI</w:t>
            </w:r>
          </w:p>
        </w:tc>
        <w:tc>
          <w:tcPr>
            <w:tcW w:type="dxa" w:w="18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IT Team</w:t>
            </w:r>
          </w:p>
        </w:tc>
        <w:tc>
          <w:tcPr>
            <w:tcW w:type="dxa" w:w="14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Internal</w:t>
            </w:r>
          </w:p>
        </w:tc>
        <w:tc>
          <w:tcPr>
            <w:tcW w:type="dxa" w:w="2678"/>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Not an ingestion channel in the current scope</w:t>
            </w:r>
          </w:p>
        </w:tc>
      </w:tr>
      <w:tr>
        <w:tc>
          <w:tcPr>
            <w:tcW w:type="dxa" w:w="20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Front office systems</w:t>
            </w:r>
          </w:p>
        </w:tc>
        <w:tc>
          <w:tcPr>
            <w:tcW w:type="dxa" w:w="34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Where original trades are booked; consulted when MO or FO investigation is needed</w:t>
            </w:r>
          </w:p>
        </w:tc>
        <w:tc>
          <w:tcPr>
            <w:tcW w:type="dxa" w:w="12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Read</w:t>
            </w:r>
          </w:p>
        </w:tc>
        <w:tc>
          <w:tcPr>
            <w:tcW w:type="dxa" w:w="22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UI</w:t>
            </w:r>
          </w:p>
        </w:tc>
        <w:tc>
          <w:tcPr>
            <w:tcW w:type="dxa" w:w="18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Front Office</w:t>
            </w:r>
          </w:p>
        </w:tc>
        <w:tc>
          <w:tcPr>
            <w:tcW w:type="dxa" w:w="14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Internal</w:t>
            </w:r>
          </w:p>
        </w:tc>
        <w:tc>
          <w:tcPr>
            <w:tcW w:type="dxa" w:w="2678"/>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Access is indirect, via MO and FO</w:t>
            </w:r>
          </w:p>
        </w:tc>
      </w:tr>
      <w:tr>
        <w:tc>
          <w:tcPr>
            <w:tcW w:type="dxa" w:w="20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Axial, Gloss, IPC Gorilla</w:t>
            </w:r>
          </w:p>
        </w:tc>
        <w:tc>
          <w:tcPr>
            <w:tcW w:type="dxa" w:w="34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Downstream settlement chain</w:t>
            </w:r>
          </w:p>
        </w:tc>
        <w:tc>
          <w:tcPr>
            <w:tcW w:type="dxa" w:w="12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Read</w:t>
            </w:r>
          </w:p>
        </w:tc>
        <w:tc>
          <w:tcPr>
            <w:tcW w:type="dxa" w:w="22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UI</w:t>
            </w:r>
          </w:p>
        </w:tc>
        <w:tc>
          <w:tcPr>
            <w:tcW w:type="dxa" w:w="18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IT Team</w:t>
            </w:r>
          </w:p>
        </w:tc>
        <w:tc>
          <w:tcPr>
            <w:tcW w:type="dxa" w:w="14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Internal</w:t>
            </w:r>
          </w:p>
        </w:tc>
        <w:tc>
          <w:tcPr>
            <w:tcW w:type="dxa" w:w="2678"/>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Not directly operated by the analyst</w:t>
            </w:r>
          </w:p>
        </w:tc>
      </w:tr>
      <w:tr>
        <w:tc>
          <w:tcPr>
            <w:tcW w:type="dxa" w:w="20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Takara</w:t>
            </w:r>
          </w:p>
        </w:tc>
        <w:tc>
          <w:tcPr>
            <w:tcW w:type="dxa" w:w="34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Counterparty credit compliance data</w:t>
            </w:r>
          </w:p>
        </w:tc>
        <w:tc>
          <w:tcPr>
            <w:tcW w:type="dxa" w:w="12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Read</w:t>
            </w:r>
          </w:p>
        </w:tc>
        <w:tc>
          <w:tcPr>
            <w:tcW w:type="dxa" w:w="22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TBC</w:t>
            </w:r>
          </w:p>
        </w:tc>
        <w:tc>
          <w:tcPr>
            <w:tcW w:type="dxa" w:w="18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Credit Risk and Compliance</w:t>
            </w:r>
          </w:p>
        </w:tc>
        <w:tc>
          <w:tcPr>
            <w:tcW w:type="dxa" w:w="14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Internal</w:t>
            </w:r>
          </w:p>
        </w:tc>
        <w:tc>
          <w:tcPr>
            <w:tcW w:type="dxa" w:w="2678"/>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System to be confirmed</w:t>
            </w:r>
          </w:p>
        </w:tc>
      </w:tr>
      <w:tr>
        <w:tc>
          <w:tcPr>
            <w:tcW w:type="dxa" w:w="20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Agent bank</w:t>
            </w:r>
          </w:p>
        </w:tc>
        <w:tc>
          <w:tcPr>
            <w:tcW w:type="dxa" w:w="34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Final settlement leg</w:t>
            </w:r>
          </w:p>
        </w:tc>
        <w:tc>
          <w:tcPr>
            <w:tcW w:type="dxa" w:w="12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n/a</w:t>
            </w:r>
          </w:p>
        </w:tc>
        <w:tc>
          <w:tcPr>
            <w:tcW w:type="dxa" w:w="22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n/a</w:t>
            </w:r>
          </w:p>
        </w:tc>
        <w:tc>
          <w:tcPr>
            <w:tcW w:type="dxa" w:w="18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External</w:t>
            </w:r>
          </w:p>
        </w:tc>
        <w:tc>
          <w:tcPr>
            <w:tcW w:type="dxa" w:w="14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Third party</w:t>
            </w:r>
          </w:p>
        </w:tc>
        <w:tc>
          <w:tcPr>
            <w:tcW w:type="dxa" w:w="2678"/>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Outside Nomura control</w:t>
            </w:r>
          </w:p>
        </w:tc>
      </w:tr>
    </w:tbl>
    <w:p>
      <w:pPr>
        <w:pStyle w:val="Heading2"/>
        <w:spacing w:after="110" w:before="260"/>
      </w:pPr>
      <w:r>
        <w:rPr>
          <w:rFonts w:ascii="Calibri" w:cs="Calibri" w:eastAsia="Calibri" w:hAnsi="Calibri"/>
          <w:b/>
          <w:bCs/>
          <w:i w:val="false"/>
          <w:iCs w:val="false"/>
          <w:color w:val="2E5496"/>
          <w:sz w:val="22"/>
          <w:szCs w:val="22"/>
        </w:rPr>
        <w:t xml:space="preserve">Example — Part A, Section A6. Existing automation</w:t>
      </w:r>
    </w:p>
    <w:tbl>
      <w:tblPr>
        <w:tblW w:type="dxa" w:w="14678"/>
        <w:tblBorders>
          <w:top w:val="single" w:color="9AA3B0" w:sz="4"/>
          <w:left w:val="single" w:color="9AA3B0" w:sz="4"/>
          <w:bottom w:val="single" w:color="9AA3B0" w:sz="4"/>
          <w:right w:val="single" w:color="9AA3B0" w:sz="4"/>
          <w:insideH w:val="single" w:color="B8C0CC" w:sz="2"/>
          <w:insideV w:val="single" w:color="B8C0CC" w:sz="2"/>
        </w:tblBorders>
      </w:tblPr>
      <w:tblGrid>
        <w:gridCol w:w="1800"/>
        <w:gridCol w:w="1400"/>
        <w:gridCol w:w="1400"/>
        <w:gridCol w:w="3000"/>
        <w:gridCol w:w="3000"/>
        <w:gridCol w:w="1300"/>
        <w:gridCol w:w="1300"/>
        <w:gridCol w:w="1478"/>
      </w:tblGrid>
      <w:tr>
        <w:trPr>
          <w:tblHeader/>
        </w:trPr>
        <w:tc>
          <w:tcPr>
            <w:tcW w:type="dxa" w:w="1800"/>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Automation name</w:t>
            </w:r>
          </w:p>
        </w:tc>
        <w:tc>
          <w:tcPr>
            <w:tcW w:type="dxa" w:w="1400"/>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Type</w:t>
            </w:r>
          </w:p>
        </w:tc>
        <w:tc>
          <w:tcPr>
            <w:tcW w:type="dxa" w:w="1400"/>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L3s covered</w:t>
            </w:r>
          </w:p>
        </w:tc>
        <w:tc>
          <w:tcPr>
            <w:tcW w:type="dxa" w:w="3000"/>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What it does</w:t>
            </w:r>
          </w:p>
        </w:tc>
        <w:tc>
          <w:tcPr>
            <w:tcW w:type="dxa" w:w="3000"/>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What it does not cover</w:t>
            </w:r>
          </w:p>
        </w:tc>
        <w:tc>
          <w:tcPr>
            <w:tcW w:type="dxa" w:w="1300"/>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Built by</w:t>
            </w:r>
          </w:p>
        </w:tc>
        <w:tc>
          <w:tcPr>
            <w:tcW w:type="dxa" w:w="1300"/>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Maintained by</w:t>
            </w:r>
          </w:p>
        </w:tc>
        <w:tc>
          <w:tcPr>
            <w:tcW w:type="dxa" w:w="1478"/>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Registered / approved Y/N</w:t>
            </w:r>
          </w:p>
        </w:tc>
      </w:tr>
      <w:tr>
        <w:tc>
          <w:tcPr>
            <w:tcW w:type="dxa" w:w="18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Allege email finder script</w:t>
            </w:r>
          </w:p>
        </w:tc>
        <w:tc>
          <w:tcPr>
            <w:tcW w:type="dxa" w:w="14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Script</w:t>
            </w:r>
          </w:p>
        </w:tc>
        <w:tc>
          <w:tcPr>
            <w:tcW w:type="dxa" w:w="14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All</w:t>
            </w:r>
          </w:p>
        </w:tc>
        <w:tc>
          <w:tcPr>
            <w:tcW w:type="dxa" w:w="30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Run by the team lead to find allege emails within the shared mailbox</w:t>
            </w:r>
          </w:p>
        </w:tc>
        <w:tc>
          <w:tcPr>
            <w:tcW w:type="dxa" w:w="30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Does not classify the mail or allocate it; allocation remains manual by AM grade and above against the client allocation list</w:t>
            </w:r>
          </w:p>
        </w:tc>
        <w:tc>
          <w:tcPr>
            <w:tcW w:type="dxa" w:w="13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Team lead</w:t>
            </w:r>
          </w:p>
        </w:tc>
        <w:tc>
          <w:tcPr>
            <w:tcW w:type="dxa" w:w="13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Team lead</w:t>
            </w:r>
          </w:p>
        </w:tc>
        <w:tc>
          <w:tcPr>
            <w:tcW w:type="dxa" w:w="1478"/>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TBC</w:t>
            </w:r>
          </w:p>
        </w:tc>
      </w:tr>
      <w:tr>
        <w:tc>
          <w:tcPr>
            <w:tcW w:type="dxa" w:w="18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NEWS template parsing</w:t>
            </w:r>
          </w:p>
        </w:tc>
        <w:tc>
          <w:tcPr>
            <w:tcW w:type="dxa" w:w="14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Workflow system capability</w:t>
            </w:r>
          </w:p>
        </w:tc>
        <w:tc>
          <w:tcPr>
            <w:tcW w:type="dxa" w:w="14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1.1 to 1.4</w:t>
            </w:r>
          </w:p>
        </w:tc>
        <w:tc>
          <w:tcPr>
            <w:tcW w:type="dxa" w:w="30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Parses counterparty replies that correctly use the Nomura Excel template, identifies the cashflow, updates status in PCM and propagates downstream, with no analyst involvement. Covers 5 to 10% of correspondence.</w:t>
            </w:r>
          </w:p>
        </w:tc>
        <w:tc>
          <w:tcPr>
            <w:tcW w:type="dxa" w:w="30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Does not handle free-form replies, partially completed templates, or replies where the NEWS no-reply address has been dropped from the chain</w:t>
            </w:r>
          </w:p>
        </w:tc>
        <w:tc>
          <w:tcPr>
            <w:tcW w:type="dxa" w:w="13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NEWS Platform Team</w:t>
            </w:r>
          </w:p>
        </w:tc>
        <w:tc>
          <w:tcPr>
            <w:tcW w:type="dxa" w:w="13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NEWS Platform Team</w:t>
            </w:r>
          </w:p>
        </w:tc>
        <w:tc>
          <w:tcPr>
            <w:tcW w:type="dxa" w:w="1478"/>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Y</w:t>
            </w:r>
          </w:p>
        </w:tc>
      </w:tr>
    </w:tbl>
    <w:p>
      <w:r>
        <w:br w:type="page"/>
      </w:r>
    </w:p>
    <w:p>
      <w:pPr>
        <w:pStyle w:val="Heading2"/>
        <w:spacing w:after="110" w:before="260"/>
      </w:pPr>
      <w:r>
        <w:rPr>
          <w:rFonts w:ascii="Calibri" w:cs="Calibri" w:eastAsia="Calibri" w:hAnsi="Calibri"/>
          <w:b/>
          <w:bCs/>
          <w:i w:val="false"/>
          <w:iCs w:val="false"/>
          <w:color w:val="2E5496"/>
          <w:sz w:val="22"/>
          <w:szCs w:val="22"/>
        </w:rPr>
        <w:t xml:space="preserve">Example — Part B, Section B1. Identification and effort</w:t>
      </w:r>
    </w:p>
    <w:tbl>
      <w:tblPr>
        <w:tblW w:type="dxa" w:w="14678"/>
        <w:tblBorders>
          <w:top w:val="single" w:color="9AA3B0" w:sz="4"/>
          <w:left w:val="single" w:color="9AA3B0" w:sz="4"/>
          <w:bottom w:val="single" w:color="9AA3B0" w:sz="4"/>
          <w:right w:val="single" w:color="9AA3B0" w:sz="4"/>
          <w:insideH w:val="single" w:color="B8C0CC" w:sz="2"/>
          <w:insideV w:val="single" w:color="B8C0CC" w:sz="2"/>
        </w:tblBorders>
      </w:tblPr>
      <w:tblGrid>
        <w:gridCol w:w="4000"/>
        <w:gridCol w:w="10678"/>
      </w:tblGrid>
      <w:tr>
        <w:tc>
          <w:tcPr>
            <w:tcW w:type="dxa" w:w="4000"/>
            <w:shd w:fill="F2F2F2"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L3 reference and name</w:t>
            </w:r>
          </w:p>
        </w:tc>
        <w:tc>
          <w:tcPr>
            <w:tcW w:type="dxa" w:w="10678"/>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2.1, Counterparty drafts a new email with single or multiple trade details in the body</w:t>
            </w:r>
          </w:p>
        </w:tc>
      </w:tr>
      <w:tr>
        <w:tc>
          <w:tcPr>
            <w:tcW w:type="dxa" w:w="4000"/>
            <w:shd w:fill="F2F2F2"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Parent L2 reference and name</w:t>
            </w:r>
          </w:p>
        </w:tc>
        <w:tc>
          <w:tcPr>
            <w:tcW w:type="dxa" w:w="10678"/>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OTC Settlements Compare and Match</w:t>
            </w:r>
          </w:p>
        </w:tc>
      </w:tr>
      <w:tr>
        <w:tc>
          <w:tcPr>
            <w:tcW w:type="dxa" w:w="4000"/>
            <w:shd w:fill="F2F2F2"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One-line description</w:t>
            </w:r>
          </w:p>
        </w:tc>
        <w:tc>
          <w:tcPr>
            <w:tcW w:type="dxa" w:w="10678"/>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A counterparty initiates a new email to the shared mailbox asserting trade details, which the analyst locates and reconciles against Nomura records before acting</w:t>
            </w:r>
          </w:p>
        </w:tc>
      </w:tr>
      <w:tr>
        <w:tc>
          <w:tcPr>
            <w:tcW w:type="dxa" w:w="4000"/>
            <w:shd w:fill="F2F2F2"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Same as (another L3), and the difference</w:t>
            </w:r>
          </w:p>
        </w:tc>
        <w:tc>
          <w:tcPr>
            <w:tcW w:type="dxa" w:w="10678"/>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Not applicable. L3 3.1 is the closest, differing only in that the trades arrive in an Excel attachment rather than the body.</w:t>
            </w:r>
          </w:p>
        </w:tc>
      </w:tr>
      <w:tr>
        <w:tc>
          <w:tcPr>
            <w:tcW w:type="dxa" w:w="4000"/>
            <w:shd w:fill="F2F2F2"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Volume, stating the period</w:t>
            </w:r>
          </w:p>
        </w:tc>
        <w:tc>
          <w:tcPr>
            <w:tcW w:type="dxa" w:w="10678"/>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15 to 18 unstructured cashflows per analyst per business day, combined across themes; the 2.1-specific split is open with Haris Raza</w:t>
            </w:r>
          </w:p>
        </w:tc>
      </w:tr>
      <w:tr>
        <w:tc>
          <w:tcPr>
            <w:tcW w:type="dxa" w:w="4000"/>
            <w:shd w:fill="F2F2F2"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Frequency and peak / seasonal pattern</w:t>
            </w:r>
          </w:p>
        </w:tc>
        <w:tc>
          <w:tcPr>
            <w:tcW w:type="dxa" w:w="10678"/>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Daily. Volumes rise significantly from the 20th of the last month of each quarter, on contract expiries, and in the first week of each month.</w:t>
            </w:r>
          </w:p>
        </w:tc>
      </w:tr>
      <w:tr>
        <w:tc>
          <w:tcPr>
            <w:tcW w:type="dxa" w:w="4000"/>
            <w:shd w:fill="F2F2F2"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Average handling time per case</w:t>
            </w:r>
          </w:p>
        </w:tc>
        <w:tc>
          <w:tcPr>
            <w:tcW w:type="dxa" w:w="10678"/>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10 to 20 minutes per cashflow</w:t>
            </w:r>
          </w:p>
        </w:tc>
      </w:tr>
      <w:tr>
        <w:tc>
          <w:tcPr>
            <w:tcW w:type="dxa" w:w="4000"/>
            <w:shd w:fill="F2F2F2"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Number of people performing it, and FTE effort</w:t>
            </w:r>
          </w:p>
        </w:tc>
        <w:tc>
          <w:tcPr>
            <w:tcW w:type="dxa" w:w="10678"/>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OTC Settlements analyst team; FTE split by L3 not separately measured</w:t>
            </w:r>
          </w:p>
        </w:tc>
      </w:tr>
      <w:tr>
        <w:tc>
          <w:tcPr>
            <w:tcW w:type="dxa" w:w="4000"/>
            <w:shd w:fill="F2F2F2"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TAT or SLA, and how it is measured</w:t>
            </w:r>
          </w:p>
        </w:tc>
        <w:tc>
          <w:tcPr>
            <w:tcW w:type="dxa" w:w="10678"/>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Ageing buckets T+0, T+1, T+2 and beyond; ageing breach rate is not measured today</w:t>
            </w:r>
          </w:p>
        </w:tc>
      </w:tr>
      <w:tr>
        <w:tc>
          <w:tcPr>
            <w:tcW w:type="dxa" w:w="4000"/>
            <w:shd w:fill="F2F2F2"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In scope Y/N, and rationale</w:t>
            </w:r>
          </w:p>
        </w:tc>
        <w:tc>
          <w:tcPr>
            <w:tcW w:type="dxa" w:w="10678"/>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Yes. Free-form counterparty correspondence represents the upper bound of complexity in this space and is the highest-volume unstructured path.</w:t>
            </w:r>
          </w:p>
        </w:tc>
      </w:tr>
    </w:tbl>
    <w:p>
      <w:pPr>
        <w:pStyle w:val="Heading2"/>
        <w:spacing w:after="110" w:before="260"/>
      </w:pPr>
      <w:r>
        <w:rPr>
          <w:rFonts w:ascii="Calibri" w:cs="Calibri" w:eastAsia="Calibri" w:hAnsi="Calibri"/>
          <w:b/>
          <w:bCs/>
          <w:i w:val="false"/>
          <w:iCs w:val="false"/>
          <w:color w:val="2E5496"/>
          <w:sz w:val="22"/>
          <w:szCs w:val="22"/>
        </w:rPr>
        <w:t xml:space="preserve">Example — Part B, Section B3. As-is process steps and decision rules</w:t>
      </w:r>
    </w:p>
    <w:tbl>
      <w:tblPr>
        <w:tblW w:type="dxa" w:w="14678"/>
        <w:tblBorders>
          <w:top w:val="single" w:color="9AA3B0" w:sz="4"/>
          <w:left w:val="single" w:color="9AA3B0" w:sz="4"/>
          <w:bottom w:val="single" w:color="9AA3B0" w:sz="4"/>
          <w:right w:val="single" w:color="9AA3B0" w:sz="4"/>
          <w:insideH w:val="single" w:color="B8C0CC" w:sz="2"/>
          <w:insideV w:val="single" w:color="B8C0CC" w:sz="2"/>
        </w:tblBorders>
      </w:tblPr>
      <w:tblGrid>
        <w:gridCol w:w="600"/>
        <w:gridCol w:w="2600"/>
        <w:gridCol w:w="1300"/>
        <w:gridCol w:w="1200"/>
        <w:gridCol w:w="800"/>
        <w:gridCol w:w="1200"/>
        <w:gridCol w:w="2800"/>
        <w:gridCol w:w="2000"/>
        <w:gridCol w:w="2178"/>
      </w:tblGrid>
      <w:tr>
        <w:trPr>
          <w:tblHeader/>
        </w:trPr>
        <w:tc>
          <w:tcPr>
            <w:tcW w:type="dxa" w:w="600"/>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Step #</w:t>
            </w:r>
          </w:p>
        </w:tc>
        <w:tc>
          <w:tcPr>
            <w:tcW w:type="dxa" w:w="2600"/>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Action performed</w:t>
            </w:r>
          </w:p>
        </w:tc>
        <w:tc>
          <w:tcPr>
            <w:tcW w:type="dxa" w:w="1300"/>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System(s) used</w:t>
            </w:r>
          </w:p>
        </w:tc>
        <w:tc>
          <w:tcPr>
            <w:tcW w:type="dxa" w:w="1200"/>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Performer role</w:t>
            </w:r>
          </w:p>
        </w:tc>
        <w:tc>
          <w:tcPr>
            <w:tcW w:type="dxa" w:w="800"/>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M / S / A</w:t>
            </w:r>
          </w:p>
        </w:tc>
        <w:tc>
          <w:tcPr>
            <w:tcW w:type="dxa" w:w="1200"/>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Shared step? Y + name</w:t>
            </w:r>
          </w:p>
        </w:tc>
        <w:tc>
          <w:tcPr>
            <w:tcW w:type="dxa" w:w="2800"/>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Decision rule as stated by the SME, and where it is documented</w:t>
            </w:r>
          </w:p>
        </w:tc>
        <w:tc>
          <w:tcPr>
            <w:tcW w:type="dxa" w:w="2000"/>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Thresholds and limits, with owner of each number</w:t>
            </w:r>
          </w:p>
        </w:tc>
        <w:tc>
          <w:tcPr>
            <w:tcW w:type="dxa" w:w="2178"/>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Exception, escalation or return-to-requester trigger</w:t>
            </w:r>
          </w:p>
        </w:tc>
      </w:tr>
      <w:tr>
        <w:tc>
          <w:tcPr>
            <w:tcW w:type="dxa" w:w="6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1</w:t>
            </w:r>
          </w:p>
        </w:tc>
        <w:tc>
          <w:tcPr>
            <w:tcW w:type="dxa" w:w="26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Email allocation to analysts</w:t>
            </w:r>
          </w:p>
        </w:tc>
        <w:tc>
          <w:tcPr>
            <w:tcW w:type="dxa" w:w="13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Outlook</w:t>
            </w:r>
          </w:p>
        </w:tc>
        <w:tc>
          <w:tcPr>
            <w:tcW w:type="dxa" w:w="12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Team lead / Manager, AM grade and above</w:t>
            </w:r>
          </w:p>
        </w:tc>
        <w:tc>
          <w:tcPr>
            <w:tcW w:type="dxa" w:w="8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S</w:t>
            </w:r>
          </w:p>
        </w:tc>
        <w:tc>
          <w:tcPr>
            <w:tcW w:type="dxa" w:w="12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Y, email allocation</w:t>
            </w:r>
          </w:p>
        </w:tc>
        <w:tc>
          <w:tcPr>
            <w:tcW w:type="dxa" w:w="28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Allocate against the agreed client allocation list, which changes infrequently. A script surfaces allege mails from the mailbox; allocation itself is manual. Documented: client allocation list.</w:t>
            </w:r>
          </w:p>
        </w:tc>
        <w:tc>
          <w:tcPr>
            <w:tcW w:type="dxa" w:w="20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None</w:t>
            </w:r>
          </w:p>
        </w:tc>
        <w:tc>
          <w:tcPr>
            <w:tcW w:type="dxa" w:w="2178"/>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None</w:t>
            </w:r>
          </w:p>
        </w:tc>
      </w:tr>
      <w:tr>
        <w:tc>
          <w:tcPr>
            <w:tcW w:type="dxa" w:w="6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2</w:t>
            </w:r>
          </w:p>
        </w:tc>
        <w:tc>
          <w:tcPr>
            <w:tcW w:type="dxa" w:w="26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Read and classify the email</w:t>
            </w:r>
          </w:p>
        </w:tc>
        <w:tc>
          <w:tcPr>
            <w:tcW w:type="dxa" w:w="13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Outlook</w:t>
            </w:r>
          </w:p>
        </w:tc>
        <w:tc>
          <w:tcPr>
            <w:tcW w:type="dxa" w:w="12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Analyst</w:t>
            </w:r>
          </w:p>
        </w:tc>
        <w:tc>
          <w:tcPr>
            <w:tcW w:type="dxa" w:w="8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M</w:t>
            </w:r>
          </w:p>
        </w:tc>
        <w:tc>
          <w:tcPr>
            <w:tcW w:type="dxa" w:w="12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Y, read and classify</w:t>
            </w:r>
          </w:p>
        </w:tc>
        <w:tc>
          <w:tcPr>
            <w:tcW w:type="dxa" w:w="28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Determine whether the email concerns one trade or several, and whether the assertion is structurally a match, an allege or DK, an SSI verification, a reaffirmation, or another scenario. Documented: tacit.</w:t>
            </w:r>
          </w:p>
        </w:tc>
        <w:tc>
          <w:tcPr>
            <w:tcW w:type="dxa" w:w="20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None</w:t>
            </w:r>
          </w:p>
        </w:tc>
        <w:tc>
          <w:tcPr>
            <w:tcW w:type="dxa" w:w="2178"/>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Out-of-office reply, bounce-back, marketing or KYC mail, or duplicate send: no action taken. Body references a NEWS thread although the headers show it as counterparty-initiated: ambiguous, rare.</w:t>
            </w:r>
          </w:p>
        </w:tc>
      </w:tr>
      <w:tr>
        <w:tc>
          <w:tcPr>
            <w:tcW w:type="dxa" w:w="6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3</w:t>
            </w:r>
          </w:p>
        </w:tc>
        <w:tc>
          <w:tcPr>
            <w:tcW w:type="dxa" w:w="26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Locate the trade or trades</w:t>
            </w:r>
          </w:p>
        </w:tc>
        <w:tc>
          <w:tcPr>
            <w:tcW w:type="dxa" w:w="13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PCM first, then other settlement and front office systems; Eve for alias data</w:t>
            </w:r>
          </w:p>
        </w:tc>
        <w:tc>
          <w:tcPr>
            <w:tcW w:type="dxa" w:w="12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Analyst</w:t>
            </w:r>
          </w:p>
        </w:tc>
        <w:tc>
          <w:tcPr>
            <w:tcW w:type="dxa" w:w="8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M</w:t>
            </w:r>
          </w:p>
        </w:tc>
        <w:tc>
          <w:tcPr>
            <w:tcW w:type="dxa" w:w="12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Y, trade location / Compare and Match</w:t>
            </w:r>
          </w:p>
        </w:tc>
        <w:tc>
          <w:tcPr>
            <w:tcW w:type="dxa" w:w="28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Run a combinational search in PCM across counterparty, currency, value date, notional and direction. If not found, extend the search across other settlement and front office systems. Consider that the trade may be booked under a counterparty alias. Documented: tacit; Haris Raza to provide the documented search steps and the candidate ranking logic.</w:t>
            </w:r>
          </w:p>
        </w:tc>
        <w:tc>
          <w:tcPr>
            <w:tcW w:type="dxa" w:w="20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Search tolerances not defined. Owner: Haris Raza.</w:t>
            </w:r>
          </w:p>
        </w:tc>
        <w:tc>
          <w:tcPr>
            <w:tcW w:type="dxa" w:w="2178"/>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Not found after extended search: treated as allege or DK.</w:t>
            </w:r>
          </w:p>
        </w:tc>
      </w:tr>
      <w:tr>
        <w:tc>
          <w:tcPr>
            <w:tcW w:type="dxa" w:w="6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4</w:t>
            </w:r>
          </w:p>
        </w:tc>
        <w:tc>
          <w:tcPr>
            <w:tcW w:type="dxa" w:w="26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Compare details field by field</w:t>
            </w:r>
          </w:p>
        </w:tc>
        <w:tc>
          <w:tcPr>
            <w:tcW w:type="dxa" w:w="13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PCM, NEWS</w:t>
            </w:r>
          </w:p>
        </w:tc>
        <w:tc>
          <w:tcPr>
            <w:tcW w:type="dxa" w:w="12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Analyst</w:t>
            </w:r>
          </w:p>
        </w:tc>
        <w:tc>
          <w:tcPr>
            <w:tcW w:type="dxa" w:w="8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M</w:t>
            </w:r>
          </w:p>
        </w:tc>
        <w:tc>
          <w:tcPr>
            <w:tcW w:type="dxa" w:w="12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Y, Compare and Match</w:t>
            </w:r>
          </w:p>
        </w:tc>
        <w:tc>
          <w:tcPr>
            <w:tcW w:type="dxa" w:w="28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Compare the counterparty assertion against Nomura booked details across counterparty name, Nomura entity name, notional, currency, direction, value date and SSI, and check the current status of the cashflow. Documented: tacit.</w:t>
            </w:r>
          </w:p>
        </w:tc>
        <w:tc>
          <w:tcPr>
            <w:tcW w:type="dxa" w:w="20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Field-level tolerances not defined. Owner: Haris Raza.</w:t>
            </w:r>
          </w:p>
        </w:tc>
        <w:tc>
          <w:tcPr>
            <w:tcW w:type="dxa" w:w="2178"/>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Any field differs: routed to the unmatched path.</w:t>
            </w:r>
          </w:p>
        </w:tc>
      </w:tr>
      <w:tr>
        <w:tc>
          <w:tcPr>
            <w:tcW w:type="dxa" w:w="6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5</w:t>
            </w:r>
          </w:p>
        </w:tc>
        <w:tc>
          <w:tcPr>
            <w:tcW w:type="dxa" w:w="26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Determine the outcome</w:t>
            </w:r>
          </w:p>
        </w:tc>
        <w:tc>
          <w:tcPr>
            <w:tcW w:type="dxa" w:w="13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n/a</w:t>
            </w:r>
          </w:p>
        </w:tc>
        <w:tc>
          <w:tcPr>
            <w:tcW w:type="dxa" w:w="12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Analyst</w:t>
            </w:r>
          </w:p>
        </w:tc>
        <w:tc>
          <w:tcPr>
            <w:tcW w:type="dxa" w:w="8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M</w:t>
            </w:r>
          </w:p>
        </w:tc>
        <w:tc>
          <w:tcPr>
            <w:tcW w:type="dxa" w:w="12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Y, outcome determination</w:t>
            </w:r>
          </w:p>
        </w:tc>
        <w:tc>
          <w:tcPr>
            <w:tcW w:type="dxa" w:w="28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Categorise as matched, matched with exceptions (for example requiring client reaffirmation), unmatched, allege or DK, or SSI verification required. Documented: tacit.</w:t>
            </w:r>
          </w:p>
        </w:tc>
        <w:tc>
          <w:tcPr>
            <w:tcW w:type="dxa" w:w="20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None</w:t>
            </w:r>
          </w:p>
        </w:tc>
        <w:tc>
          <w:tcPr>
            <w:tcW w:type="dxa" w:w="2178"/>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None</w:t>
            </w:r>
          </w:p>
        </w:tc>
      </w:tr>
      <w:tr>
        <w:tc>
          <w:tcPr>
            <w:tcW w:type="dxa" w:w="6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6</w:t>
            </w:r>
          </w:p>
        </w:tc>
        <w:tc>
          <w:tcPr>
            <w:tcW w:type="dxa" w:w="26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Action and escalate</w:t>
            </w:r>
          </w:p>
        </w:tc>
        <w:tc>
          <w:tcPr>
            <w:tcW w:type="dxa" w:w="13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PCM, Outlook</w:t>
            </w:r>
          </w:p>
        </w:tc>
        <w:tc>
          <w:tcPr>
            <w:tcW w:type="dxa" w:w="12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Analyst; maker-checker; Authoriser</w:t>
            </w:r>
          </w:p>
        </w:tc>
        <w:tc>
          <w:tcPr>
            <w:tcW w:type="dxa" w:w="8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M</w:t>
            </w:r>
          </w:p>
        </w:tc>
        <w:tc>
          <w:tcPr>
            <w:tcW w:type="dxa" w:w="12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N</w:t>
            </w:r>
          </w:p>
        </w:tc>
        <w:tc>
          <w:tcPr>
            <w:tcW w:type="dxa" w:w="28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Matched and below the value control point: the analyst releases the cashflow in PCM, which propagates downstream. Matched and at or above the control point: route to a maker-checker for the four-eye check. Unmatched: engage Middle Office, who engage Front Office to investigate, amend or confirm the Nomura position. Allege or DK: email the counterparty for further information. SSI verification: reconcile against the counterparty master and route to an Authoriser where the trade value exceeds the SSI threshold. Documented: partially, in the settlements control framework.</w:t>
            </w:r>
          </w:p>
        </w:tc>
        <w:tc>
          <w:tcPr>
            <w:tcW w:type="dxa" w:w="20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USD 5m value control point for the four-eye check. Owner: Haris Raza. USD 100m SSI Authoriser threshold. Owner: Haris Raza.</w:t>
            </w:r>
          </w:p>
        </w:tc>
        <w:tc>
          <w:tcPr>
            <w:tcW w:type="dxa" w:w="2178"/>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MO or FO response delayed: the analyst chases. Counterparty response delayed: the analyst pre-matches with Middle Office rather than waiting.</w:t>
            </w:r>
          </w:p>
        </w:tc>
      </w:tr>
      <w:tr>
        <w:tc>
          <w:tcPr>
            <w:tcW w:type="dxa" w:w="6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7</w:t>
            </w:r>
          </w:p>
        </w:tc>
        <w:tc>
          <w:tcPr>
            <w:tcW w:type="dxa" w:w="26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Reply to the counterparty</w:t>
            </w:r>
          </w:p>
        </w:tc>
        <w:tc>
          <w:tcPr>
            <w:tcW w:type="dxa" w:w="13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Outlook</w:t>
            </w:r>
          </w:p>
        </w:tc>
        <w:tc>
          <w:tcPr>
            <w:tcW w:type="dxa" w:w="12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Analyst</w:t>
            </w:r>
          </w:p>
        </w:tc>
        <w:tc>
          <w:tcPr>
            <w:tcW w:type="dxa" w:w="8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M</w:t>
            </w:r>
          </w:p>
        </w:tc>
        <w:tc>
          <w:tcPr>
            <w:tcW w:type="dxa" w:w="12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N</w:t>
            </w:r>
          </w:p>
        </w:tc>
        <w:tc>
          <w:tcPr>
            <w:tcW w:type="dxa" w:w="28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Manually compose and send a confirmation, query or escalation email. Documented: tacit.</w:t>
            </w:r>
          </w:p>
        </w:tc>
        <w:tc>
          <w:tcPr>
            <w:tcW w:type="dxa" w:w="20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None</w:t>
            </w:r>
          </w:p>
        </w:tc>
        <w:tc>
          <w:tcPr>
            <w:tcW w:type="dxa" w:w="2178"/>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No counterparty reply received: chase.</w:t>
            </w:r>
          </w:p>
        </w:tc>
      </w:tr>
      <w:tr>
        <w:tc>
          <w:tcPr>
            <w:tcW w:type="dxa" w:w="6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8</w:t>
            </w:r>
          </w:p>
        </w:tc>
        <w:tc>
          <w:tcPr>
            <w:tcW w:type="dxa" w:w="26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Update internal records</w:t>
            </w:r>
          </w:p>
        </w:tc>
        <w:tc>
          <w:tcPr>
            <w:tcW w:type="dxa" w:w="13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PCM, NEWS</w:t>
            </w:r>
          </w:p>
        </w:tc>
        <w:tc>
          <w:tcPr>
            <w:tcW w:type="dxa" w:w="12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Analyst</w:t>
            </w:r>
          </w:p>
        </w:tc>
        <w:tc>
          <w:tcPr>
            <w:tcW w:type="dxa" w:w="8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M</w:t>
            </w:r>
          </w:p>
        </w:tc>
        <w:tc>
          <w:tcPr>
            <w:tcW w:type="dxa" w:w="12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Y, write-back</w:t>
            </w:r>
          </w:p>
        </w:tc>
        <w:tc>
          <w:tcPr>
            <w:tcW w:type="dxa" w:w="28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Update the cashflow status in PCM and any other relevant internal record, and ensure NEWS reflects the resolution. Documented: tacit.</w:t>
            </w:r>
          </w:p>
        </w:tc>
        <w:tc>
          <w:tcPr>
            <w:tcW w:type="dxa" w:w="20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None</w:t>
            </w:r>
          </w:p>
        </w:tc>
        <w:tc>
          <w:tcPr>
            <w:tcW w:type="dxa" w:w="2178"/>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Write-back validation fails where the trade or version does not match.</w:t>
            </w:r>
          </w:p>
        </w:tc>
      </w:tr>
    </w:tbl>
    <w:p>
      <w:pPr>
        <w:pStyle w:val="Heading2"/>
        <w:spacing w:after="110" w:before="260"/>
      </w:pPr>
      <w:r>
        <w:rPr>
          <w:rFonts w:ascii="Calibri" w:cs="Calibri" w:eastAsia="Calibri" w:hAnsi="Calibri"/>
          <w:b/>
          <w:bCs/>
          <w:i w:val="false"/>
          <w:iCs w:val="false"/>
          <w:color w:val="2E5496"/>
          <w:sz w:val="22"/>
          <w:szCs w:val="22"/>
        </w:rPr>
        <w:t xml:space="preserve">Example — Part B, Section B4. Current maker-checker process</w:t>
      </w:r>
    </w:p>
    <w:tbl>
      <w:tblPr>
        <w:tblW w:type="dxa" w:w="14678"/>
        <w:tblBorders>
          <w:top w:val="single" w:color="9AA3B0" w:sz="4"/>
          <w:left w:val="single" w:color="9AA3B0" w:sz="4"/>
          <w:bottom w:val="single" w:color="9AA3B0" w:sz="4"/>
          <w:right w:val="single" w:color="9AA3B0" w:sz="4"/>
          <w:insideH w:val="single" w:color="B8C0CC" w:sz="2"/>
          <w:insideV w:val="single" w:color="B8C0CC" w:sz="2"/>
        </w:tblBorders>
      </w:tblPr>
      <w:tblGrid>
        <w:gridCol w:w="4000"/>
        <w:gridCol w:w="10678"/>
      </w:tblGrid>
      <w:tr>
        <w:tc>
          <w:tcPr>
            <w:tcW w:type="dxa" w:w="4000"/>
            <w:shd w:fill="F2F2F2"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Who prepares the change (maker), and role</w:t>
            </w:r>
          </w:p>
        </w:tc>
        <w:tc>
          <w:tcPr>
            <w:tcW w:type="dxa" w:w="10678"/>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OTC Settlements analyst</w:t>
            </w:r>
          </w:p>
        </w:tc>
      </w:tr>
      <w:tr>
        <w:tc>
          <w:tcPr>
            <w:tcW w:type="dxa" w:w="4000"/>
            <w:shd w:fill="F2F2F2"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Whose credentials the maker acts on</w:t>
            </w:r>
          </w:p>
        </w:tc>
        <w:tc>
          <w:tcPr>
            <w:tcW w:type="dxa" w:w="10678"/>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Their own</w:t>
            </w:r>
          </w:p>
        </w:tc>
      </w:tr>
      <w:tr>
        <w:tc>
          <w:tcPr>
            <w:tcW w:type="dxa" w:w="4000"/>
            <w:shd w:fill="F2F2F2"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Who checks it, and role</w:t>
            </w:r>
          </w:p>
        </w:tc>
        <w:tc>
          <w:tcPr>
            <w:tcW w:type="dxa" w:w="10678"/>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A second analyst acting as checker, for the four-eye check</w:t>
            </w:r>
          </w:p>
        </w:tc>
      </w:tr>
      <w:tr>
        <w:tc>
          <w:tcPr>
            <w:tcW w:type="dxa" w:w="4000"/>
            <w:shd w:fill="F2F2F2"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Whose credentials the checker acts on</w:t>
            </w:r>
          </w:p>
        </w:tc>
        <w:tc>
          <w:tcPr>
            <w:tcW w:type="dxa" w:w="10678"/>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Their own</w:t>
            </w:r>
          </w:p>
        </w:tc>
      </w:tr>
      <w:tr>
        <w:tc>
          <w:tcPr>
            <w:tcW w:type="dxa" w:w="4000"/>
            <w:shd w:fill="F2F2F2"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What triggers a check</w:t>
            </w:r>
          </w:p>
        </w:tc>
        <w:tc>
          <w:tcPr>
            <w:tcW w:type="dxa" w:w="10678"/>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Cashflow value at or above the USD 5m control point. Below that value the analyst releases in PCM with no second check.</w:t>
            </w:r>
          </w:p>
        </w:tc>
      </w:tr>
      <w:tr>
        <w:tc>
          <w:tcPr>
            <w:tcW w:type="dxa" w:w="4000"/>
            <w:shd w:fill="F2F2F2"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Check coverage: 100% or sampled</w:t>
            </w:r>
          </w:p>
        </w:tc>
        <w:tc>
          <w:tcPr>
            <w:tcW w:type="dxa" w:w="10678"/>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100% of cashflows at or above the control point</w:t>
            </w:r>
          </w:p>
        </w:tc>
      </w:tr>
      <w:tr>
        <w:tc>
          <w:tcPr>
            <w:tcW w:type="dxa" w:w="4000"/>
            <w:shd w:fill="F2F2F2"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What evidence the checker looks at</w:t>
            </w:r>
          </w:p>
        </w:tc>
        <w:tc>
          <w:tcPr>
            <w:tcW w:type="dxa" w:w="10678"/>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The cashflow record in PCM against the counterparty assertion in the email</w:t>
            </w:r>
          </w:p>
        </w:tc>
      </w:tr>
      <w:tr>
        <w:tc>
          <w:tcPr>
            <w:tcW w:type="dxa" w:w="4000"/>
            <w:shd w:fill="F2F2F2"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What happens on rejection, and who it goes back to</w:t>
            </w:r>
          </w:p>
        </w:tc>
        <w:tc>
          <w:tcPr>
            <w:tcW w:type="dxa" w:w="10678"/>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Returned to the analyst for re-investigation; detail open</w:t>
            </w:r>
          </w:p>
        </w:tc>
      </w:tr>
      <w:tr>
        <w:tc>
          <w:tcPr>
            <w:tcW w:type="dxa" w:w="4000"/>
            <w:shd w:fill="F2F2F2"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Where the approval is recorded</w:t>
            </w:r>
          </w:p>
        </w:tc>
        <w:tc>
          <w:tcPr>
            <w:tcW w:type="dxa" w:w="10678"/>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Open, to be confirmed</w:t>
            </w:r>
          </w:p>
        </w:tc>
      </w:tr>
      <w:tr>
        <w:tc>
          <w:tcPr>
            <w:tcW w:type="dxa" w:w="4000"/>
            <w:shd w:fill="F2F2F2"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Any additional approver or authoriser</w:t>
            </w:r>
          </w:p>
        </w:tc>
        <w:tc>
          <w:tcPr>
            <w:tcW w:type="dxa" w:w="10678"/>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Authoriser approval for SSI verification where the trade value exceeds USD 100m</w:t>
            </w:r>
          </w:p>
        </w:tc>
      </w:tr>
      <w:tr>
        <w:tc>
          <w:tcPr>
            <w:tcW w:type="dxa" w:w="4000"/>
            <w:shd w:fill="F2F2F2"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Any step performed today with no second check</w:t>
            </w:r>
          </w:p>
        </w:tc>
        <w:tc>
          <w:tcPr>
            <w:tcW w:type="dxa" w:w="10678"/>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Release of matched cashflows below the USD 5m control point; counterparty replies sent at step 7</w:t>
            </w:r>
          </w:p>
        </w:tc>
      </w:tr>
    </w:tbl>
    <w:p>
      <w:pPr>
        <w:pStyle w:val="Heading2"/>
        <w:spacing w:after="110" w:before="260"/>
      </w:pPr>
      <w:r>
        <w:rPr>
          <w:rFonts w:ascii="Calibri" w:cs="Calibri" w:eastAsia="Calibri" w:hAnsi="Calibri"/>
          <w:b/>
          <w:bCs/>
          <w:i w:val="false"/>
          <w:iCs w:val="false"/>
          <w:color w:val="2E5496"/>
          <w:sz w:val="22"/>
          <w:szCs w:val="22"/>
        </w:rPr>
        <w:t xml:space="preserve">Example — Part B, Section B7. Pain points and failure modes</w:t>
      </w:r>
    </w:p>
    <w:tbl>
      <w:tblPr>
        <w:tblW w:type="dxa" w:w="14678"/>
        <w:tblBorders>
          <w:top w:val="single" w:color="9AA3B0" w:sz="4"/>
          <w:left w:val="single" w:color="9AA3B0" w:sz="4"/>
          <w:bottom w:val="single" w:color="9AA3B0" w:sz="4"/>
          <w:right w:val="single" w:color="9AA3B0" w:sz="4"/>
          <w:insideH w:val="single" w:color="B8C0CC" w:sz="2"/>
          <w:insideV w:val="single" w:color="B8C0CC" w:sz="2"/>
        </w:tblBorders>
      </w:tblPr>
      <w:tblGrid>
        <w:gridCol w:w="4000"/>
        <w:gridCol w:w="1200"/>
        <w:gridCol w:w="1800"/>
        <w:gridCol w:w="3000"/>
        <w:gridCol w:w="4678"/>
      </w:tblGrid>
      <w:tr>
        <w:trPr>
          <w:tblHeader/>
        </w:trPr>
        <w:tc>
          <w:tcPr>
            <w:tcW w:type="dxa" w:w="4000"/>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Pain point or failure mode</w:t>
            </w:r>
          </w:p>
        </w:tc>
        <w:tc>
          <w:tcPr>
            <w:tcW w:type="dxa" w:w="1200"/>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Step #</w:t>
            </w:r>
          </w:p>
        </w:tc>
        <w:tc>
          <w:tcPr>
            <w:tcW w:type="dxa" w:w="1800"/>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Frequency</w:t>
            </w:r>
          </w:p>
        </w:tc>
        <w:tc>
          <w:tcPr>
            <w:tcW w:type="dxa" w:w="3000"/>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Impact</w:t>
            </w:r>
          </w:p>
        </w:tc>
        <w:tc>
          <w:tcPr>
            <w:tcW w:type="dxa" w:w="4678"/>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Current workaround</w:t>
            </w:r>
          </w:p>
        </w:tc>
      </w:tr>
      <w:tr>
        <w:tc>
          <w:tcPr>
            <w:tcW w:type="dxa" w:w="40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Trade location is time intensive, particularly where the counterparty reference does not match Nomura booking conventions, where notional or value date is mis-stated, or where the trade is booked under a counterparty alias that is not obvious from the email</w:t>
            </w:r>
          </w:p>
        </w:tc>
        <w:tc>
          <w:tcPr>
            <w:tcW w:type="dxa" w:w="12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3</w:t>
            </w:r>
          </w:p>
        </w:tc>
        <w:tc>
          <w:tcPr>
            <w:tcW w:type="dxa" w:w="18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Frequent</w:t>
            </w:r>
          </w:p>
        </w:tc>
        <w:tc>
          <w:tcPr>
            <w:tcW w:type="dxa" w:w="30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A material proportion of the 10 to 20 minutes per cashflow</w:t>
            </w:r>
          </w:p>
        </w:tc>
        <w:tc>
          <w:tcPr>
            <w:tcW w:type="dxa" w:w="4678"/>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Extended manual search across settlement and front office systems</w:t>
            </w:r>
          </w:p>
        </w:tc>
      </w:tr>
      <w:tr>
        <w:tc>
          <w:tcPr>
            <w:tcW w:type="dxa" w:w="40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Counterparty response delays; the analyst pre-matches with Middle Office rather than waiting, which is itself slow</w:t>
            </w:r>
          </w:p>
        </w:tc>
        <w:tc>
          <w:tcPr>
            <w:tcW w:type="dxa" w:w="12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6</w:t>
            </w:r>
          </w:p>
        </w:tc>
        <w:tc>
          <w:tcPr>
            <w:tcW w:type="dxa" w:w="18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Regular</w:t>
            </w:r>
          </w:p>
        </w:tc>
        <w:tc>
          <w:tcPr>
            <w:tcW w:type="dxa" w:w="30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Adds further handling time per cashflow</w:t>
            </w:r>
          </w:p>
        </w:tc>
        <w:tc>
          <w:tcPr>
            <w:tcW w:type="dxa" w:w="4678"/>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Analyst engages MO, who engage FO</w:t>
            </w:r>
          </w:p>
        </w:tc>
      </w:tr>
      <w:tr>
        <w:tc>
          <w:tcPr>
            <w:tcW w:type="dxa" w:w="40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Non-operational mail shares the inbox: out-of-office replies, bounce-backs, counterparty newsletters and KYC requests, duplicate sends, and aged mail resurfacing</w:t>
            </w:r>
          </w:p>
        </w:tc>
        <w:tc>
          <w:tcPr>
            <w:tcW w:type="dxa" w:w="12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2</w:t>
            </w:r>
          </w:p>
        </w:tc>
        <w:tc>
          <w:tcPr>
            <w:tcW w:type="dxa" w:w="18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Daily</w:t>
            </w:r>
          </w:p>
        </w:tc>
        <w:tc>
          <w:tcPr>
            <w:tcW w:type="dxa" w:w="30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Analyst reading time spent on items needing no action</w:t>
            </w:r>
          </w:p>
        </w:tc>
        <w:tc>
          <w:tcPr>
            <w:tcW w:type="dxa" w:w="4678"/>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Identified by reading and set aside</w:t>
            </w:r>
          </w:p>
        </w:tc>
      </w:tr>
      <w:tr>
        <w:tc>
          <w:tcPr>
            <w:tcW w:type="dxa" w:w="40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Multi-trade mail with a parent summary in the body and child details in an attachment must be split manually</w:t>
            </w:r>
          </w:p>
        </w:tc>
        <w:tc>
          <w:tcPr>
            <w:tcW w:type="dxa" w:w="12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2</w:t>
            </w:r>
          </w:p>
        </w:tc>
        <w:tc>
          <w:tcPr>
            <w:tcW w:type="dxa" w:w="18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Regular</w:t>
            </w:r>
          </w:p>
        </w:tc>
        <w:tc>
          <w:tcPr>
            <w:tcW w:type="dxa" w:w="30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Each trade has to be tracked as a separate cashflow record</w:t>
            </w:r>
          </w:p>
        </w:tc>
        <w:tc>
          <w:tcPr>
            <w:tcW w:type="dxa" w:w="4678"/>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Manual split by the analyst</w:t>
            </w:r>
          </w:p>
        </w:tc>
      </w:tr>
      <w:tr>
        <w:tc>
          <w:tcPr>
            <w:tcW w:type="dxa" w:w="40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Headers show the mail as counterparty-initiated while the body references a NEWS-issued thread</w:t>
            </w:r>
          </w:p>
        </w:tc>
        <w:tc>
          <w:tcPr>
            <w:tcW w:type="dxa" w:w="12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2</w:t>
            </w:r>
          </w:p>
        </w:tc>
        <w:tc>
          <w:tcPr>
            <w:tcW w:type="dxa" w:w="18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Rare</w:t>
            </w:r>
          </w:p>
        </w:tc>
        <w:tc>
          <w:tcPr>
            <w:tcW w:type="dxa" w:w="30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Ambiguous routing between themes</w:t>
            </w:r>
          </w:p>
        </w:tc>
        <w:tc>
          <w:tcPr>
            <w:tcW w:type="dxa" w:w="4678"/>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Analyst judgement</w:t>
            </w:r>
          </w:p>
        </w:tc>
      </w:tr>
      <w:tr>
        <w:tc>
          <w:tcPr>
            <w:tcW w:type="dxa" w:w="40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Counterparty drops the NEWS no-reply address from the chain, so an otherwise acceptable reply cannot be ingested by NEWS</w:t>
            </w:r>
          </w:p>
        </w:tc>
        <w:tc>
          <w:tcPr>
            <w:tcW w:type="dxa" w:w="12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1</w:t>
            </w:r>
          </w:p>
        </w:tc>
        <w:tc>
          <w:tcPr>
            <w:tcW w:type="dxa" w:w="18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Occasional</w:t>
            </w:r>
          </w:p>
        </w:tc>
        <w:tc>
          <w:tcPr>
            <w:tcW w:type="dxa" w:w="30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Falls to manual handling despite correct template use</w:t>
            </w:r>
          </w:p>
        </w:tc>
        <w:tc>
          <w:tcPr>
            <w:tcW w:type="dxa" w:w="4678"/>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Handled as unstructured mail</w:t>
            </w:r>
          </w:p>
        </w:tc>
      </w:tr>
    </w:tbl>
    <w:p>
      <w:pPr>
        <w:pStyle w:val="Heading2"/>
        <w:spacing w:after="110" w:before="260"/>
      </w:pPr>
      <w:r>
        <w:rPr>
          <w:rFonts w:ascii="Calibri" w:cs="Calibri" w:eastAsia="Calibri" w:hAnsi="Calibri"/>
          <w:b/>
          <w:bCs/>
          <w:i w:val="false"/>
          <w:iCs w:val="false"/>
          <w:color w:val="2E5496"/>
          <w:sz w:val="22"/>
          <w:szCs w:val="22"/>
        </w:rPr>
        <w:t xml:space="preserve">Example — Part B, Section B8. Open points</w:t>
      </w:r>
    </w:p>
    <w:tbl>
      <w:tblPr>
        <w:tblW w:type="dxa" w:w="14678"/>
        <w:tblBorders>
          <w:top w:val="single" w:color="9AA3B0" w:sz="4"/>
          <w:left w:val="single" w:color="9AA3B0" w:sz="4"/>
          <w:bottom w:val="single" w:color="9AA3B0" w:sz="4"/>
          <w:right w:val="single" w:color="9AA3B0" w:sz="4"/>
          <w:insideH w:val="single" w:color="B8C0CC" w:sz="2"/>
          <w:insideV w:val="single" w:color="B8C0CC" w:sz="2"/>
        </w:tblBorders>
      </w:tblPr>
      <w:tblGrid>
        <w:gridCol w:w="700"/>
        <w:gridCol w:w="6000"/>
        <w:gridCol w:w="2000"/>
        <w:gridCol w:w="1800"/>
        <w:gridCol w:w="4178"/>
      </w:tblGrid>
      <w:tr>
        <w:trPr>
          <w:tblHeader/>
        </w:trPr>
        <w:tc>
          <w:tcPr>
            <w:tcW w:type="dxa" w:w="700"/>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w:t>
            </w:r>
          </w:p>
        </w:tc>
        <w:tc>
          <w:tcPr>
            <w:tcW w:type="dxa" w:w="6000"/>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Item</w:t>
            </w:r>
          </w:p>
        </w:tc>
        <w:tc>
          <w:tcPr>
            <w:tcW w:type="dxa" w:w="2000"/>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Owner</w:t>
            </w:r>
          </w:p>
        </w:tc>
        <w:tc>
          <w:tcPr>
            <w:tcW w:type="dxa" w:w="1800"/>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Raised date</w:t>
            </w:r>
          </w:p>
        </w:tc>
        <w:tc>
          <w:tcPr>
            <w:tcW w:type="dxa" w:w="4178"/>
            <w:shd w:fill="D9E2F3" w:color="auto" w:val="clear"/>
            <w:tcMar>
              <w:top w:type="dxa" w:w="60"/>
              <w:left w:type="dxa" w:w="80"/>
              <w:bottom w:type="dxa" w:w="60"/>
              <w:right w:type="dxa" w:w="80"/>
            </w:tcMar>
          </w:tcPr>
          <w:p>
            <w:pPr>
              <w:spacing w:after="20" w:before="0"/>
            </w:pPr>
            <w:r>
              <w:rPr>
                <w:rFonts w:ascii="Calibri" w:cs="Calibri" w:eastAsia="Calibri" w:hAnsi="Calibri"/>
                <w:b/>
                <w:bCs/>
                <w:i w:val="false"/>
                <w:iCs w:val="false"/>
                <w:sz w:val="17"/>
                <w:szCs w:val="17"/>
              </w:rPr>
              <w:t xml:space="preserve">Status</w:t>
            </w:r>
          </w:p>
        </w:tc>
      </w:tr>
      <w:tr>
        <w:tc>
          <w:tcPr>
            <w:tcW w:type="dxa" w:w="7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1</w:t>
            </w:r>
          </w:p>
        </w:tc>
        <w:tc>
          <w:tcPr>
            <w:tcW w:type="dxa" w:w="60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Field-level tolerances for the compare step are not defined</w:t>
            </w:r>
          </w:p>
        </w:tc>
        <w:tc>
          <w:tcPr>
            <w:tcW w:type="dxa" w:w="20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Haris Raza</w:t>
            </w:r>
          </w:p>
        </w:tc>
        <w:tc>
          <w:tcPr>
            <w:tcW w:type="dxa" w:w="18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14 May 2026</w:t>
            </w:r>
          </w:p>
        </w:tc>
        <w:tc>
          <w:tcPr>
            <w:tcW w:type="dxa" w:w="4178"/>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Open</w:t>
            </w:r>
          </w:p>
        </w:tc>
      </w:tr>
      <w:tr>
        <w:tc>
          <w:tcPr>
            <w:tcW w:type="dxa" w:w="7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2</w:t>
            </w:r>
          </w:p>
        </w:tc>
        <w:tc>
          <w:tcPr>
            <w:tcW w:type="dxa" w:w="60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Documented search steps for locating a cashflow, and the logic for ranking possible match candidates by quantity, value and other attributes</w:t>
            </w:r>
          </w:p>
        </w:tc>
        <w:tc>
          <w:tcPr>
            <w:tcW w:type="dxa" w:w="20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Haris Raza</w:t>
            </w:r>
          </w:p>
        </w:tc>
        <w:tc>
          <w:tcPr>
            <w:tcW w:type="dxa" w:w="18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14 May 2026</w:t>
            </w:r>
          </w:p>
        </w:tc>
        <w:tc>
          <w:tcPr>
            <w:tcW w:type="dxa" w:w="4178"/>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Open</w:t>
            </w:r>
          </w:p>
        </w:tc>
      </w:tr>
      <w:tr>
        <w:tc>
          <w:tcPr>
            <w:tcW w:type="dxa" w:w="7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3</w:t>
            </w:r>
          </w:p>
        </w:tc>
        <w:tc>
          <w:tcPr>
            <w:tcW w:type="dxa" w:w="60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Volume split for L3 2.1 specifically, against the combined theme baseline</w:t>
            </w:r>
          </w:p>
        </w:tc>
        <w:tc>
          <w:tcPr>
            <w:tcW w:type="dxa" w:w="20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Haris Raza</w:t>
            </w:r>
          </w:p>
        </w:tc>
        <w:tc>
          <w:tcPr>
            <w:tcW w:type="dxa" w:w="18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14 May 2026</w:t>
            </w:r>
          </w:p>
        </w:tc>
        <w:tc>
          <w:tcPr>
            <w:tcW w:type="dxa" w:w="4178"/>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Open</w:t>
            </w:r>
          </w:p>
        </w:tc>
      </w:tr>
      <w:tr>
        <w:tc>
          <w:tcPr>
            <w:tcW w:type="dxa" w:w="7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4</w:t>
            </w:r>
          </w:p>
        </w:tc>
        <w:tc>
          <w:tcPr>
            <w:tcW w:type="dxa" w:w="60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Where the four-eye approval is recorded, and the rejection route</w:t>
            </w:r>
          </w:p>
        </w:tc>
        <w:tc>
          <w:tcPr>
            <w:tcW w:type="dxa" w:w="20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Haris Raza</w:t>
            </w:r>
          </w:p>
        </w:tc>
        <w:tc>
          <w:tcPr>
            <w:tcW w:type="dxa" w:w="18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14 May 2026</w:t>
            </w:r>
          </w:p>
        </w:tc>
        <w:tc>
          <w:tcPr>
            <w:tcW w:type="dxa" w:w="4178"/>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Open</w:t>
            </w:r>
          </w:p>
        </w:tc>
      </w:tr>
      <w:tr>
        <w:tc>
          <w:tcPr>
            <w:tcW w:type="dxa" w:w="7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5</w:t>
            </w:r>
          </w:p>
        </w:tc>
        <w:tc>
          <w:tcPr>
            <w:tcW w:type="dxa" w:w="60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Emails are received in languages other than English, German noted; current handling not captured</w:t>
            </w:r>
          </w:p>
        </w:tc>
        <w:tc>
          <w:tcPr>
            <w:tcW w:type="dxa" w:w="20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Haris Raza</w:t>
            </w:r>
          </w:p>
        </w:tc>
        <w:tc>
          <w:tcPr>
            <w:tcW w:type="dxa" w:w="18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13 May 2026</w:t>
            </w:r>
          </w:p>
        </w:tc>
        <w:tc>
          <w:tcPr>
            <w:tcW w:type="dxa" w:w="4178"/>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Open</w:t>
            </w:r>
          </w:p>
        </w:tc>
      </w:tr>
      <w:tr>
        <w:tc>
          <w:tcPr>
            <w:tcW w:type="dxa" w:w="7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6</w:t>
            </w:r>
          </w:p>
        </w:tc>
        <w:tc>
          <w:tcPr>
            <w:tcW w:type="dxa" w:w="60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Real input files to be loaded to the Confluence page</w:t>
            </w:r>
          </w:p>
        </w:tc>
        <w:tc>
          <w:tcPr>
            <w:tcW w:type="dxa" w:w="20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Haris Raza</w:t>
            </w:r>
          </w:p>
        </w:tc>
        <w:tc>
          <w:tcPr>
            <w:tcW w:type="dxa" w:w="1800"/>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14 May 2026</w:t>
            </w:r>
          </w:p>
        </w:tc>
        <w:tc>
          <w:tcPr>
            <w:tcW w:type="dxa" w:w="4178"/>
            <w:shd w:fill="FFF2CC" w:color="auto" w:val="clear"/>
            <w:tcMar>
              <w:top w:type="dxa" w:w="60"/>
              <w:left w:type="dxa" w:w="80"/>
              <w:bottom w:type="dxa" w:w="60"/>
              <w:right w:type="dxa" w:w="80"/>
            </w:tcMar>
          </w:tcPr>
          <w:p>
            <w:pPr>
              <w:spacing w:after="20" w:before="0"/>
            </w:pPr>
            <w:r>
              <w:rPr>
                <w:rFonts w:ascii="Calibri" w:cs="Calibri" w:eastAsia="Calibri" w:hAnsi="Calibri"/>
                <w:b w:val="false"/>
                <w:bCs w:val="false"/>
                <w:i w:val="false"/>
                <w:iCs w:val="false"/>
                <w:sz w:val="17"/>
                <w:szCs w:val="17"/>
              </w:rPr>
              <w:t xml:space="preserve">Open</w:t>
            </w:r>
          </w:p>
        </w:tc>
      </w:tr>
    </w:tbl>
    <w:sectPr>
      <w:pgSz w:w="16838" w:h="11906"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Requirements Gathering Template</dc:title>
  <dc:creator>SG</dc:creator>
  <dc:description>As-is requirements capture at L3 activity level</dc:description>
  <cp:lastModifiedBy>Un-named</cp:lastModifiedBy>
  <cp:revision>1</cp:revision>
  <dcterms:created xsi:type="dcterms:W3CDTF">2026-09-20T12:35:52.575Z</dcterms:created>
  <dcterms:modified xsi:type="dcterms:W3CDTF">2026-09-20T12:35:52.584Z</dcterms:modified>
</cp:coreProperties>
</file>

<file path=docProps/custom.xml><?xml version="1.0" encoding="utf-8"?>
<Properties xmlns="http://schemas.openxmlformats.org/officeDocument/2006/custom-properties" xmlns:vt="http://schemas.openxmlformats.org/officeDocument/2006/docPropsVTypes"/>
</file>