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Plano de Estruturação</w:t>
      </w:r>
    </w:p>
    <w:p>
      <w:pPr>
        <w:pStyle w:val="Heading3"/>
        <w:spacing w:after="200"/>
      </w:pPr>
      <w:r>
        <w:t xml:space="preserve">Marca de Suplementos de Emagrecimento e Bem-Estar — Mercado EUA</w:t>
      </w:r>
    </w:p>
    <w:p>
      <w:pPr>
        <w:spacing w:after="60"/>
      </w:pPr>
      <w:r>
        <w:rPr>
          <w:b/>
          <w:bCs/>
        </w:rPr>
        <w:t xml:space="preserve">Preparado por: </w:t>
      </w:r>
      <w:r>
        <w:t xml:space="preserve">Neilson Flores</w:t>
      </w:r>
    </w:p>
    <w:p>
      <w:pPr>
        <w:spacing w:after="300"/>
      </w:pPr>
      <w:r>
        <w:rPr>
          <w:b/>
          <w:bCs/>
        </w:rPr>
        <w:t xml:space="preserve">Para: </w:t>
      </w:r>
      <w:r>
        <w:t xml:space="preserve">Sócios do projeto</w:t>
      </w:r>
    </w:p>
    <w:p>
      <w:pPr>
        <w:pBdr>
          <w:left w:val="single" w:color="9CA3AF" w:sz="18"/>
        </w:pBdr>
        <w:shd w:fill="F3F4F6" w:val="clear"/>
        <w:spacing w:after="300" w:before="100"/>
        <w:ind w:left="200"/>
      </w:pPr>
      <w:r>
        <w:rPr>
          <w:i/>
          <w:iCs/>
        </w:rPr>
        <w:t xml:space="preserve">Pessoal, este documento reúne a pesquisa inicial que fiz para estruturarmos nossa operação de suplementos nos EUA. Levantei fabricantes tradicionais, plataformas turnkey de validação e os pontos de compliance que precisamos ter no radar antes de lançar. Organizei tudo em etapas para facilitarmos a decisão em conjunto — comentários e ajustes são bem-vindos. — Neilson</w:t>
      </w:r>
    </w:p>
    <w:p>
      <w:pPr>
        <w:spacing w:after="150"/>
      </w:pPr>
      <w:r>
        <w:rPr>
          <w:i/>
          <w:iCs/>
          <w:color w:val="555555"/>
        </w:rPr>
        <w:t xml:space="preserve">Modelo: private label + venda direta via funil online (live com especialista + pitch de vendas). Documento de trabalho para orientar decisão de fabricante, estrutura de produto, funil de vendas e pontos críticos de compliance.</w:t>
      </w:r>
    </w:p>
    <w:p>
      <w:pPr>
        <w:pStyle w:val="Heading1"/>
        <w:spacing w:after="200" w:before="400"/>
      </w:pPr>
      <w:r>
        <w:t xml:space="preserve">1. Visão Geral do Modelo de Negócio</w:t>
      </w:r>
    </w:p>
    <w:p>
      <w:pPr>
        <w:spacing w:after="150"/>
      </w:pPr>
      <w:r>
        <w:t xml:space="preserve">Comecei mapeando o formato de negócio que discutimos: marca própria vendida direto ao consumidor, com fabricação terceirizada e um funil de vendas apoiado em conteúdo educativo ao vivo. Resumo a estrutura abaixo.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Marca própria (private label) — vocês definem posicionamento, fórmula-base (a partir de catálogo do fabricante ou customizada) e identidade visual.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Fabricação terceirizada nos EUA (ou com importação controlada), com certificação FDA/GMP.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Venda direta ao consumidor (D2C) via funil online: captação → conteúdo educativo/live com especialista → oferta → checkout.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Modelo de receita recorrente: assinatura mensal do produto-âncora + upsell de produtos complementares de bem-estar.</w:t>
      </w:r>
    </w:p>
    <w:p>
      <w:pPr>
        <w:pStyle w:val="Heading1"/>
        <w:spacing w:after="200" w:before="400"/>
      </w:pPr>
      <w:r>
        <w:t xml:space="preserve">2. Fabricação — Seleção de Fornecedor Private Label</w:t>
      </w:r>
    </w:p>
    <w:p>
      <w:pPr>
        <w:pStyle w:val="Heading2"/>
        <w:spacing w:after="150" w:before="300"/>
      </w:pPr>
      <w:r>
        <w:t xml:space="preserve">2.1 Critérios obrigatórios de triagem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na FDA (FDA-registered facility) e certificação GMP (21 CFR Part 111) — inegociável.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Laboratório terceirizado para teste de pureza, potência e triagem de adulterantes (crítico na categoria emagrecimento).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Certificado de Análise (CoA) por lote, disponível antes do embarque.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MOQ (pedido mínimo) compatível com o volume de teste inicial do funil.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Capacidade de fórmula pronta (stock) para validar rápido + opção de customização futura.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Serviços agregados: design de rótulo, embalagem, fulfillment/3PL (armazenagem e envio direto ao cliente final).</w:t>
      </w:r>
    </w:p>
    <w:p>
      <w:pPr>
        <w:pStyle w:val="Heading2"/>
        <w:spacing w:after="150" w:before="300"/>
      </w:pPr>
      <w:r>
        <w:t xml:space="preserve">2.2 Fornecedores para cotação inicial</w:t>
      </w:r>
    </w:p>
    <w:p>
      <w:pPr>
        <w:spacing w:after="150"/>
      </w:pPr>
      <w:r>
        <w:t xml:space="preserve">Lista para primeira rodada de contato. Recomenda-se solicitar cotação e amostra de pelo menos 3 fornecedores em paralelo antes de decidir.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100"/>
        <w:gridCol w:w="1500"/>
        <w:gridCol w:w="1800"/>
        <w:gridCol w:w="2700"/>
      </w:tblGrid>
      <w:tr>
        <w:trPr>
          <w:tblHeader/>
        </w:trPr>
        <w:tc>
          <w:tcPr>
            <w:tcW w:type="dxa" w:w="14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tcW w:type="dxa" w:w="2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Telefone</w:t>
            </w:r>
          </w:p>
        </w:tc>
        <w:tc>
          <w:tcPr>
            <w:tcW w:type="dxa" w:w="1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tcW w:type="dxa" w:w="27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 / Observação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Makers Nutrition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 Mall Drive, Commack, NY 11725, EUA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 (844) 625-3771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info@makersnutrition.com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Turnkey completo (formulação a fulfillment). MOQ a partir de ~1.000 un. Cotação em 48h. Bom para 1º pedido/teste.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NutraScience Labs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 Carolyn Blvd, Farmingdale, NY 11735, EUA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 (855) 492-7388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info@nutrasciencelabs.com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+50 anos de experiência combinada, +2.300 marcas atendidas. Forte em compliance e escala.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Vita Plus Inter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42684 Avenida Alvarado, Bldg 14, Temecula, CA 92590, EUA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(626) 420-7518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formulário do site (contato direto recomendado)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+6.000 fórmulas prontas, 30 anos de mercado, linha específica de Weight Management. FDA-registered/cGMP.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ENZ Pharmtech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Zhengzhou, China (fábrica) — atende marcas dos EUA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formulário/WhatsApp do site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formulário do site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Especialista citado em suplementos de emagrecimento (gummies, cápsulas). ATENÇÃO: fabricação na China, não nos EUA — exige due diligence extra de importação, FDA e alfândega.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Wonnda (marketplace/diretório)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Plataforma online (conecta a múltiplos fabricantes globais e dos EUA)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plataforma wonnda.com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é fabricante — é um diretório para comparar vários fornecedores de weight loss/wellness de uma vez e pedir cotação em lote.</w:t>
            </w:r>
          </w:p>
        </w:tc>
      </w:tr>
    </w:tbl>
    <w:p>
      <w:pPr>
        <w:pBdr>
          <w:left w:val="single" w:color="D97706" w:sz="24"/>
        </w:pBdr>
        <w:shd w:fill="FFF4E5" w:val="clear"/>
        <w:spacing w:after="150" w:before="100"/>
        <w:ind w:left="200"/>
      </w:pPr>
      <w:r>
        <w:rPr>
          <w:i/>
          <w:iCs/>
        </w:rPr>
        <w:t xml:space="preserve">⚠ ENZ Pharmtech fabrica na China. Isso não inviabiliza o uso, mas exige camada extra de due diligence: importação, desembaraço aduaneiro, rotulagem conforme FDA antes da entrada nos EUA, e prazos mais longos. Para o primeiro lote e para validar rapidamente o funil, fornecedores com fábrica nos EUA (Makers Nutrition, NutraScience Labs, Vita Plus Inter) tendem a ser mais simples operacionalmente.</w:t>
      </w:r>
    </w:p>
    <w:p>
      <w:pPr>
        <w:spacing w:after="150"/>
      </w:pPr>
      <w:r>
        <w:t xml:space="preserve">Nota sobre os dados de contato: telefones e e-mails foram coletados dos canais oficiais de cada empresa em pesquisa recente. Sempre confirme o contato atual no site oficial antes de formalizar qualquer pedido ou pagamento.</w:t>
      </w:r>
    </w:p>
    <w:p>
      <w:pPr>
        <w:pStyle w:val="Heading2"/>
        <w:spacing w:after="150" w:before="300"/>
      </w:pPr>
      <w:r>
        <w:t xml:space="preserve">2.3 Roteiro para a primeira cotação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40"/>
        <w:gridCol w:w="2400"/>
      </w:tblGrid>
      <w:tr>
        <w:trPr>
          <w:tblHeader/>
        </w:trPr>
        <w:tc>
          <w:tcPr>
            <w:tcW w:type="dxa" w:w="7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 quem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e-mail de apresentação + briefing do produto (ver Seção 5)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Todos os fornecedores da lista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Solicitar: catálogo de fórmulas prontas na categoria emagrecimento/metabolismo, MOQ, prazo de produção, preço por unidade em 3 volumes (ex: 1k/5k/10k un.)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Solicitar CoA de amostra e política de teste de adulterantes/terceiros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Pedir amostra física paga (sample) antes de qualquer pedido comercial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Os 2-3 finalistas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Validar claims permitidos por fórmula junto ao fornecedor (o que pode/não pode ser dito no rótulo)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Finalista escolhido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Fechar pedido piloto pequeno (menor MOQ possível) para testar o funil antes de escalar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Fornecedor final</w:t>
            </w:r>
          </w:p>
        </w:tc>
      </w:tr>
    </w:tbl>
    <w:p>
      <w:pPr>
        <w:pStyle w:val="Heading1"/>
        <w:spacing w:after="200" w:before="400"/>
      </w:pPr>
      <w:r>
        <w:t xml:space="preserve">3. Estrutura de Produto e Marca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Produto-âncora: fórmula única, clara, com 3-4 ingredientes principais defensáveis (ex: fibra saciante, extrato termogênico natural, suporte metabólico).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1-2 produtos complementares de bem-estar (sono, intestino/digestão, energia/foco) para aumentar ticket médio e criar oferta em combo/assinatura.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Fase 1: usar fórmula 'stock' (catálogo pronto do fabricante) para validar demanda com menor investimento e prazo.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Fase 2 (após tração): migrar para fórmula customizada e exclusiva, com MOQ maior, para diferenciação de marca.</w:t>
      </w:r>
    </w:p>
    <w:p>
      <w:pPr>
        <w:pBdr>
          <w:left w:val="single" w:color="D97706" w:sz="24"/>
        </w:pBdr>
        <w:shd w:fill="FFF4E5" w:val="clear"/>
        <w:spacing w:after="150" w:before="100"/>
        <w:ind w:left="200"/>
      </w:pPr>
      <w:r>
        <w:rPr>
          <w:i/>
          <w:iCs/>
        </w:rPr>
        <w:t xml:space="preserve">⚠ Nos EUA, suplemento não pode alegar 'tratar', 'curar' ou prometer emagrecimento garantido. Apenas claims estruturais/funcionais (structure/function claims) autorizados e vinculados a evidência do ingrediente na dosagem usada — isso vale tanto para o rótulo quanto para tudo que for dito na live e no pitch de vendas.</w:t>
      </w:r>
    </w:p>
    <w:p>
      <w:pPr>
        <w:pStyle w:val="Heading1"/>
        <w:spacing w:after="200" w:before="400"/>
      </w:pPr>
      <w:r>
        <w:t xml:space="preserve">4. Funil de Vendas (Live + Especialista + Pitch)</w:t>
      </w:r>
    </w:p>
    <w:p>
      <w:pPr>
        <w:spacing w:after="150"/>
      </w:pPr>
      <w:r>
        <w:t xml:space="preserve">O modelo de webinar/live com especialista seguido de oferta é validado e funciona bem — mas nos EUA está sob forte escrutínio da FTC (Federal Trade Commission) por causa de claims de saúde e testemunhais em conteúdo de venda ao vivo.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340"/>
      </w:tblGrid>
      <w:tr>
        <w:trPr>
          <w:tblHeader/>
        </w:trPr>
        <w:tc>
          <w:tcPr>
            <w:tcW w:type="dxa" w:w="7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Captação</w:t>
            </w:r>
          </w:p>
        </w:tc>
        <w:tc>
          <w:tcPr>
            <w:tcW w:type="dxa" w:w="6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Anúncios/orgânico levando a página de inscrição na live, com isca de conteúdo educativo (não promessa de resultado).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Aquecimento</w:t>
            </w:r>
          </w:p>
        </w:tc>
        <w:tc>
          <w:tcPr>
            <w:tcW w:type="dxa" w:w="6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E-mail/SMS pré-live com conteúdo de autoridade do especialista, sem claims de produto ainda.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com especialista</w:t>
            </w:r>
          </w:p>
        </w:tc>
        <w:tc>
          <w:tcPr>
            <w:tcW w:type="dxa" w:w="6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Educação sobre cuidados com saúde/hábitos — roteiro revisado juridicamente para não cruzar linha de claim médico não permitido.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Transição para oferta</w:t>
            </w:r>
          </w:p>
        </w:tc>
        <w:tc>
          <w:tcPr>
            <w:tcW w:type="dxa" w:w="6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Apresentação do produto como suporte a um estilo de vida, nunca como solução garantida de emagrecimento.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Pitch + escassez legítima</w:t>
            </w:r>
          </w:p>
        </w:tc>
        <w:tc>
          <w:tcPr>
            <w:tcW w:type="dxa" w:w="6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 com prazo real (não escassez falsa — a FTC pune 'urgência fictícia').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Pós-venda / retenção</w:t>
            </w:r>
          </w:p>
        </w:tc>
        <w:tc>
          <w:tcPr>
            <w:tcW w:type="dxa" w:w="6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Onboarding, conteúdo de acompanhamento, oferta de assinatura recorrente.</w:t>
            </w:r>
          </w:p>
        </w:tc>
      </w:tr>
    </w:tbl>
    <w:p>
      <w:pPr>
        <w:pBdr>
          <w:left w:val="single" w:color="D97706" w:sz="24"/>
        </w:pBdr>
        <w:shd w:fill="FFF4E5" w:val="clear"/>
        <w:spacing w:after="150" w:before="100"/>
        <w:ind w:left="200"/>
      </w:pPr>
      <w:r>
        <w:rPr>
          <w:i/>
          <w:iCs/>
        </w:rPr>
        <w:t xml:space="preserve">⚠ Testemunhais/depoimentos usados na live ou nos anúncios precisam refletir resultado típico e ter disclosure claro quando não forem típicos. Isso é fiscalizado ativamente pela FTC nesta categoria — vale revisão jurídica do roteiro completo (live + página de vendas + anúncios) antes do lançamento.</w:t>
      </w:r>
    </w:p>
    <w:p>
      <w:pPr>
        <w:pStyle w:val="Heading1"/>
        <w:spacing w:after="200" w:before="400"/>
      </w:pPr>
      <w:r>
        <w:t xml:space="preserve">5. Compliance — Mapa de Pontos Críticos (não substitui advogado)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rPr>
          <w:tblHeader/>
        </w:trPr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4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 de atenção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FDA — Rotulagem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Rótulo deve seguir 21 CFR Part 101 (Supplement Facts, disclaimer padrão de que a FDA não avaliou a declaração).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FDA — Registro de instalação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Fabricante precisa ter FDA facility registration ativo; marca deve registrar-se como 'labeler' quando aplicável.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FTC — Claims de publicidade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Toda alegação de benefício (rótulo, live, anúncio, página de vendas) precisa ter respaldo científico proporcional ao que é dito.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FTC — Testemunhais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Depoimentos devem representar resultado típico ou vir com disclosure clara do que é atípico.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Merchant/Ads accounts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Google, Meta e processadores de pagamento têm políticas restritivas específicas para claims de emagrecimento — risco de suspensão de conta se o discurso da live/anúncio for agressivo demais.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Assinatura recorrente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usar modelo de assinatura, seguir a regra da FTC 'Click-to-Cancel' — cancelamento deve ser tão fácil quanto a assinatura.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Importação (se fabricar fora dos EUA)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Produto precisa cumprir rotulagem FDA antes de entrar no país; alfândega pode reter lote não conforme.</w:t>
            </w:r>
          </w:p>
        </w:tc>
      </w:tr>
    </w:tbl>
    <w:p>
      <w:pPr>
        <w:spacing w:after="150"/>
      </w:pPr>
      <w:r>
        <w:t xml:space="preserve">Recomendação: antes do lançamento público, ter um advogado especializado em FDA/FTC (dietary supplements + advertising law) revisando: rótulo, roteiro da live, página de vendas e política de assinatura/cancelamento.</w:t>
      </w:r>
    </w:p>
    <w:p>
      <w:pPr>
        <w:pStyle w:val="Heading1"/>
        <w:spacing w:after="200" w:before="400"/>
      </w:pPr>
      <w:r>
        <w:t xml:space="preserve">6. Benchmark — Plataformas Turnkey de Private Label (Supliful e Alternativas)</w:t>
      </w:r>
    </w:p>
    <w:p>
      <w:pPr>
        <w:spacing w:after="150"/>
      </w:pPr>
      <w:r>
        <w:t xml:space="preserve">A ideia de usar a Supliful como referência fez sentido, então pesquisei o mercado inteiro desse modelo — plataformas onde a gente escolhe produto, aplica marca e vende sem comprar lote fechado. Encontrei quatro opções que considero relevantes para nós, cada uma com um ângulo diferente. Trago abaixo o que apurei sobre cada uma, incluindo pontos de atenção que julguei importante sinalizar.</w:t>
      </w:r>
    </w:p>
    <w:p>
      <w:pPr>
        <w:pStyle w:val="Heading2"/>
        <w:spacing w:after="150" w:before="300"/>
      </w:pPr>
      <w:r>
        <w:t xml:space="preserve">6.1 Empresas mapeadas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100"/>
        <w:gridCol w:w="1500"/>
        <w:gridCol w:w="1800"/>
        <w:gridCol w:w="2700"/>
      </w:tblGrid>
      <w:tr>
        <w:trPr>
          <w:tblHeader/>
        </w:trPr>
        <w:tc>
          <w:tcPr>
            <w:tcW w:type="dxa" w:w="14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Telefone</w:t>
            </w:r>
          </w:p>
        </w:tc>
        <w:tc>
          <w:tcPr>
            <w:tcW w:type="dxa" w:w="1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tcW w:type="dxa" w:w="27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 / Observação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Supliful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Plataforma online (fulfillment nos EUA)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plataforma supliful.com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180+ produtos, sem MOQ, planos de US$0 a US$49+/mês. Boa para validar rápido o roteiro da live.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Demand Fulfillment (ODF)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8152 South Welby Park Dr STE B, West Jordan, UT 84088, EUA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1-888-505-2372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formulário do site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110+ produtos, sem MOQ, categoria weight loss no catálogo. Empresa irmã da Vox Nutrition — permite migrar para escala sem trocar de parceiro.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Vox Nutrition (fase de escala)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West Jordan, UT, EUA (mesmo grupo da ODF)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1-800-795-7161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formulário do site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Fabricante de verdade: MOQ a partir de 50 un., 115+ fórmulas prontas (inclui linha de emagrecimento), opção de fórmula customizada e produção em bulk.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NutraCap Labs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2825 Pacific Dr, Suite C, Norcross, GA 30071, EUA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(800) 688-5956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 formulário do site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Híbrido: MOQ baixo + programa de fórmula customizada + instalação de 100.000 ft² para quando o volume crescer. Um único parceiro para as duas fases.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Rocktomic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2825 Breckenridge Blvd Ste 170, Duluth, GA 30096, EUA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 (888) 204-9946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support@rocktomic.com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Mesmo modelo print-on-demand, 150+ produtos. ATENÇÃO: reclamações recentes no BBB sobre comunicação e envio — validar referências antes de contratar.</w:t>
            </w:r>
          </w:p>
        </w:tc>
      </w:tr>
    </w:tbl>
    <w:p>
      <w:pPr>
        <w:pBdr>
          <w:left w:val="single" w:color="D97706" w:sz="24"/>
        </w:pBdr>
        <w:shd w:fill="FFF4E5" w:val="clear"/>
        <w:spacing w:after="150" w:before="100"/>
        <w:ind w:left="200"/>
      </w:pPr>
      <w:r>
        <w:rPr>
          <w:i/>
          <w:iCs/>
        </w:rPr>
        <w:t xml:space="preserve">⚠ Sobre a Rocktomic: o modelo é muito parecido com o da Supliful (print-on-demand, sem MOQ), mas encontrei reclamações registradas no Better Business Bureau citando falha de comunicação e atraso de envio. Não é motivo para descartar de cara, mas recomendo tratá-la como opção secundária e validar referências recentes antes de qualquer contrato.</w:t>
      </w:r>
    </w:p>
    <w:p>
      <w:pPr>
        <w:spacing w:after="150"/>
      </w:pPr>
      <w:r>
        <w:t xml:space="preserve">Um ponto que achei relevante: Vox Nutrition e On Demand Fulfillment são empresas irmãs — mesmo grupo, mesmo telefone central. Isso significa que dá pra começar validando sem estoque na ODF e, se o produto performar, migrar para produção em lote na própria Vox Nutrition sem trocar de parceiro nem recomeçar due diligence do zero. Do jeito que enxergo hoje, essa é a opção mais alinhada ao que vocês pediram: uma empresa para validar e, na sequência, escalar.</w:t>
      </w:r>
    </w:p>
    <w:p>
      <w:pPr>
        <w:pStyle w:val="Heading2"/>
        <w:spacing w:after="150" w:before="300"/>
      </w:pPr>
      <w:r>
        <w:t xml:space="preserve">6.2 Comparação com fabricante tradicional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840"/>
      </w:tblGrid>
      <w:tr>
        <w:trPr>
          <w:tblHeader/>
        </w:trPr>
        <w:tc>
          <w:tcPr>
            <w:tcW w:type="dxa" w:w="2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Plataforma turnkey</w:t>
            </w:r>
          </w:p>
        </w:tc>
        <w:tc>
          <w:tcPr>
            <w:tcW w:type="dxa" w:w="38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Fabricante tradicional (Seção 2)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Investimento inicial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 estoque; paga só quando vende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Médio/alto — precisa comprar o lote (MOQ)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MOQ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Nenhum a partir de 50 un. (varia por plataforma)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~1.000 a 5.000+ unidades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Velocidade de lançamento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Dias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6-12 semanas típico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Controle de fórmula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Baixo/médio — catálogo pronto; custom em planos avançados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Alto — fórmula exclusiva desde o início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Diferenciação de marca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Limitada — outras marcas usam a mesma base de produto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 — fórmula e marca 100% proprietárias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Margem por unidade em escala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Boa na validação; tende a comprimir em alto volume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Melhor em alto volume (negociação direta)</w:t>
            </w:r>
          </w:p>
        </w:tc>
      </w:tr>
    </w:tbl>
    <w:p>
      <w:pPr>
        <w:pStyle w:val="Heading2"/>
        <w:spacing w:after="150" w:before="300"/>
      </w:pPr>
      <w:r>
        <w:t xml:space="preserve">6.3 Minha recomendação de fases</w:t>
      </w:r>
    </w:p>
    <w:p>
      <w:pPr>
        <w:spacing w:after="150"/>
      </w:pPr>
      <w:r>
        <w:t xml:space="preserve">Com base no que levantei, sugiro a vocês a seguinte sequência: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Fase 1 (validação): usar On Demand Fulfillment ou Supliful para testar rapidamente o produto-âncora, o roteiro da live e a conversão do pitch, sem travar capital em estoque.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Fase 2 (escala): com volume mensal comprovado, migrar o produto-âncora para a Vox Nutrition (mesmo grupo da ODF) ou para um fabricante tradicional da Seção 2, com fórmula exclusiva — melhora margem e defensabilidade de marca.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NutraCap Labs entra como opção de meio-de-caminho: já nasce permitindo MOQ baixo e formulação customizada na mesma casa, caso prefiram evitar a troca de parceiro entre fases.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 produtos complementares de bem-estar podem permanecer na plataforma turnkey por mais tempo, já que exigem menos diferenciação que o produto-âncora.</w:t>
      </w:r>
    </w:p>
    <w:p>
      <w:pPr>
        <w:pStyle w:val="Heading1"/>
        <w:spacing w:after="200" w:before="400"/>
      </w:pPr>
      <w:r>
        <w:t xml:space="preserve">7. Próximos Passos Imediatos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Criar conta gratuita na Supliful e mapear os produtos de weight management/energia disponíveis no catálogo, como rota rápida de validação.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paralelo, selecionar 3 fornecedores tradicionais da lista da Seção 2 e enviar o e-mail padrão (Seção 8) esta semana.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Definir o produto-âncora e os 2 produtos complementares.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Mapear roteiro da live com o especialista, já com filtro de compliance.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Buscar advogado especializado em FDA/FTC para revisão antes do lançamento.</w:t>
      </w:r>
    </w:p>
    <w:p>
      <w:pPr>
        <w:pStyle w:val="Heading1"/>
        <w:spacing w:after="200" w:before="400"/>
      </w:pPr>
      <w:r>
        <w:t xml:space="preserve">8. E-mail Padrão de Contato com Fornecedores</w:t>
      </w:r>
    </w:p>
    <w:p>
      <w:pPr>
        <w:spacing w:after="150"/>
      </w:pPr>
      <w:r>
        <w:t xml:space="preserve">Modelo de e-mail para envio aos fabricantes listados na Seção 2.2. Personalizar o campo [Nome da empresa/contato] antes de enviar.</w:t>
      </w:r>
    </w:p>
    <w:p>
      <w:pPr>
        <w:spacing w:after="80" w:before="150"/>
      </w:pPr>
      <w:r>
        <w:rPr>
          <w:b/>
          <w:bCs/>
        </w:rPr>
        <w:t xml:space="preserve">Assunto: </w:t>
      </w:r>
      <w:r>
        <w:t xml:space="preserve">New Private Label Brand — Weight Management &amp; Wellness Line | Quote Request</w:t>
      </w:r>
    </w:p>
    <w:p>
      <w:pPr>
        <w:pBdr>
          <w:left w:val="single" w:color="9CA3AF" w:sz="18"/>
        </w:pBdr>
        <w:shd w:fill="F3F4F6" w:val="clear"/>
        <w:spacing w:after="300" w:before="100"/>
        <w:ind w:left="200"/>
      </w:pPr>
      <w:r>
        <w:rPr>
          <w:sz w:val="20"/>
          <w:szCs w:val="20"/>
        </w:rPr>
        <w:t xml:space="preserve">Hello [Nome do contato / Sales Team],</w:t>
      </w:r>
      <w:r>
        <w:br/>
        <w:t xml:space="preserve"/>
      </w:r>
      <w:r>
        <w:rPr>
          <w:sz w:val="20"/>
          <w:szCs w:val="20"/>
        </w:rPr>
        <w:t xml:space="preserve"/>
      </w:r>
      <w:r>
        <w:br/>
        <w:t xml:space="preserve"/>
      </w:r>
      <w:r>
        <w:rPr>
          <w:sz w:val="20"/>
          <w:szCs w:val="20"/>
        </w:rPr>
        <w:t xml:space="preserve">My name is [Seu nome], and I represent [Nome da marca/empresa], a new wellness brand launching in the U.S. market. We are structuring a private label supplement line focused on weight management and general wellness, to be sold through a direct-to-consumer online sales funnel.</w:t>
      </w:r>
      <w:r>
        <w:br/>
        <w:t xml:space="preserve"/>
      </w:r>
      <w:r>
        <w:rPr>
          <w:sz w:val="20"/>
          <w:szCs w:val="20"/>
        </w:rPr>
        <w:t xml:space="preserve"/>
      </w:r>
      <w:r>
        <w:br/>
        <w:t xml:space="preserve"/>
      </w:r>
      <w:r>
        <w:rPr>
          <w:sz w:val="20"/>
          <w:szCs w:val="20"/>
        </w:rPr>
        <w:t xml:space="preserve">We are currently evaluating manufacturing partners and would like to request the following:</w:t>
      </w:r>
      <w:r>
        <w:br/>
        <w:t xml:space="preserve"/>
      </w:r>
      <w:r>
        <w:rPr>
          <w:sz w:val="20"/>
          <w:szCs w:val="20"/>
        </w:rPr>
        <w:t xml:space="preserve"/>
      </w:r>
      <w:r>
        <w:br/>
        <w:t xml:space="preserve"/>
      </w:r>
      <w:r>
        <w:rPr>
          <w:sz w:val="20"/>
          <w:szCs w:val="20"/>
        </w:rPr>
        <w:t xml:space="preserve">1. Your current catalog of stock formulas in the weight management / metabolic support category</w:t>
      </w:r>
      <w:r>
        <w:br/>
        <w:t xml:space="preserve"/>
      </w:r>
      <w:r>
        <w:rPr>
          <w:sz w:val="20"/>
          <w:szCs w:val="20"/>
        </w:rPr>
        <w:t xml:space="preserve">2. MOQ (minimum order quantity) and pricing tiers (e.g., 1,000 / 5,000 / 10,000 units)</w:t>
      </w:r>
      <w:r>
        <w:br/>
        <w:t xml:space="preserve"/>
      </w:r>
      <w:r>
        <w:rPr>
          <w:sz w:val="20"/>
          <w:szCs w:val="20"/>
        </w:rPr>
        <w:t xml:space="preserve">3. Production lead time from formula approval to finished product</w:t>
      </w:r>
      <w:r>
        <w:br/>
        <w:t xml:space="preserve"/>
      </w:r>
      <w:r>
        <w:rPr>
          <w:sz w:val="20"/>
          <w:szCs w:val="20"/>
        </w:rPr>
        <w:t xml:space="preserve">4. Certifications (FDA registration, GMP, third-party testing for adulterants/banned substances)</w:t>
      </w:r>
      <w:r>
        <w:br/>
        <w:t xml:space="preserve"/>
      </w:r>
      <w:r>
        <w:rPr>
          <w:sz w:val="20"/>
          <w:szCs w:val="20"/>
        </w:rPr>
        <w:t xml:space="preserve">5. Available delivery formats (capsules, gummies, powder, softgel)</w:t>
      </w:r>
      <w:r>
        <w:br/>
        <w:t xml:space="preserve"/>
      </w:r>
      <w:r>
        <w:rPr>
          <w:sz w:val="20"/>
          <w:szCs w:val="20"/>
        </w:rPr>
        <w:t xml:space="preserve">6. Private label services included (label design, packaging, fulfillment/3PL)</w:t>
      </w:r>
      <w:r>
        <w:br/>
        <w:t xml:space="preserve"/>
      </w:r>
      <w:r>
        <w:rPr>
          <w:sz w:val="20"/>
          <w:szCs w:val="20"/>
        </w:rPr>
        <w:t xml:space="preserve">7. Availability of a paid sample before placing a commercial order</w:t>
      </w:r>
      <w:r>
        <w:br/>
        <w:t xml:space="preserve"/>
      </w:r>
      <w:r>
        <w:rPr>
          <w:sz w:val="20"/>
          <w:szCs w:val="20"/>
        </w:rPr>
        <w:t xml:space="preserve"/>
      </w:r>
      <w:r>
        <w:br/>
        <w:t xml:space="preserve"/>
      </w:r>
      <w:r>
        <w:rPr>
          <w:sz w:val="20"/>
          <w:szCs w:val="20"/>
        </w:rPr>
        <w:t xml:space="preserve">We are planning an initial pilot order to validate our sales funnel before scaling to larger volumes, so a manufacturer comfortable with smaller first-run quantities is a strong plus.</w:t>
      </w:r>
      <w:r>
        <w:br/>
        <w:t xml:space="preserve"/>
      </w:r>
      <w:r>
        <w:rPr>
          <w:sz w:val="20"/>
          <w:szCs w:val="20"/>
        </w:rPr>
        <w:t xml:space="preserve"/>
      </w:r>
      <w:r>
        <w:br/>
        <w:t xml:space="preserve"/>
      </w:r>
      <w:r>
        <w:rPr>
          <w:sz w:val="20"/>
          <w:szCs w:val="20"/>
        </w:rPr>
        <w:t xml:space="preserve">Could you please share your standard quote request form, or point us to the best next step to move forward?</w:t>
      </w:r>
      <w:r>
        <w:br/>
        <w:t xml:space="preserve"/>
      </w:r>
      <w:r>
        <w:rPr>
          <w:sz w:val="20"/>
          <w:szCs w:val="20"/>
        </w:rPr>
        <w:t xml:space="preserve"/>
      </w:r>
      <w:r>
        <w:br/>
        <w:t xml:space="preserve"/>
      </w:r>
      <w:r>
        <w:rPr>
          <w:sz w:val="20"/>
          <w:szCs w:val="20"/>
        </w:rPr>
        <w:t xml:space="preserve">Thank you very much for your time — we look forward to hearing from you.</w:t>
      </w:r>
      <w:r>
        <w:br/>
        <w:t xml:space="preserve"/>
      </w:r>
      <w:r>
        <w:rPr>
          <w:sz w:val="20"/>
          <w:szCs w:val="20"/>
        </w:rPr>
        <w:t xml:space="preserve"/>
      </w:r>
      <w:r>
        <w:br/>
        <w:t xml:space="preserve"/>
      </w:r>
      <w:r>
        <w:rPr>
          <w:sz w:val="20"/>
          <w:szCs w:val="20"/>
        </w:rPr>
        <w:t xml:space="preserve">Best regards,</w:t>
      </w:r>
      <w:r>
        <w:br/>
        <w:t xml:space="preserve"/>
      </w:r>
      <w:r>
        <w:rPr>
          <w:sz w:val="20"/>
          <w:szCs w:val="20"/>
        </w:rPr>
        <w:t xml:space="preserve">[Seu nome]</w:t>
      </w:r>
      <w:r>
        <w:br/>
        <w:t xml:space="preserve"/>
      </w:r>
      <w:r>
        <w:rPr>
          <w:sz w:val="20"/>
          <w:szCs w:val="20"/>
        </w:rPr>
        <w:t xml:space="preserve">[Cargo]</w:t>
      </w:r>
      <w:r>
        <w:br/>
        <w:t xml:space="preserve"/>
      </w:r>
      <w:r>
        <w:rPr>
          <w:sz w:val="20"/>
          <w:szCs w:val="20"/>
        </w:rPr>
        <w:t xml:space="preserve">[Nome da empresa]</w:t>
      </w:r>
      <w:r>
        <w:br/>
        <w:t xml:space="preserve"/>
      </w:r>
      <w:r>
        <w:rPr>
          <w:sz w:val="20"/>
          <w:szCs w:val="20"/>
        </w:rPr>
        <w:t xml:space="preserve">[Telefone]</w:t>
      </w:r>
      <w:r>
        <w:br/>
        <w:t xml:space="preserve"/>
      </w:r>
      <w:r>
        <w:rPr>
          <w:sz w:val="20"/>
          <w:szCs w:val="20"/>
        </w:rPr>
        <w:t xml:space="preserve">[E-mail]</w:t>
      </w:r>
      <w:r>
        <w:br/>
        <w:t xml:space="preserve"/>
      </w:r>
      <w:r>
        <w:rPr>
          <w:sz w:val="20"/>
          <w:szCs w:val="20"/>
        </w:rPr>
        <w:t xml:space="preserve">[Site, se houver]</w:t>
      </w:r>
    </w:p>
    <w:p>
      <w:pPr>
        <w:spacing w:after="150"/>
      </w:pPr>
      <w:r>
        <w:rPr>
          <w:i/>
          <w:iCs/>
          <w:color w:val="555555"/>
        </w:rPr>
        <w:t xml:space="preserve">Dica: envie o mesmo e-mail para os 3 fornecedores prioritários no mesmo dia — isso acelera a comparação de preço, prazo e nível de atendimento antes de fechar com qualquer um deles.</w:t>
      </w:r>
    </w:p>
    <w:p>
      <w:pPr>
        <w:pStyle w:val="Heading1"/>
        <w:spacing w:after="200" w:before="400"/>
      </w:pPr>
      <w:r>
        <w:t xml:space="preserve">9. Nota Final</w:t>
      </w:r>
    </w:p>
    <w:p>
      <w:pPr>
        <w:spacing w:after="150"/>
      </w:pPr>
      <w:r>
        <w:t xml:space="preserve">Esse foi o levantamento que consegui fazer até aqui. Meu objetivo era trazer opções concretas — com contato direto — para que a gente já saia dessa conversa com ações práticas: quem cotar essa semana e o que validar antes de comprometer capital. Fico à disposição para aprofundar qualquer ponto, ajustar a lista de fornecedores ou revisar o roteiro da live junto com vocês assim que tivermos o produto-âncora definido.</w:t>
      </w:r>
    </w:p>
    <w:p>
      <w:pPr>
        <w:spacing w:after="0" w:before="200"/>
      </w:pPr>
      <w:r>
        <w:rPr>
          <w:b/>
          <w:bCs/>
        </w:rPr>
        <w:t xml:space="preserve">Neilson Flores</w:t>
      </w:r>
    </w:p>
    <w:p>
      <w:pPr>
        <w:spacing w:after="150"/>
      </w:pPr>
      <w:r>
        <w:rPr>
          <w:i/>
          <w:iCs/>
          <w:color w:val="555555"/>
        </w:rPr>
        <w:t xml:space="preserve">Responsável pela pesquisa inicial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2026-08-25T14:16:10.960Z</dcterms:created>
  <dcterms:modified xsi:type="dcterms:W3CDTF">2026-08-25T14:16:10.974Z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