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All,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note the points discussed during the end to end demo of ID-Authentication module, for features developed until Sprint 7.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Kindly add on/update as required.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@ Ramesh/Anadi/Krishnan/Shrikant,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 you for your time and extensive review &amp; feedback.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Participants</w:t>
      </w:r>
      <w:r>
        <w:rPr>
          <w:rFonts w:ascii="Arial" w:hAnsi="Arial" w:cs="Arial"/>
          <w:sz w:val="20"/>
          <w:szCs w:val="20"/>
        </w:rPr>
        <w:t>: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Anadi, Ramesh, Krishnan, Shrikant, Gita, Jyoti, </w:t>
      </w:r>
      <w:proofErr w:type="gramStart"/>
      <w:r>
        <w:rPr>
          <w:rFonts w:ascii="Arial" w:hAnsi="Arial" w:cs="Arial"/>
          <w:sz w:val="20"/>
          <w:szCs w:val="20"/>
        </w:rPr>
        <w:t>Gayathri ,Shravan</w:t>
      </w:r>
      <w:proofErr w:type="gramEnd"/>
      <w:r>
        <w:rPr>
          <w:rFonts w:ascii="Arial" w:hAnsi="Arial" w:cs="Arial"/>
          <w:sz w:val="20"/>
          <w:szCs w:val="20"/>
        </w:rPr>
        <w:t>, Romila, Gurpreet, Loganathan, Manoj, Hema, Vignesh, Athila, Resham, Techno forte team, Lalana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Document(s) Referred</w:t>
      </w:r>
      <w:r>
        <w:rPr>
          <w:rFonts w:ascii="Arial" w:hAnsi="Arial" w:cs="Arial"/>
          <w:sz w:val="20"/>
          <w:szCs w:val="20"/>
        </w:rPr>
        <w:t>:</w:t>
      </w:r>
    </w:p>
    <w:p w:rsidR="00FA42FA" w:rsidRDefault="00FA42FA" w:rsidP="00FA42FA">
      <w:pPr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 Demo: </w:t>
      </w:r>
      <w:r>
        <w:rPr>
          <w:rFonts w:ascii="Arial" w:eastAsia="Times New Roman" w:hAnsi="Arial" w:cs="Arial"/>
          <w:i/>
          <w:iCs/>
          <w:sz w:val="20"/>
          <w:szCs w:val="20"/>
        </w:rPr>
        <w:t>Enclosed deck &lt;Sprint 7 ID-Authentication Demo.pptx&gt; and ID Auth and repo services in QA environment</w:t>
      </w:r>
    </w:p>
    <w:p w:rsidR="00FA42FA" w:rsidRDefault="00FA42FA" w:rsidP="00FA42FA">
      <w:pPr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 Technical Review: </w:t>
      </w:r>
      <w:r>
        <w:rPr>
          <w:rFonts w:ascii="Arial" w:eastAsia="Times New Roman" w:hAnsi="Arial" w:cs="Arial"/>
          <w:i/>
          <w:iCs/>
          <w:sz w:val="20"/>
          <w:szCs w:val="20"/>
        </w:rPr>
        <w:t>GitHub</w:t>
      </w:r>
    </w:p>
    <w:p w:rsidR="00FA42FA" w:rsidRDefault="00FA42FA" w:rsidP="00FA42FA">
      <w:pPr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For Functional Review: JIRA</w:t>
      </w:r>
    </w:p>
    <w:p w:rsidR="00FA42FA" w:rsidRDefault="00FA42FA" w:rsidP="00FA42FA">
      <w:pPr>
        <w:numPr>
          <w:ilvl w:val="0"/>
          <w:numId w:val="1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 Testing Status: Test Strategy doc, </w:t>
      </w:r>
      <w:r>
        <w:rPr>
          <w:rFonts w:ascii="Arial" w:eastAsia="Times New Roman" w:hAnsi="Arial" w:cs="Arial"/>
          <w:i/>
          <w:iCs/>
          <w:sz w:val="20"/>
          <w:szCs w:val="20"/>
        </w:rPr>
        <w:t>JIRA and eclipse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Action Items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:rsidR="00FA42FA" w:rsidRDefault="00FA42FA" w:rsidP="00FA42FA">
      <w:pPr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Recommendation to move Static PIN </w:t>
      </w:r>
      <w:proofErr w:type="spellStart"/>
      <w:r>
        <w:rPr>
          <w:rFonts w:ascii="Arial" w:eastAsia="Times New Roman" w:hAnsi="Arial" w:cs="Arial"/>
          <w:sz w:val="20"/>
          <w:szCs w:val="20"/>
        </w:rPr>
        <w:t>auth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to v1+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As considerable amount of work has already been done, IDA team decided to retain the feature as part of V1</w:t>
      </w:r>
    </w:p>
    <w:p w:rsidR="00FA42FA" w:rsidRDefault="00FA42FA" w:rsidP="00FA42FA">
      <w:pPr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TSP and UA Concept - Below clarifications are pending with client (</w:t>
      </w:r>
      <w:r>
        <w:rPr>
          <w:rFonts w:ascii="Arial" w:eastAsia="Times New Roman" w:hAnsi="Arial" w:cs="Arial"/>
          <w:color w:val="FF0000"/>
          <w:sz w:val="20"/>
          <w:szCs w:val="20"/>
        </w:rPr>
        <w:t>Anadi to get back by Feb 1</w:t>
      </w:r>
      <w:proofErr w:type="gramStart"/>
      <w:r>
        <w:rPr>
          <w:rFonts w:ascii="Arial" w:eastAsia="Times New Roman" w:hAnsi="Arial" w:cs="Arial"/>
          <w:color w:val="FF0000"/>
          <w:sz w:val="20"/>
          <w:szCs w:val="20"/>
          <w:vertAlign w:val="superscript"/>
        </w:rPr>
        <w:t>st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 –</w:t>
      </w:r>
      <w:proofErr w:type="gramEnd"/>
      <w:r>
        <w:rPr>
          <w:rFonts w:ascii="Arial" w:eastAsia="Times New Roman" w:hAnsi="Arial" w:cs="Arial"/>
          <w:color w:val="FF0000"/>
          <w:sz w:val="20"/>
          <w:szCs w:val="20"/>
        </w:rPr>
        <w:t xml:space="preserve"> post which tech team will modify the 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</w:rPr>
        <w:t xml:space="preserve"> specifications</w:t>
      </w:r>
      <w:r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followed by Tech specs review session with Ramesh/Anadi)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 we need multiple levels of TSP or should we fix it to two? If yes, how many?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Who in the level is authorized to see what?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Who in each level is authorized to do what?</w:t>
      </w:r>
    </w:p>
    <w:p w:rsidR="00FA42FA" w:rsidRDefault="00FA42FA" w:rsidP="00FA42FA">
      <w:pPr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Security features of </w:t>
      </w:r>
      <w:proofErr w:type="spellStart"/>
      <w:r>
        <w:rPr>
          <w:rFonts w:ascii="Arial" w:eastAsia="Times New Roman" w:hAnsi="Arial" w:cs="Arial"/>
          <w:sz w:val="20"/>
          <w:szCs w:val="20"/>
        </w:rPr>
        <w:t>auth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review session with </w:t>
      </w:r>
      <w:proofErr w:type="spellStart"/>
      <w:r>
        <w:rPr>
          <w:rFonts w:ascii="Arial" w:eastAsia="Times New Roman" w:hAnsi="Arial" w:cs="Arial"/>
          <w:sz w:val="20"/>
          <w:szCs w:val="20"/>
        </w:rPr>
        <w:t>Sasi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color w:val="FF0000"/>
          <w:sz w:val="20"/>
          <w:szCs w:val="20"/>
        </w:rPr>
        <w:t>Anadi</w:t>
      </w:r>
    </w:p>
    <w:p w:rsidR="00FA42FA" w:rsidRDefault="00FA42FA" w:rsidP="00FA42FA">
      <w:pPr>
        <w:numPr>
          <w:ilvl w:val="0"/>
          <w:numId w:val="2"/>
        </w:numPr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Platform Level Terminologies for the Network provider and the Service provider raising the authentication request to be finalized – </w:t>
      </w:r>
      <w:r>
        <w:rPr>
          <w:rFonts w:ascii="Arial" w:eastAsia="Times New Roman" w:hAnsi="Arial" w:cs="Arial"/>
          <w:color w:val="FF0000"/>
          <w:sz w:val="20"/>
          <w:szCs w:val="20"/>
        </w:rPr>
        <w:t>Hema/Resham based on response for point 2</w:t>
      </w:r>
    </w:p>
    <w:p w:rsidR="00FA42FA" w:rsidRDefault="00FA42FA" w:rsidP="00FA42FA">
      <w:pPr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Authentication failure due to poor quality of finger prints passed should be logged, so that it can be further used by any entity for analytics/reporting/further action (</w:t>
      </w:r>
      <w:r>
        <w:rPr>
          <w:rFonts w:ascii="Arial" w:eastAsia="Times New Roman" w:hAnsi="Arial" w:cs="Arial"/>
          <w:color w:val="FF0000"/>
          <w:sz w:val="20"/>
          <w:szCs w:val="20"/>
        </w:rPr>
        <w:t>Clarification query to be added in JIRA – Hema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FA42FA" w:rsidRDefault="00FA42FA" w:rsidP="00FA42FA">
      <w:pPr>
        <w:numPr>
          <w:ilvl w:val="0"/>
          <w:numId w:val="2"/>
        </w:numPr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Testing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Test Cases for auditing data to be added and verified - </w:t>
      </w:r>
      <w:r>
        <w:rPr>
          <w:rFonts w:ascii="Arial" w:eastAsia="Times New Roman" w:hAnsi="Arial" w:cs="Arial"/>
          <w:color w:val="FF0000"/>
          <w:sz w:val="20"/>
          <w:szCs w:val="20"/>
        </w:rPr>
        <w:t>Vignesh/Athila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Automation of notification scenarios to be implemented - </w:t>
      </w:r>
      <w:r>
        <w:rPr>
          <w:rFonts w:ascii="Arial" w:eastAsia="Times New Roman" w:hAnsi="Arial" w:cs="Arial"/>
          <w:color w:val="FF0000"/>
          <w:sz w:val="20"/>
          <w:szCs w:val="20"/>
        </w:rPr>
        <w:t>Vignesh/Athila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Biometric test data to be common to all </w:t>
      </w:r>
      <w:proofErr w:type="gramStart"/>
      <w:r>
        <w:rPr>
          <w:rFonts w:ascii="Arial" w:eastAsia="Times New Roman" w:hAnsi="Arial" w:cs="Arial"/>
          <w:sz w:val="20"/>
          <w:szCs w:val="20"/>
        </w:rPr>
        <w:t>modules  -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>Jyoti/Gita</w:t>
      </w:r>
    </w:p>
    <w:p w:rsidR="00FA42FA" w:rsidRDefault="00FA42FA" w:rsidP="00FA42FA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:rsidR="00FA42FA" w:rsidRDefault="00FA42FA" w:rsidP="00FA42FA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Discussion points</w:t>
      </w:r>
    </w:p>
    <w:p w:rsidR="00FA42FA" w:rsidRDefault="00FA42FA" w:rsidP="00FA42FA">
      <w:pPr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Demo: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i/>
          <w:iCs/>
          <w:sz w:val="20"/>
          <w:szCs w:val="20"/>
          <w:u w:val="single"/>
        </w:rPr>
      </w:pP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ID Repository:</w:t>
      </w:r>
    </w:p>
    <w:p w:rsidR="00FA42FA" w:rsidRDefault="00FA42FA" w:rsidP="00FA42FA">
      <w:pPr>
        <w:numPr>
          <w:ilvl w:val="2"/>
          <w:numId w:val="3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Discussion on retrieval of a subset of demographic attributes from the stored identity for a country – Recommendation is to add filters for the data requested</w:t>
      </w:r>
    </w:p>
    <w:p w:rsidR="00FA42FA" w:rsidRDefault="00FA42FA" w:rsidP="00FA42FA">
      <w:pPr>
        <w:numPr>
          <w:ilvl w:val="2"/>
          <w:numId w:val="3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Security review required for table structure for ID-Repo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Authentication</w:t>
      </w:r>
      <w:r>
        <w:rPr>
          <w:rFonts w:ascii="Arial" w:eastAsia="Times New Roman" w:hAnsi="Arial" w:cs="Arial"/>
          <w:sz w:val="20"/>
          <w:szCs w:val="20"/>
        </w:rPr>
        <w:t>: Recommendation to have single client which encrypts and encodes and sends Auth Request and decrypts and decodes and shows the response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Known issues: </w:t>
      </w:r>
      <w:r>
        <w:rPr>
          <w:rFonts w:ascii="Arial" w:eastAsia="Times New Roman" w:hAnsi="Arial" w:cs="Arial"/>
          <w:sz w:val="20"/>
          <w:szCs w:val="20"/>
        </w:rPr>
        <w:t>CNIE related pending specifications to send Fingerprints to MOSIP from Morocco will impact storage of the data in ID- Repository therefore will impact ID-Authentication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Testing:</w:t>
      </w:r>
    </w:p>
    <w:p w:rsidR="00FA42FA" w:rsidRDefault="00FA42FA" w:rsidP="00FA42FA">
      <w:pPr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Discussion on Test strategy, Test data and the Automation test process </w:t>
      </w:r>
    </w:p>
    <w:p w:rsidR="00FA42FA" w:rsidRDefault="00FA42FA" w:rsidP="00FA42FA">
      <w:pPr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No of test cases written and/run in each sprint – generated/calculated from scripts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i/>
          <w:iCs/>
          <w:sz w:val="20"/>
          <w:szCs w:val="20"/>
          <w:u w:val="single"/>
        </w:rPr>
      </w:pP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Backlog: </w:t>
      </w:r>
      <w:r>
        <w:rPr>
          <w:rFonts w:ascii="Arial" w:eastAsia="Times New Roman" w:hAnsi="Arial" w:cs="Arial"/>
          <w:sz w:val="20"/>
          <w:szCs w:val="20"/>
        </w:rPr>
        <w:t>Suggestion to pick up user-stories with Device/SDK dependency, and integrate when the devices are available – already on Track</w:t>
      </w:r>
    </w:p>
    <w:p w:rsidR="00FA42FA" w:rsidRDefault="00FA42FA" w:rsidP="00FA42FA">
      <w:pPr>
        <w:ind w:left="1440"/>
        <w:rPr>
          <w:rFonts w:ascii="Arial" w:hAnsi="Arial" w:cs="Arial"/>
          <w:sz w:val="20"/>
          <w:szCs w:val="20"/>
        </w:rPr>
      </w:pPr>
    </w:p>
    <w:p w:rsidR="00FA42FA" w:rsidRDefault="00FA42FA" w:rsidP="00FA42FA">
      <w:pPr>
        <w:numPr>
          <w:ilvl w:val="0"/>
          <w:numId w:val="2"/>
        </w:numPr>
        <w:rPr>
          <w:rFonts w:ascii="Arial" w:eastAsia="Times New Roman" w:hAnsi="Arial" w:cs="Arial"/>
          <w:i/>
          <w:iCs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Generic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Multifactor authentication: </w:t>
      </w:r>
      <w:proofErr w:type="gramStart"/>
      <w:r>
        <w:rPr>
          <w:rFonts w:ascii="Arial" w:eastAsia="Times New Roman" w:hAnsi="Arial" w:cs="Arial"/>
          <w:sz w:val="20"/>
          <w:szCs w:val="20"/>
        </w:rPr>
        <w:t>SI ,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the Network provider and the Service provider for a country will construct the </w:t>
      </w:r>
      <w:proofErr w:type="spellStart"/>
      <w:r>
        <w:rPr>
          <w:rFonts w:ascii="Arial" w:eastAsia="Times New Roman" w:hAnsi="Arial" w:cs="Arial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for multifactor authentication and invoke the </w:t>
      </w:r>
      <w:proofErr w:type="spellStart"/>
      <w:r>
        <w:rPr>
          <w:rFonts w:ascii="Arial" w:eastAsia="Times New Roman" w:hAnsi="Arial" w:cs="Arial"/>
          <w:sz w:val="20"/>
          <w:szCs w:val="20"/>
        </w:rPr>
        <w:t>auth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. If multiple </w:t>
      </w:r>
      <w:proofErr w:type="spellStart"/>
      <w:r>
        <w:rPr>
          <w:rFonts w:ascii="Arial" w:eastAsia="Times New Roman" w:hAnsi="Arial" w:cs="Arial"/>
          <w:sz w:val="20"/>
          <w:szCs w:val="20"/>
        </w:rPr>
        <w:t>auth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parameters are in request, MOSIP to perform an ‘AND’ on the results for each parameter and send consolidated response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Authentication/eKYC policy: policies tied to UA will govern the permissible </w:t>
      </w:r>
      <w:proofErr w:type="spellStart"/>
      <w:r>
        <w:rPr>
          <w:rFonts w:ascii="Arial" w:eastAsia="Times New Roman" w:hAnsi="Arial" w:cs="Arial"/>
          <w:sz w:val="20"/>
          <w:szCs w:val="20"/>
        </w:rPr>
        <w:t>auth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modes and the attributes returned in the e-KYC response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Additional eKYC API if provided, will be a feature specific to </w:t>
      </w:r>
      <w:proofErr w:type="spellStart"/>
      <w:r>
        <w:rPr>
          <w:rFonts w:ascii="Arial" w:eastAsia="Times New Roman" w:hAnsi="Arial" w:cs="Arial"/>
          <w:sz w:val="20"/>
          <w:szCs w:val="20"/>
        </w:rPr>
        <w:t>GoM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and not a platform requirement</w:t>
      </w:r>
    </w:p>
    <w:p w:rsidR="00FA42FA" w:rsidRDefault="00FA42FA" w:rsidP="00FA42FA">
      <w:pPr>
        <w:ind w:left="720"/>
        <w:rPr>
          <w:rFonts w:ascii="Arial" w:hAnsi="Arial" w:cs="Arial"/>
          <w:sz w:val="20"/>
          <w:szCs w:val="20"/>
        </w:rPr>
      </w:pPr>
    </w:p>
    <w:p w:rsidR="00FA42FA" w:rsidRDefault="00FA42FA" w:rsidP="00FA42FA">
      <w:pPr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Technical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Capability to mediate the </w:t>
      </w:r>
      <w:proofErr w:type="spellStart"/>
      <w:r>
        <w:rPr>
          <w:rFonts w:ascii="Arial" w:eastAsia="Times New Roman" w:hAnsi="Arial" w:cs="Arial"/>
          <w:sz w:val="20"/>
          <w:szCs w:val="20"/>
        </w:rPr>
        <w:t>auth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flow between request and response (say to introduce liveliness detection)-  supported in the ID Auth filter layer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Auth API design on Scalability, Availability and Performance – Current design supports these NFR - Recommendation to scale up with respect to these requirements</w:t>
      </w:r>
    </w:p>
    <w:p w:rsidR="00FA42FA" w:rsidRDefault="00FA42FA" w:rsidP="00FA42FA">
      <w:pPr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Component Diagram Illustration of ID Authentication</w:t>
      </w:r>
    </w:p>
    <w:p w:rsidR="00FA42FA" w:rsidRDefault="00FA42FA" w:rsidP="00FA42FA">
      <w:pPr>
        <w:ind w:left="720"/>
        <w:rPr>
          <w:rFonts w:ascii="Arial" w:hAnsi="Arial" w:cs="Arial"/>
          <w:sz w:val="20"/>
          <w:szCs w:val="20"/>
        </w:rPr>
      </w:pP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Regards,</w:t>
      </w:r>
    </w:p>
    <w:p w:rsidR="00FA42FA" w:rsidRDefault="00FA42FA" w:rsidP="00FA42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Hema</w:t>
      </w:r>
    </w:p>
    <w:p w:rsidR="00D214E8" w:rsidRDefault="00D214E8">
      <w:bookmarkStart w:id="0" w:name="_GoBack"/>
      <w:bookmarkEnd w:id="0"/>
    </w:p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2FA" w:rsidRDefault="00FA42FA" w:rsidP="00FA42FA">
      <w:r>
        <w:separator/>
      </w:r>
    </w:p>
  </w:endnote>
  <w:endnote w:type="continuationSeparator" w:id="0">
    <w:p w:rsidR="00FA42FA" w:rsidRDefault="00FA42FA" w:rsidP="00FA4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2FA" w:rsidRDefault="00FA4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2FA" w:rsidRDefault="00FA42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2FA" w:rsidRDefault="00FA4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2FA" w:rsidRDefault="00FA42FA" w:rsidP="00FA42FA">
      <w:r>
        <w:separator/>
      </w:r>
    </w:p>
  </w:footnote>
  <w:footnote w:type="continuationSeparator" w:id="0">
    <w:p w:rsidR="00FA42FA" w:rsidRDefault="00FA42FA" w:rsidP="00FA4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2FA" w:rsidRDefault="00FA4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2FA" w:rsidRDefault="00FA42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2FA" w:rsidRDefault="00FA4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A14B3"/>
    <w:multiLevelType w:val="hybridMultilevel"/>
    <w:tmpl w:val="AA3E8FB6"/>
    <w:lvl w:ilvl="0" w:tplc="396089A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D463B"/>
    <w:multiLevelType w:val="hybridMultilevel"/>
    <w:tmpl w:val="13F0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12F4E"/>
    <w:multiLevelType w:val="hybridMultilevel"/>
    <w:tmpl w:val="1974B8DA"/>
    <w:lvl w:ilvl="0" w:tplc="396089A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FA"/>
    <w:rsid w:val="00D214E8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483CB-094B-4ED1-AB4C-DC47ADF4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2F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2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4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2F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4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1</cp:revision>
  <dcterms:created xsi:type="dcterms:W3CDTF">2019-01-30T11:37:00Z</dcterms:created>
  <dcterms:modified xsi:type="dcterms:W3CDTF">2019-01-30T11:43:00Z</dcterms:modified>
</cp:coreProperties>
</file>