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  <w:bookmarkStart w:id="0" w:name="_Hlk105152141"/>
      <w:bookmarkEnd w:id="0"/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Pr="00CD1756" w:rsidRDefault="00B57107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Модуль ЭТТН</w:t>
      </w:r>
      <w:r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DF1C0F" w:rsidRDefault="00C958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28790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_Toc106028790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3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1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_Toc106028791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4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2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_Toc106028792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5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3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_Toc106028793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7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4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_Toc106028794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9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5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_Toc106028795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10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6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Настройка начальных параметров.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_Toc106028796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12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7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5.1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электронного документооборота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_Toc106028797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12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8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5.2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входящих ТТН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_Toc106028798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14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9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5.3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исходящих ТТН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_Toc106028799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15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0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накладные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_Toc106028800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17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1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ЭТТН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_Toc106028801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22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2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ЭТТН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_Toc106028802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26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3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ЭТТН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_Toc106028803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29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4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Учет прослеживаемых (маркированных) товаров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_Toc106028804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31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5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Приемка прослеживаемых товаров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_Toc106028805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32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6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Перемещение и отпуск прослеживаемых товаров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_Toc106028806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35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7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4.3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документом «Прослеживаемость. Сканирования»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_Toc106028807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37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66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8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III.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_Toc106028808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39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9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ЭЗ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_Toc106028809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42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0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ЭЗ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_Toc106028810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45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1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Ответы на заказ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_Toc106028811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46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2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5.4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ответами на ЭЗ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_Toc106028812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46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3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5.5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ответами на ЭЗ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_Toc106028813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47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4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Уведомления об отгрузке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_Toc106028814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48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5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во входящими уведомлениями об отгрузке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_Toc106028815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48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137C7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6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 w:rsidR="00DF1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уведомлениями об отгрузке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_Toc106028816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49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1" w:name="_Toc106028790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1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Модуль ЭТТН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следующих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РБ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</w:t>
      </w:r>
      <w:r w:rsidR="004672F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менные технологии торговли»</w:t>
      </w:r>
      <w:r w:rsidR="001459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ООО «Электронные документы и накладные»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ЭТТН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учитывать прослеживать,</w:t>
      </w:r>
    </w:p>
    <w:p w:rsidR="000C239A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вести товарный учет в разрезе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идентификационной маркировк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каждой единицы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подтверждать действия ЭЦП.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1DE5" w:rsidRDefault="00A92E3B">
      <w:pPr>
        <w:ind w:left="141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D464B5" wp14:editId="167F643E">
            <wp:extent cx="2736558" cy="2943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952" cy="2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06028791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Кроме того, модуль ЭТТН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06028792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06028793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A0030" w:rsidRDefault="006A0030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09521B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групп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добавлена системная группа «Товары от поставщиков»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В эту группу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добавляются карточки ТМЦ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с новыми штрихкодами при загрузке входящих ЭТТН (если в «Настройках электронного документооборота» установлен параметр «не подставлять товары при загрузке» - при создании складского документа из входящей ЭТТН)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записи, а именно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DA179A" w:rsidRDefault="0009521B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06028794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5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Справочники_электронного_документоо"/>
      <w:bookmarkStart w:id="7" w:name="_Toc106028795"/>
      <w:bookmarkEnd w:id="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7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ЭТТН, относятся:</w:t>
      </w:r>
    </w:p>
    <w:p w:rsidR="00864323" w:rsidRDefault="00864323" w:rsidP="00864323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6432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, содержит список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типовых документов,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нужно осуществлять прослеживаемость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C22B4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(используется только для исходящих и внутренних типовых документов)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Служит для создания макроса подстановки прослеживаемых позиций из документа сканирования в указанный типовой документ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EE4B45" w:rsidRDefault="00864323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Прослеживаемость. Штрихкоды)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оперативный справочник, содержащий все прослеживаемые в данной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учетной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системе </w:t>
      </w:r>
      <w:proofErr w:type="spellStart"/>
      <w:r w:rsidR="00EE4B45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коды. Записи в справочнике создаются:</w:t>
      </w:r>
    </w:p>
    <w:p w:rsidR="00EE4B45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для позиций входящих ЭТТН с заполненным полем «Информация о средстве идентификации»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таких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записях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заполняется поле «Ссылка на ЭТТН»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64323" w:rsidRPr="00864323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вручную (методом сканирования или загрузки из файла) для новых кодов, присвоенных в рамках данной учетной системы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последующего использования в исходящих документах.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входящей ЭТТН 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69BE" w:rsidRPr="00B169BE" w:rsidRDefault="00B112B9" w:rsidP="00B169B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eastAsia="Times New Roman"/>
          <w:shd w:val="clear" w:color="auto" w:fill="FFFFFF"/>
          <w:lang w:val="ru-RU"/>
        </w:rPr>
        <w:br w:type="page"/>
      </w:r>
      <w:bookmarkStart w:id="8" w:name="_Toc392753787"/>
      <w:bookmarkStart w:id="9" w:name="_Toc399774517"/>
      <w:bookmarkStart w:id="10" w:name="_Toc38444568"/>
      <w:bookmarkStart w:id="11" w:name="_Toc106028796"/>
      <w:bookmarkStart w:id="12" w:name="OLE_LINK1"/>
      <w:bookmarkStart w:id="13" w:name="OLE_LINK2"/>
      <w:bookmarkStart w:id="14" w:name="OLE_LINK3"/>
      <w:r w:rsidR="00B169BE" w:rsidRPr="00B169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Настройка начальных параметров.</w:t>
      </w:r>
      <w:bookmarkEnd w:id="8"/>
      <w:bookmarkEnd w:id="9"/>
      <w:bookmarkEnd w:id="10"/>
      <w:bookmarkEnd w:id="11"/>
    </w:p>
    <w:bookmarkEnd w:id="12"/>
    <w:bookmarkEnd w:id="13"/>
    <w:bookmarkEnd w:id="14"/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Перед началом работы необходимо </w:t>
      </w:r>
      <w:r w:rsidR="00776FE9">
        <w:rPr>
          <w:rFonts w:ascii="Calibri" w:eastAsia="Calibri" w:hAnsi="Calibri"/>
          <w:lang w:val="ru-RU"/>
        </w:rPr>
        <w:t>выполнить</w:t>
      </w:r>
      <w:r>
        <w:rPr>
          <w:rFonts w:ascii="Calibri" w:eastAsia="Calibri" w:hAnsi="Calibri"/>
        </w:rPr>
        <w:t xml:space="preserve"> </w:t>
      </w:r>
      <w:r w:rsidR="00A7533E">
        <w:rPr>
          <w:rFonts w:ascii="Calibri" w:eastAsia="Calibri" w:hAnsi="Calibri"/>
          <w:lang w:val="ru-RU"/>
        </w:rPr>
        <w:t xml:space="preserve">настройку </w:t>
      </w:r>
      <w:r w:rsidR="00776FE9">
        <w:rPr>
          <w:rFonts w:ascii="Calibri" w:eastAsia="Calibri" w:hAnsi="Calibri"/>
          <w:lang w:val="ru-RU"/>
        </w:rPr>
        <w:t xml:space="preserve">системных </w:t>
      </w:r>
      <w:r w:rsidR="00A7533E">
        <w:rPr>
          <w:rFonts w:ascii="Calibri" w:eastAsia="Calibri" w:hAnsi="Calibri"/>
          <w:lang w:val="ru-RU"/>
        </w:rPr>
        <w:t xml:space="preserve">параметров </w:t>
      </w:r>
      <w:r w:rsidR="00165630">
        <w:rPr>
          <w:rFonts w:ascii="Calibri" w:eastAsia="Calibri" w:hAnsi="Calibri"/>
          <w:lang w:val="ru-RU"/>
        </w:rPr>
        <w:t>модуля</w:t>
      </w:r>
      <w:r w:rsidR="00A7533E">
        <w:rPr>
          <w:rFonts w:ascii="Calibri" w:eastAsia="Calibri" w:hAnsi="Calibri"/>
          <w:lang w:val="ru-RU"/>
        </w:rPr>
        <w:t xml:space="preserve"> ЭТТН</w:t>
      </w:r>
      <w:r>
        <w:rPr>
          <w:rFonts w:ascii="Calibri" w:eastAsia="Calibri" w:hAnsi="Calibri"/>
        </w:rPr>
        <w:t xml:space="preserve">: </w:t>
      </w:r>
      <w:r w:rsidR="00776FE9">
        <w:rPr>
          <w:rFonts w:ascii="Calibri" w:eastAsia="Calibri" w:hAnsi="Calibri"/>
          <w:lang w:val="ru-RU"/>
        </w:rPr>
        <w:t>заполнить параметры электронного документооборота,</w:t>
      </w:r>
      <w:r w:rsidRPr="00CC5AA6">
        <w:rPr>
          <w:rFonts w:ascii="Calibri" w:eastAsia="Calibri" w:hAnsi="Calibri"/>
        </w:rPr>
        <w:t xml:space="preserve"> </w:t>
      </w:r>
      <w:r w:rsidR="00776FE9">
        <w:rPr>
          <w:rFonts w:ascii="Calibri" w:eastAsia="Calibri" w:hAnsi="Calibri"/>
          <w:lang w:val="ru-RU"/>
        </w:rPr>
        <w:t>указать типовые документы, которые будут обращаться в электронном виде, прописать соответствие реквизитов этих документов реквизитам электронных документов</w:t>
      </w:r>
      <w:r w:rsidRPr="00CC5AA6">
        <w:rPr>
          <w:rFonts w:ascii="Calibri" w:eastAsia="Calibri" w:hAnsi="Calibri"/>
        </w:rPr>
        <w:t xml:space="preserve">. </w:t>
      </w:r>
    </w:p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Настройка </w:t>
      </w:r>
      <w:r w:rsidR="00B825CD">
        <w:rPr>
          <w:rFonts w:ascii="Calibri" w:eastAsia="Calibri" w:hAnsi="Calibri"/>
          <w:lang w:val="ru-RU"/>
        </w:rPr>
        <w:t xml:space="preserve">системных параметров </w:t>
      </w:r>
      <w:r w:rsidRPr="00CC5AA6">
        <w:rPr>
          <w:rFonts w:ascii="Calibri" w:eastAsia="Calibri" w:hAnsi="Calibri"/>
        </w:rPr>
        <w:t xml:space="preserve">производится в разделе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A7533E" w:rsidRPr="00A7533E">
        <w:rPr>
          <w:rFonts w:ascii="Calibri" w:eastAsia="Calibri" w:hAnsi="Calibri"/>
          <w:lang w:val="ru-RU"/>
        </w:rPr>
        <w:t>я</w:t>
      </w:r>
      <w:r>
        <w:rPr>
          <w:rFonts w:ascii="Calibri" w:eastAsia="Calibri" w:hAnsi="Calibri"/>
          <w:b/>
        </w:rPr>
        <w:t xml:space="preserve"> </w:t>
      </w:r>
      <w:r w:rsidR="00A7533E">
        <w:rPr>
          <w:rFonts w:ascii="Calibri" w:eastAsia="Calibri" w:hAnsi="Calibri"/>
          <w:b/>
          <w:lang w:val="ru-RU"/>
        </w:rPr>
        <w:t>ЭТТН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 w:rsidR="00A7533E">
        <w:rPr>
          <w:rFonts w:ascii="Calibri" w:eastAsia="Calibri" w:hAnsi="Calibri"/>
          <w:b/>
          <w:lang w:val="ru-RU"/>
        </w:rPr>
        <w:t>Настройки</w:t>
      </w:r>
      <w:r w:rsidRPr="00CC5AA6">
        <w:rPr>
          <w:rFonts w:ascii="Calibri" w:eastAsia="Calibri" w:hAnsi="Calibri"/>
        </w:rPr>
        <w:t>.</w:t>
      </w:r>
    </w:p>
    <w:p w:rsidR="00A7533E" w:rsidRDefault="00A7533E" w:rsidP="00B169BE">
      <w:pPr>
        <w:spacing w:after="120"/>
        <w:jc w:val="both"/>
        <w:rPr>
          <w:rFonts w:ascii="Calibri" w:eastAsia="Calibri" w:hAnsi="Calibri"/>
        </w:rPr>
      </w:pPr>
    </w:p>
    <w:p w:rsidR="00A7533E" w:rsidRPr="00A7533E" w:rsidRDefault="00A7533E" w:rsidP="00A7533E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5" w:name="_Toc106028797"/>
      <w:r w:rsidRPr="00A753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Настройки электронного документооборота</w:t>
      </w:r>
      <w:bookmarkEnd w:id="15"/>
    </w:p>
    <w:p w:rsidR="00A7533E" w:rsidRPr="00A7533E" w:rsidRDefault="00A7533E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Глобальные настройки </w:t>
      </w:r>
      <w:r w:rsidR="00B825CD">
        <w:rPr>
          <w:rFonts w:ascii="Calibri" w:eastAsia="Calibri" w:hAnsi="Calibri"/>
          <w:lang w:val="ru-RU"/>
        </w:rPr>
        <w:t xml:space="preserve">работы модуля </w:t>
      </w:r>
      <w:r>
        <w:rPr>
          <w:rFonts w:ascii="Calibri" w:eastAsia="Calibri" w:hAnsi="Calibri"/>
          <w:lang w:val="ru-RU"/>
        </w:rPr>
        <w:t>задаются через форму «Настройки электронного документооборота», в Исследователе</w:t>
      </w:r>
      <w:r w:rsidR="004D3A52">
        <w:rPr>
          <w:rFonts w:ascii="Calibri" w:eastAsia="Calibri" w:hAnsi="Calibri"/>
          <w:lang w:val="ru-RU"/>
        </w:rPr>
        <w:t xml:space="preserve"> -</w:t>
      </w:r>
      <w:r>
        <w:rPr>
          <w:rFonts w:ascii="Calibri" w:eastAsia="Calibri" w:hAnsi="Calibri"/>
          <w:lang w:val="ru-RU"/>
        </w:rPr>
        <w:t xml:space="preserve"> </w:t>
      </w:r>
      <w:r>
        <w:rPr>
          <w:rFonts w:ascii="Calibri" w:eastAsia="Calibri" w:hAnsi="Calibri"/>
          <w:b/>
          <w:lang w:val="ru-RU"/>
        </w:rPr>
        <w:t>ЭТТН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Параметры</w:t>
      </w:r>
      <w:r>
        <w:rPr>
          <w:rFonts w:ascii="Calibri" w:eastAsia="Calibri" w:hAnsi="Calibri"/>
          <w:lang w:val="ru-RU"/>
        </w:rPr>
        <w:t>.</w:t>
      </w:r>
    </w:p>
    <w:p w:rsidR="00B169BE" w:rsidRDefault="00A7533E" w:rsidP="00B169BE">
      <w:pPr>
        <w:spacing w:after="120"/>
        <w:jc w:val="both"/>
      </w:pPr>
      <w:r>
        <w:rPr>
          <w:rFonts w:ascii="Calibri" w:eastAsia="Calibri" w:hAnsi="Calibri"/>
          <w:lang w:val="ru-RU"/>
        </w:rPr>
        <w:t>Данная ф</w:t>
      </w:r>
      <w:proofErr w:type="spellStart"/>
      <w:r w:rsidR="00B169BE">
        <w:rPr>
          <w:rFonts w:ascii="Calibri" w:eastAsia="Calibri" w:hAnsi="Calibri"/>
        </w:rPr>
        <w:t>орма</w:t>
      </w:r>
      <w:proofErr w:type="spellEnd"/>
      <w:r w:rsidR="00B169BE">
        <w:rPr>
          <w:rFonts w:ascii="Calibri" w:eastAsia="Calibri" w:hAnsi="Calibri"/>
        </w:rPr>
        <w:t xml:space="preserve"> состоит из нескольких закладок</w:t>
      </w:r>
      <w:r>
        <w:rPr>
          <w:rFonts w:ascii="Calibri" w:eastAsia="Calibri" w:hAnsi="Calibri"/>
          <w:lang w:val="ru-RU"/>
        </w:rPr>
        <w:t xml:space="preserve"> (рис. 8)</w:t>
      </w:r>
      <w:r w:rsidR="00B169BE"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7533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Pr="00137C73" w:rsidRDefault="00137C73" w:rsidP="00B169B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F71A3F7" wp14:editId="249B425A">
            <wp:extent cx="5353050" cy="3124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CD" w:rsidRPr="006A539E" w:rsidRDefault="00B825CD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EBB" w:rsidRDefault="00137C73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Изначально на закладке «Провайдер» указывается </w:t>
      </w:r>
      <w:r w:rsidR="00145975" w:rsidRPr="00702B25">
        <w:rPr>
          <w:rFonts w:ascii="Calibri" w:eastAsia="Calibri" w:hAnsi="Calibri"/>
          <w:lang w:val="ru-RU"/>
        </w:rPr>
        <w:t>EDI</w:t>
      </w:r>
      <w:r w:rsidR="00145975">
        <w:rPr>
          <w:rFonts w:ascii="Calibri" w:eastAsia="Calibri" w:hAnsi="Calibri"/>
          <w:lang w:val="ru-RU"/>
        </w:rPr>
        <w:t>-</w:t>
      </w:r>
      <w:r w:rsidR="00145975">
        <w:rPr>
          <w:rFonts w:ascii="Calibri" w:eastAsia="Calibri" w:hAnsi="Calibri"/>
          <w:lang w:val="ru-RU"/>
        </w:rPr>
        <w:t>провайдер, с которым заключен договор</w:t>
      </w:r>
      <w:r w:rsidR="006A539E">
        <w:rPr>
          <w:rFonts w:ascii="Calibri" w:eastAsia="Calibri" w:hAnsi="Calibri"/>
          <w:lang w:val="ru-RU"/>
        </w:rPr>
        <w:t xml:space="preserve"> на</w:t>
      </w:r>
      <w:r w:rsidR="00145975">
        <w:rPr>
          <w:rFonts w:ascii="Calibri" w:eastAsia="Calibri" w:hAnsi="Calibri"/>
          <w:lang w:val="ru-RU"/>
        </w:rPr>
        <w:t xml:space="preserve"> </w:t>
      </w:r>
      <w:r w:rsidR="006A539E">
        <w:rPr>
          <w:rFonts w:ascii="Calibri" w:eastAsia="Calibri" w:hAnsi="Calibri"/>
          <w:lang w:val="ru-RU"/>
        </w:rPr>
        <w:t>систему электронного обмена данными</w:t>
      </w:r>
      <w:r w:rsidR="00E34EBB" w:rsidRPr="00E34EBB">
        <w:rPr>
          <w:rFonts w:ascii="Calibri" w:eastAsia="Calibri" w:hAnsi="Calibri"/>
          <w:lang w:val="ru-RU"/>
        </w:rPr>
        <w:t xml:space="preserve"> </w:t>
      </w:r>
      <w:r w:rsidR="00E34EBB">
        <w:rPr>
          <w:rFonts w:ascii="Calibri" w:eastAsia="Calibri" w:hAnsi="Calibri"/>
          <w:lang w:val="ru-RU"/>
        </w:rPr>
        <w:t>(</w:t>
      </w:r>
      <w:r w:rsidR="00E34EBB">
        <w:rPr>
          <w:rFonts w:ascii="Calibri" w:eastAsia="Calibri" w:hAnsi="Calibri"/>
          <w:lang w:val="ru-RU"/>
        </w:rPr>
        <w:t>рис. 9).</w:t>
      </w:r>
    </w:p>
    <w:p w:rsidR="00E34EBB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 w:rsidRPr="00A7533E">
        <w:rPr>
          <w:rFonts w:ascii="Calibri" w:eastAsia="Calibri" w:hAnsi="Calibri"/>
          <w:lang w:val="ru-RU"/>
        </w:rPr>
        <w:t>На закладках</w:t>
      </w:r>
      <w:r>
        <w:rPr>
          <w:rFonts w:ascii="Calibri" w:eastAsia="Calibri" w:hAnsi="Calibri"/>
          <w:lang w:val="ru-RU"/>
        </w:rPr>
        <w:t xml:space="preserve"> «ТТН», «Прайс», «Заказ», «Системные сообщения» указываются пути расположения системных файлов обмена соответственно их назначению. Кнопка «Заполнить пути» позволяет произвести автоматическое заполнение этих данных, для этого после нажатия кнопки нужно выбрать папку, в которую будут загружаться файлы обмена,</w:t>
      </w:r>
      <w:r w:rsidRPr="006A539E">
        <w:rPr>
          <w:rFonts w:ascii="Calibri" w:eastAsia="Calibri" w:hAnsi="Calibri"/>
          <w:lang w:val="ru-RU"/>
        </w:rPr>
        <w:t xml:space="preserve"> </w:t>
      </w:r>
      <w:r>
        <w:rPr>
          <w:rFonts w:ascii="Calibri" w:eastAsia="Calibri" w:hAnsi="Calibri"/>
          <w:lang w:val="ru-RU"/>
        </w:rPr>
        <w:t>и подтвердить выбор:</w:t>
      </w:r>
    </w:p>
    <w:p w:rsidR="00E34EBB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- </w:t>
      </w:r>
      <w:r>
        <w:rPr>
          <w:rFonts w:ascii="Calibri" w:eastAsia="Calibri" w:hAnsi="Calibri"/>
          <w:lang w:val="ru-RU"/>
        </w:rPr>
        <w:t>Д</w:t>
      </w:r>
      <w:r>
        <w:rPr>
          <w:rFonts w:ascii="Calibri" w:eastAsia="Calibri" w:hAnsi="Calibri"/>
          <w:lang w:val="ru-RU"/>
        </w:rPr>
        <w:t xml:space="preserve">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«Современные технологии торговли»</w:t>
      </w:r>
      <w:r>
        <w:rPr>
          <w:rFonts w:ascii="Calibri" w:eastAsia="Calibri" w:hAnsi="Calibri"/>
          <w:lang w:val="ru-RU"/>
        </w:rPr>
        <w:t xml:space="preserve"> - папку, в которую установлен </w:t>
      </w:r>
      <w:r w:rsidRPr="00702B25">
        <w:rPr>
          <w:rFonts w:ascii="Calibri" w:eastAsia="Calibri" w:hAnsi="Calibri"/>
          <w:lang w:val="ru-RU"/>
        </w:rPr>
        <w:t>EDI</w:t>
      </w:r>
      <w:r>
        <w:rPr>
          <w:rFonts w:ascii="Calibri" w:eastAsia="Calibri" w:hAnsi="Calibri"/>
          <w:lang w:val="ru-RU"/>
        </w:rPr>
        <w:t>-адаптер</w:t>
      </w:r>
      <w:r>
        <w:rPr>
          <w:rFonts w:ascii="Calibri" w:eastAsia="Calibri" w:hAnsi="Calibri"/>
          <w:lang w:val="ru-RU"/>
        </w:rPr>
        <w:t xml:space="preserve"> провайдера.</w:t>
      </w:r>
    </w:p>
    <w:p w:rsidR="00E34EBB" w:rsidRPr="00A7533E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- </w:t>
      </w:r>
      <w:r>
        <w:rPr>
          <w:rFonts w:ascii="Calibri" w:eastAsia="Calibri" w:hAnsi="Calibri"/>
          <w:lang w:val="ru-RU"/>
        </w:rPr>
        <w:t>Д</w:t>
      </w:r>
      <w:r>
        <w:rPr>
          <w:rFonts w:ascii="Calibri" w:eastAsia="Calibri" w:hAnsi="Calibri"/>
          <w:lang w:val="ru-RU"/>
        </w:rPr>
        <w:t>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ООО «Электронные документы и накладные»</w:t>
      </w:r>
      <w:r>
        <w:rPr>
          <w:rFonts w:ascii="Calibri" w:eastAsia="Calibri" w:hAnsi="Calibri"/>
          <w:lang w:val="ru-RU"/>
        </w:rPr>
        <w:t xml:space="preserve"> - папку, которая указана (будет указана) в настройках </w:t>
      </w:r>
      <w:proofErr w:type="spellStart"/>
      <w:r w:rsidRPr="006A539E">
        <w:rPr>
          <w:rFonts w:ascii="Calibri" w:eastAsia="Calibri" w:hAnsi="Calibri"/>
          <w:lang w:val="ru-RU"/>
        </w:rPr>
        <w:t>Docudrive</w:t>
      </w:r>
      <w:proofErr w:type="spellEnd"/>
      <w:r>
        <w:rPr>
          <w:rFonts w:ascii="Calibri" w:eastAsia="Calibri" w:hAnsi="Calibri"/>
          <w:lang w:val="ru-RU"/>
        </w:rPr>
        <w:t xml:space="preserve"> </w:t>
      </w:r>
      <w:proofErr w:type="spellStart"/>
      <w:r w:rsidRPr="006A539E">
        <w:rPr>
          <w:rFonts w:ascii="Calibri" w:eastAsia="Calibri" w:hAnsi="Calibri"/>
          <w:lang w:val="ru-RU"/>
        </w:rPr>
        <w:t>manager</w:t>
      </w:r>
      <w:proofErr w:type="spellEnd"/>
      <w:r>
        <w:rPr>
          <w:rFonts w:ascii="Calibri" w:eastAsia="Calibri" w:hAnsi="Calibri"/>
          <w:lang w:val="ru-RU"/>
        </w:rPr>
        <w:t xml:space="preserve"> провайдера</w:t>
      </w:r>
      <w:r>
        <w:rPr>
          <w:rFonts w:ascii="Calibri" w:eastAsia="Calibri" w:hAnsi="Calibri"/>
          <w:lang w:val="ru-RU"/>
        </w:rPr>
        <w:t>.</w:t>
      </w:r>
    </w:p>
    <w:p w:rsidR="006A539E" w:rsidRPr="009D07C0" w:rsidRDefault="006A539E" w:rsidP="006A53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A539E" w:rsidRDefault="006A539E" w:rsidP="006A539E">
      <w:pPr>
        <w:spacing w:after="120"/>
        <w:jc w:val="center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26E10449" wp14:editId="1B27BA72">
            <wp:extent cx="5353050" cy="3124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9BE" w:rsidRDefault="00702B25" w:rsidP="00B169BE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 xml:space="preserve">Закладка «Электронный ключ» (рис. </w:t>
      </w:r>
      <w:r w:rsidR="00E34EBB">
        <w:rPr>
          <w:rFonts w:ascii="Calibri" w:eastAsia="Calibri" w:hAnsi="Calibri"/>
          <w:lang w:val="ru-RU"/>
        </w:rPr>
        <w:t>10</w:t>
      </w:r>
      <w:r>
        <w:rPr>
          <w:rFonts w:ascii="Calibri" w:eastAsia="Calibri" w:hAnsi="Calibri"/>
          <w:lang w:val="ru-RU"/>
        </w:rPr>
        <w:t xml:space="preserve">) заполняется </w:t>
      </w:r>
      <w:r w:rsidR="00E34EBB">
        <w:rPr>
          <w:rFonts w:ascii="Calibri" w:eastAsia="Calibri" w:hAnsi="Calibri"/>
          <w:lang w:val="ru-RU"/>
        </w:rPr>
        <w:t xml:space="preserve">только при выборе </w:t>
      </w:r>
      <w:r w:rsidR="00E34EBB" w:rsidRPr="00702B25">
        <w:rPr>
          <w:rFonts w:ascii="Calibri" w:eastAsia="Calibri" w:hAnsi="Calibri"/>
          <w:lang w:val="ru-RU"/>
        </w:rPr>
        <w:t>EDI</w:t>
      </w:r>
      <w:r w:rsidR="00E34EBB">
        <w:rPr>
          <w:rFonts w:ascii="Calibri" w:eastAsia="Calibri" w:hAnsi="Calibri"/>
          <w:lang w:val="ru-RU"/>
        </w:rPr>
        <w:t xml:space="preserve">-провайдера </w:t>
      </w:r>
      <w:r w:rsidR="00E34EBB"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«Современные технологии торговли»</w:t>
      </w:r>
      <w:r w:rsidR="00E34EBB">
        <w:rPr>
          <w:rFonts w:ascii="Calibri" w:eastAsia="Calibri" w:hAnsi="Calibri"/>
          <w:lang w:val="ru-RU"/>
        </w:rPr>
        <w:t xml:space="preserve"> </w:t>
      </w:r>
      <w:r>
        <w:rPr>
          <w:rFonts w:ascii="Calibri" w:eastAsia="Calibri" w:hAnsi="Calibri"/>
          <w:lang w:val="ru-RU"/>
        </w:rPr>
        <w:t>персонально для каждого пользователя</w:t>
      </w:r>
      <w:r w:rsidR="00E34EBB">
        <w:rPr>
          <w:rFonts w:ascii="Calibri" w:eastAsia="Calibri" w:hAnsi="Calibri"/>
          <w:lang w:val="ru-RU"/>
        </w:rPr>
        <w:t xml:space="preserve"> системы </w:t>
      </w:r>
      <w:proofErr w:type="spellStart"/>
      <w:r w:rsidR="00E34EBB">
        <w:rPr>
          <w:rFonts w:ascii="Calibri" w:eastAsia="Calibri" w:hAnsi="Calibri"/>
          <w:lang w:val="ru-RU"/>
        </w:rPr>
        <w:t>Гедымин</w:t>
      </w:r>
      <w:r>
        <w:rPr>
          <w:rFonts w:ascii="Calibri" w:eastAsia="Calibri" w:hAnsi="Calibri"/>
          <w:lang w:val="ru-RU"/>
        </w:rPr>
        <w:t>,</w:t>
      </w:r>
      <w:proofErr w:type="spellEnd"/>
      <w:r>
        <w:rPr>
          <w:rFonts w:ascii="Calibri" w:eastAsia="Calibri" w:hAnsi="Calibri"/>
          <w:lang w:val="ru-RU"/>
        </w:rPr>
        <w:t xml:space="preserve"> участвующего в системе электронного документооборота, данными его электронно-цифрового ключа</w:t>
      </w:r>
      <w:r w:rsidR="00B825CD">
        <w:rPr>
          <w:rFonts w:ascii="Calibri" w:eastAsia="Calibri" w:hAnsi="Calibri"/>
          <w:lang w:val="ru-RU"/>
        </w:rPr>
        <w:t>. При выборе режима «Тестовый режим (без подписи)»</w:t>
      </w:r>
      <w:r>
        <w:rPr>
          <w:rFonts w:ascii="Calibri" w:eastAsia="Calibri" w:hAnsi="Calibri"/>
          <w:lang w:val="ru-RU"/>
        </w:rPr>
        <w:t xml:space="preserve"> </w:t>
      </w:r>
      <w:r w:rsidR="00B825CD">
        <w:rPr>
          <w:rFonts w:ascii="Calibri" w:eastAsia="Calibri" w:hAnsi="Calibri"/>
          <w:lang w:val="ru-RU"/>
        </w:rPr>
        <w:t>заполнение данных электронного ключа не требуется</w:t>
      </w:r>
      <w:r w:rsidR="00B169BE">
        <w:rPr>
          <w:rFonts w:ascii="Calibri" w:eastAsia="Calibri" w:hAnsi="Calibri"/>
        </w:rPr>
        <w:t>.</w:t>
      </w:r>
    </w:p>
    <w:p w:rsidR="00702B25" w:rsidRPr="009D07C0" w:rsidRDefault="00702B25" w:rsidP="00702B2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34EB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02B25" w:rsidRDefault="00702B25" w:rsidP="00702B25">
      <w:pPr>
        <w:spacing w:after="120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6890E92A" wp14:editId="39DDFE40">
            <wp:extent cx="5353050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CD" w:rsidRPr="006A539E" w:rsidRDefault="00B825CD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B25" w:rsidRDefault="00702B25" w:rsidP="00702B25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>Закладка «Другое» (рис. 1</w:t>
      </w:r>
      <w:r w:rsidR="00E34EBB">
        <w:rPr>
          <w:rFonts w:ascii="Calibri" w:eastAsia="Calibri" w:hAnsi="Calibri"/>
          <w:lang w:val="ru-RU"/>
        </w:rPr>
        <w:t>1</w:t>
      </w:r>
      <w:r>
        <w:rPr>
          <w:rFonts w:ascii="Calibri" w:eastAsia="Calibri" w:hAnsi="Calibri"/>
          <w:lang w:val="ru-RU"/>
        </w:rPr>
        <w:t xml:space="preserve">) </w:t>
      </w:r>
      <w:r w:rsidR="00B825CD">
        <w:rPr>
          <w:rFonts w:ascii="Calibri" w:eastAsia="Calibri" w:hAnsi="Calibri"/>
          <w:lang w:val="ru-RU"/>
        </w:rPr>
        <w:t>содержит глобальные параметры формирования электронных документов</w:t>
      </w:r>
      <w:r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34EB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Default="00702B25" w:rsidP="00B169BE">
      <w:pPr>
        <w:jc w:val="center"/>
      </w:pPr>
      <w:r>
        <w:rPr>
          <w:noProof/>
        </w:rPr>
        <w:drawing>
          <wp:inline distT="0" distB="0" distL="0" distR="0" wp14:anchorId="678223E6" wp14:editId="78DDCAC6">
            <wp:extent cx="535305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BE" w:rsidRDefault="00B169BE" w:rsidP="00B169BE">
      <w:pPr>
        <w:jc w:val="center"/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 </w:t>
      </w: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B169BE" w:rsidRPr="00A05CAC" w:rsidRDefault="00B825CD" w:rsidP="00A05CAC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6" w:name="_Toc106028798"/>
      <w:r w:rsidRPr="00A05C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Настройки входящих ТТН</w:t>
      </w:r>
      <w:bookmarkEnd w:id="16"/>
    </w:p>
    <w:p w:rsidR="00B825CD" w:rsidRDefault="00A05CAC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В данном разделе (</w:t>
      </w:r>
      <w:r w:rsidR="00F72A2F">
        <w:rPr>
          <w:rFonts w:ascii="Calibri" w:eastAsia="Calibri" w:hAnsi="Calibri"/>
          <w:lang w:val="ru-RU"/>
        </w:rPr>
        <w:t xml:space="preserve">в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F72A2F">
        <w:rPr>
          <w:rFonts w:ascii="Calibri" w:eastAsia="Calibri" w:hAnsi="Calibri"/>
          <w:lang w:val="ru-RU"/>
        </w:rPr>
        <w:t>е</w:t>
      </w:r>
      <w:r>
        <w:rPr>
          <w:rFonts w:ascii="Calibri" w:eastAsia="Calibri" w:hAnsi="Calibri"/>
          <w:b/>
        </w:rPr>
        <w:t xml:space="preserve"> </w:t>
      </w:r>
      <w:r w:rsidR="005174A4">
        <w:rPr>
          <w:rFonts w:ascii="Calibri" w:eastAsia="Calibri" w:hAnsi="Calibri"/>
          <w:b/>
          <w:lang w:val="ru-RU"/>
        </w:rPr>
        <w:t xml:space="preserve">- </w:t>
      </w:r>
      <w:r>
        <w:rPr>
          <w:rFonts w:ascii="Calibri" w:eastAsia="Calibri" w:hAnsi="Calibri"/>
          <w:b/>
          <w:lang w:val="ru-RU"/>
        </w:rPr>
        <w:t>ЭТТН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Настройки входящих ТТН</w:t>
      </w:r>
      <w:r>
        <w:rPr>
          <w:rFonts w:ascii="Calibri" w:eastAsia="Calibri" w:hAnsi="Calibri"/>
          <w:lang w:val="ru-RU"/>
        </w:rPr>
        <w:t>) указываются все типовые документы, которые будут формироваться на основании входящих ЭТТН</w:t>
      </w:r>
      <w:r w:rsidR="000875FA">
        <w:rPr>
          <w:rFonts w:ascii="Calibri" w:eastAsia="Calibri" w:hAnsi="Calibri"/>
          <w:lang w:val="ru-RU"/>
        </w:rPr>
        <w:t>.</w:t>
      </w:r>
    </w:p>
    <w:p w:rsidR="00F72A2F" w:rsidRDefault="000875FA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Для каждого типового документа нужно заполнить форму </w:t>
      </w:r>
      <w:r w:rsidR="00F72A2F">
        <w:rPr>
          <w:rFonts w:ascii="Calibri" w:eastAsia="Calibri" w:hAnsi="Calibri"/>
          <w:lang w:val="ru-RU"/>
        </w:rPr>
        <w:t xml:space="preserve">соответствия реквизитов данного типового документа реквизитам ЭТТН </w:t>
      </w:r>
      <w:r>
        <w:rPr>
          <w:rFonts w:ascii="Calibri" w:eastAsia="Calibri" w:hAnsi="Calibri"/>
          <w:lang w:val="ru-RU"/>
        </w:rPr>
        <w:t xml:space="preserve">(рис. </w:t>
      </w:r>
      <w:r w:rsidRPr="00F72A2F">
        <w:rPr>
          <w:rFonts w:ascii="Calibri" w:eastAsia="Calibri" w:hAnsi="Calibri"/>
          <w:lang w:val="ru-RU"/>
        </w:rPr>
        <w:t>1</w:t>
      </w:r>
      <w:r w:rsidR="00E912C0">
        <w:rPr>
          <w:rFonts w:ascii="Calibri" w:eastAsia="Calibri" w:hAnsi="Calibri"/>
          <w:lang w:val="ru-RU"/>
        </w:rPr>
        <w:t>2</w:t>
      </w:r>
      <w:r>
        <w:rPr>
          <w:rFonts w:ascii="Calibri" w:eastAsia="Calibri" w:hAnsi="Calibri"/>
          <w:lang w:val="ru-RU"/>
        </w:rPr>
        <w:t>)</w:t>
      </w:r>
      <w:r w:rsidR="00F72A2F">
        <w:rPr>
          <w:rFonts w:ascii="Calibri" w:eastAsia="Calibri" w:hAnsi="Calibri"/>
          <w:lang w:val="ru-RU"/>
        </w:rPr>
        <w:t xml:space="preserve">. </w:t>
      </w:r>
    </w:p>
    <w:p w:rsidR="000875FA" w:rsidRPr="009D07C0" w:rsidRDefault="000875FA" w:rsidP="000875F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825CD" w:rsidRDefault="000875FA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4524AF6F" wp14:editId="753FA37A">
            <wp:extent cx="637222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P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При формировании из входящей ЭТТН связанного документа данные из ЭТТН будут подставлены в </w:t>
      </w:r>
      <w:r w:rsidR="005174A4">
        <w:rPr>
          <w:rFonts w:ascii="Calibri" w:eastAsia="Calibri" w:hAnsi="Calibri"/>
          <w:lang w:val="ru-RU"/>
        </w:rPr>
        <w:t xml:space="preserve">поля </w:t>
      </w:r>
      <w:r>
        <w:rPr>
          <w:rFonts w:ascii="Calibri" w:eastAsia="Calibri" w:hAnsi="Calibri"/>
          <w:lang w:val="ru-RU"/>
        </w:rPr>
        <w:t>документ</w:t>
      </w:r>
      <w:r w:rsidR="005174A4">
        <w:rPr>
          <w:rFonts w:ascii="Calibri" w:eastAsia="Calibri" w:hAnsi="Calibri"/>
          <w:lang w:val="ru-RU"/>
        </w:rPr>
        <w:t>а</w:t>
      </w:r>
      <w:r>
        <w:rPr>
          <w:rFonts w:ascii="Calibri" w:eastAsia="Calibri" w:hAnsi="Calibri"/>
          <w:lang w:val="ru-RU"/>
        </w:rPr>
        <w:t xml:space="preserve"> согласно данным настройкам.</w:t>
      </w:r>
    </w:p>
    <w:p w:rsidR="00F72A2F" w:rsidRDefault="00F72A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B825CD" w:rsidRPr="00A05CAC" w:rsidRDefault="00B825CD" w:rsidP="00A05CAC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7" w:name="_Toc106028799"/>
      <w:r w:rsidRPr="00A05C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Настройки исходящих ТТН</w:t>
      </w:r>
      <w:bookmarkEnd w:id="17"/>
    </w:p>
    <w:p w:rsidR="00F72A2F" w:rsidRDefault="00B169BE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cr/>
      </w:r>
      <w:r w:rsidR="00F72A2F">
        <w:rPr>
          <w:rFonts w:ascii="Calibri" w:eastAsia="Calibri" w:hAnsi="Calibri"/>
          <w:lang w:val="ru-RU"/>
        </w:rPr>
        <w:t xml:space="preserve">В данном разделе (в </w:t>
      </w:r>
      <w:proofErr w:type="spellStart"/>
      <w:r w:rsidR="00F72A2F" w:rsidRPr="00A7533E">
        <w:rPr>
          <w:rFonts w:ascii="Calibri" w:eastAsia="Calibri" w:hAnsi="Calibri"/>
        </w:rPr>
        <w:t>Исследовател</w:t>
      </w:r>
      <w:proofErr w:type="spellEnd"/>
      <w:r w:rsidR="00F72A2F">
        <w:rPr>
          <w:rFonts w:ascii="Calibri" w:eastAsia="Calibri" w:hAnsi="Calibri"/>
          <w:lang w:val="ru-RU"/>
        </w:rPr>
        <w:t>е</w:t>
      </w:r>
      <w:r w:rsidR="005174A4">
        <w:rPr>
          <w:rFonts w:ascii="Calibri" w:eastAsia="Calibri" w:hAnsi="Calibri"/>
          <w:lang w:val="ru-RU"/>
        </w:rPr>
        <w:t xml:space="preserve"> -</w:t>
      </w:r>
      <w:r w:rsidR="00F72A2F">
        <w:rPr>
          <w:rFonts w:ascii="Calibri" w:eastAsia="Calibri" w:hAnsi="Calibri"/>
          <w:b/>
        </w:rPr>
        <w:t xml:space="preserve"> </w:t>
      </w:r>
      <w:r w:rsidR="00F72A2F">
        <w:rPr>
          <w:rFonts w:ascii="Calibri" w:eastAsia="Calibri" w:hAnsi="Calibri"/>
          <w:b/>
          <w:lang w:val="ru-RU"/>
        </w:rPr>
        <w:t>ЭТТН</w:t>
      </w:r>
      <w:r w:rsidR="00F72A2F">
        <w:rPr>
          <w:rFonts w:ascii="Calibri" w:eastAsia="Calibri" w:hAnsi="Calibri"/>
          <w:b/>
        </w:rPr>
        <w:t xml:space="preserve"> /</w:t>
      </w:r>
      <w:r w:rsidR="00F72A2F" w:rsidRPr="00CC5AA6">
        <w:rPr>
          <w:rFonts w:ascii="Calibri" w:eastAsia="Calibri" w:hAnsi="Calibri"/>
          <w:b/>
        </w:rPr>
        <w:t xml:space="preserve"> </w:t>
      </w:r>
      <w:r w:rsidR="00F72A2F">
        <w:rPr>
          <w:rFonts w:ascii="Calibri" w:eastAsia="Calibri" w:hAnsi="Calibri"/>
          <w:b/>
          <w:lang w:val="ru-RU"/>
        </w:rPr>
        <w:t>Настройки / Настройки исходящих ТТН</w:t>
      </w:r>
      <w:r w:rsidR="00F72A2F">
        <w:rPr>
          <w:rFonts w:ascii="Calibri" w:eastAsia="Calibri" w:hAnsi="Calibri"/>
          <w:lang w:val="ru-RU"/>
        </w:rPr>
        <w:t>) указываются все типовые документы, на основании которых будут автоматически формироваться исходящие ЭТТН</w:t>
      </w:r>
      <w:r w:rsidR="004E732C">
        <w:rPr>
          <w:rFonts w:ascii="Calibri" w:eastAsia="Calibri" w:hAnsi="Calibri"/>
          <w:lang w:val="ru-RU"/>
        </w:rPr>
        <w:t xml:space="preserve"> (рис. 1</w:t>
      </w:r>
      <w:r w:rsidR="00E912C0">
        <w:rPr>
          <w:rFonts w:ascii="Calibri" w:eastAsia="Calibri" w:hAnsi="Calibri"/>
          <w:lang w:val="ru-RU"/>
        </w:rPr>
        <w:t>3</w:t>
      </w:r>
      <w:r w:rsidR="004E732C">
        <w:rPr>
          <w:rFonts w:ascii="Calibri" w:eastAsia="Calibri" w:hAnsi="Calibri"/>
          <w:lang w:val="ru-RU"/>
        </w:rPr>
        <w:t>)</w:t>
      </w:r>
      <w:r w:rsidR="00F72A2F">
        <w:rPr>
          <w:rFonts w:ascii="Calibri" w:eastAsia="Calibri" w:hAnsi="Calibri"/>
          <w:lang w:val="ru-RU"/>
        </w:rPr>
        <w:t xml:space="preserve">. </w:t>
      </w:r>
    </w:p>
    <w:p w:rsidR="004E732C" w:rsidRPr="009D07C0" w:rsidRDefault="004E732C" w:rsidP="004E732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2B62CC94" wp14:editId="267BB15A">
            <wp:extent cx="6391910" cy="162750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Для каждого типового документа нужно заполнить форму соответствия реквизитов данного типового документа реквизитам ЭТТН (рис. </w:t>
      </w:r>
      <w:r w:rsidRPr="00F72A2F">
        <w:rPr>
          <w:rFonts w:ascii="Calibri" w:eastAsia="Calibri" w:hAnsi="Calibri"/>
          <w:lang w:val="ru-RU"/>
        </w:rPr>
        <w:t>1</w:t>
      </w:r>
      <w:r w:rsidR="00E912C0">
        <w:rPr>
          <w:rFonts w:ascii="Calibri" w:eastAsia="Calibri" w:hAnsi="Calibri"/>
          <w:lang w:val="ru-RU"/>
        </w:rPr>
        <w:t>4</w:t>
      </w:r>
      <w:r>
        <w:rPr>
          <w:rFonts w:ascii="Calibri" w:eastAsia="Calibri" w:hAnsi="Calibri"/>
          <w:lang w:val="ru-RU"/>
        </w:rPr>
        <w:t xml:space="preserve">). </w:t>
      </w:r>
    </w:p>
    <w:p w:rsidR="00F72A2F" w:rsidRPr="009D07C0" w:rsidRDefault="00F72A2F" w:rsidP="00F72A2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30FA559E" wp14:editId="14E8560C">
            <wp:extent cx="6391910" cy="383159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Если документ является внутренним (получатель и отправитель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 подразделениями внутри одной базы данных</w:t>
      </w:r>
      <w:r>
        <w:rPr>
          <w:rFonts w:ascii="Calibri" w:eastAsia="Calibri" w:hAnsi="Calibri"/>
          <w:lang w:val="ru-RU"/>
        </w:rPr>
        <w:t>), то необходимо установить флаг «Внутренний документ», при этом поле «Клиент» не обязательно для заполнения (рис. 1</w:t>
      </w:r>
      <w:r w:rsidR="00E912C0">
        <w:rPr>
          <w:rFonts w:ascii="Calibri" w:eastAsia="Calibri" w:hAnsi="Calibri"/>
          <w:lang w:val="ru-RU"/>
        </w:rPr>
        <w:t>5</w:t>
      </w:r>
      <w:r>
        <w:rPr>
          <w:rFonts w:ascii="Calibri" w:eastAsia="Calibri" w:hAnsi="Calibri"/>
          <w:lang w:val="ru-RU"/>
        </w:rPr>
        <w:t>).</w:t>
      </w:r>
    </w:p>
    <w:p w:rsidR="004E732C" w:rsidRPr="009D07C0" w:rsidRDefault="004E732C" w:rsidP="004E732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156C40D1" wp14:editId="3255A89B">
            <wp:extent cx="6391910" cy="383159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C63F66" w:rsidRPr="00F72A2F" w:rsidRDefault="00C63F66" w:rsidP="00C63F66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При формировании исходящей ЭТТН из документа в </w:t>
      </w:r>
      <w:r w:rsidR="005174A4">
        <w:rPr>
          <w:rFonts w:ascii="Calibri" w:eastAsia="Calibri" w:hAnsi="Calibri"/>
          <w:lang w:val="ru-RU"/>
        </w:rPr>
        <w:t xml:space="preserve">поля </w:t>
      </w:r>
      <w:r>
        <w:rPr>
          <w:rFonts w:ascii="Calibri" w:eastAsia="Calibri" w:hAnsi="Calibri"/>
          <w:lang w:val="ru-RU"/>
        </w:rPr>
        <w:t>ЭТТН</w:t>
      </w:r>
      <w:r w:rsidR="00F517CC">
        <w:rPr>
          <w:rFonts w:ascii="Calibri" w:eastAsia="Calibri" w:hAnsi="Calibri"/>
          <w:lang w:val="ru-RU"/>
        </w:rPr>
        <w:t xml:space="preserve"> будут подставлены</w:t>
      </w:r>
      <w:r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 xml:space="preserve">данные </w:t>
      </w:r>
      <w:r>
        <w:rPr>
          <w:rFonts w:ascii="Calibri" w:eastAsia="Calibri" w:hAnsi="Calibri"/>
          <w:lang w:val="ru-RU"/>
        </w:rPr>
        <w:t>согласно настройкам</w:t>
      </w:r>
      <w:r w:rsidR="00F517CC">
        <w:rPr>
          <w:rFonts w:ascii="Calibri" w:eastAsia="Calibri" w:hAnsi="Calibri"/>
          <w:lang w:val="ru-RU"/>
        </w:rPr>
        <w:t xml:space="preserve"> для данного типового документа</w:t>
      </w:r>
      <w:r>
        <w:rPr>
          <w:rFonts w:ascii="Calibri" w:eastAsia="Calibri" w:hAnsi="Calibri"/>
          <w:lang w:val="ru-RU"/>
        </w:rPr>
        <w:t>.</w:t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После сохранения настроек исходящей ТТН </w:t>
      </w:r>
      <w:r w:rsidR="00C63F66">
        <w:rPr>
          <w:rFonts w:ascii="Calibri" w:eastAsia="Calibri" w:hAnsi="Calibri"/>
          <w:lang w:val="ru-RU"/>
        </w:rPr>
        <w:t xml:space="preserve">для </w:t>
      </w:r>
      <w:r w:rsidR="00F517CC">
        <w:rPr>
          <w:rFonts w:ascii="Calibri" w:eastAsia="Calibri" w:hAnsi="Calibri"/>
          <w:lang w:val="ru-RU"/>
        </w:rPr>
        <w:t xml:space="preserve">данного </w:t>
      </w:r>
      <w:r w:rsidR="00C63F66">
        <w:rPr>
          <w:rFonts w:ascii="Calibri" w:eastAsia="Calibri" w:hAnsi="Calibri"/>
          <w:lang w:val="ru-RU"/>
        </w:rPr>
        <w:t xml:space="preserve">типового документа </w:t>
      </w:r>
      <w:r>
        <w:rPr>
          <w:rFonts w:ascii="Calibri" w:eastAsia="Calibri" w:hAnsi="Calibri"/>
          <w:lang w:val="ru-RU"/>
        </w:rPr>
        <w:t>необходимо выполнить следующие команды, которые вызываются нажатием на одноименные кнопки (рис. 1</w:t>
      </w:r>
      <w:r w:rsidR="006F540A">
        <w:rPr>
          <w:rFonts w:ascii="Calibri" w:eastAsia="Calibri" w:hAnsi="Calibri"/>
          <w:lang w:val="ru-RU"/>
        </w:rPr>
        <w:t>3</w:t>
      </w:r>
      <w:bookmarkStart w:id="18" w:name="_GoBack"/>
      <w:bookmarkEnd w:id="18"/>
      <w:r>
        <w:rPr>
          <w:rFonts w:ascii="Calibri" w:eastAsia="Calibri" w:hAnsi="Calibri"/>
          <w:lang w:val="ru-RU"/>
        </w:rPr>
        <w:t>):</w:t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«</w:t>
      </w:r>
      <w:r w:rsidRPr="00CD442F">
        <w:rPr>
          <w:rFonts w:ascii="Calibri" w:eastAsia="Calibri" w:hAnsi="Calibri"/>
          <w:b/>
          <w:lang w:val="ru-RU"/>
        </w:rPr>
        <w:t>Создать макрос</w:t>
      </w:r>
      <w:r>
        <w:rPr>
          <w:rFonts w:ascii="Calibri" w:eastAsia="Calibri" w:hAnsi="Calibri"/>
          <w:lang w:val="ru-RU"/>
        </w:rPr>
        <w:t xml:space="preserve">» - функция автоматически сформирует макросы </w:t>
      </w:r>
      <w:r w:rsidR="00CD442F">
        <w:rPr>
          <w:rFonts w:ascii="Calibri" w:eastAsia="Calibri" w:hAnsi="Calibri"/>
          <w:lang w:val="ru-RU"/>
        </w:rPr>
        <w:t xml:space="preserve">управления </w:t>
      </w:r>
      <w:r w:rsidR="00C63F66">
        <w:rPr>
          <w:rFonts w:ascii="Calibri" w:eastAsia="Calibri" w:hAnsi="Calibri"/>
          <w:lang w:val="ru-RU"/>
        </w:rPr>
        <w:t>действиями</w:t>
      </w:r>
      <w:r w:rsidR="00CD442F"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>над</w:t>
      </w:r>
      <w:r>
        <w:rPr>
          <w:rFonts w:ascii="Calibri" w:eastAsia="Calibri" w:hAnsi="Calibri"/>
          <w:lang w:val="ru-RU"/>
        </w:rPr>
        <w:t xml:space="preserve"> исходящей ЭТТН</w:t>
      </w:r>
      <w:r w:rsidR="00C63F66">
        <w:rPr>
          <w:rFonts w:ascii="Calibri" w:eastAsia="Calibri" w:hAnsi="Calibri"/>
          <w:lang w:val="ru-RU"/>
        </w:rPr>
        <w:t>, связанной с документом (создание, отмена и т.п.)</w:t>
      </w:r>
      <w:r w:rsidR="00CD442F">
        <w:rPr>
          <w:rFonts w:ascii="Calibri" w:eastAsia="Calibri" w:hAnsi="Calibri"/>
          <w:lang w:val="ru-RU"/>
        </w:rPr>
        <w:t>, которые будут доступны в перечне</w:t>
      </w:r>
      <w:r w:rsidR="005174A4">
        <w:rPr>
          <w:rFonts w:ascii="Calibri" w:eastAsia="Calibri" w:hAnsi="Calibri"/>
          <w:lang w:val="ru-RU"/>
        </w:rPr>
        <w:t xml:space="preserve"> его</w:t>
      </w:r>
      <w:r w:rsidR="00CD442F">
        <w:rPr>
          <w:rFonts w:ascii="Calibri" w:eastAsia="Calibri" w:hAnsi="Calibri"/>
          <w:lang w:val="ru-RU"/>
        </w:rPr>
        <w:t xml:space="preserve"> макросов и событий (кнопка </w:t>
      </w:r>
      <w:r w:rsidR="00CD442F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96B9728" wp14:editId="3F92A4C3">
            <wp:extent cx="259080" cy="259080"/>
            <wp:effectExtent l="0" t="0" r="0" b="0"/>
            <wp:docPr id="37" name="Рисунок 37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42F">
        <w:rPr>
          <w:rFonts w:ascii="Calibri" w:eastAsia="Calibri" w:hAnsi="Calibri"/>
          <w:lang w:val="ru-RU"/>
        </w:rPr>
        <w:t xml:space="preserve"> на форме соответствующего типового документа).</w:t>
      </w:r>
    </w:p>
    <w:p w:rsidR="00CD442F" w:rsidRDefault="00CD44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«</w:t>
      </w:r>
      <w:r w:rsidRPr="00C63F66">
        <w:rPr>
          <w:rFonts w:ascii="Calibri" w:eastAsia="Calibri" w:hAnsi="Calibri"/>
          <w:b/>
          <w:lang w:val="ru-RU"/>
        </w:rPr>
        <w:t>Создать поля</w:t>
      </w:r>
      <w:r>
        <w:rPr>
          <w:rFonts w:ascii="Calibri" w:eastAsia="Calibri" w:hAnsi="Calibri"/>
          <w:lang w:val="ru-RU"/>
        </w:rPr>
        <w:t xml:space="preserve">» - </w:t>
      </w:r>
      <w:r w:rsidR="00C63F66">
        <w:rPr>
          <w:rFonts w:ascii="Calibri" w:eastAsia="Calibri" w:hAnsi="Calibri"/>
          <w:lang w:val="ru-RU"/>
        </w:rPr>
        <w:t>функция автоматически добавит поля «</w:t>
      </w:r>
      <w:proofErr w:type="spellStart"/>
      <w:r w:rsidR="00C63F66">
        <w:rPr>
          <w:rFonts w:ascii="Calibri" w:eastAsia="Calibri" w:hAnsi="Calibri"/>
          <w:lang w:val="ru-RU"/>
        </w:rPr>
        <w:t>ЭТТН.Описание</w:t>
      </w:r>
      <w:proofErr w:type="spellEnd"/>
      <w:r w:rsidR="00C63F66">
        <w:rPr>
          <w:rFonts w:ascii="Calibri" w:eastAsia="Calibri" w:hAnsi="Calibri"/>
          <w:lang w:val="ru-RU"/>
        </w:rPr>
        <w:t>» и «</w:t>
      </w:r>
      <w:proofErr w:type="spellStart"/>
      <w:r w:rsidR="00C63F66">
        <w:rPr>
          <w:rFonts w:ascii="Calibri" w:eastAsia="Calibri" w:hAnsi="Calibri"/>
          <w:lang w:val="ru-RU"/>
        </w:rPr>
        <w:t>ЭТТН.Статус</w:t>
      </w:r>
      <w:proofErr w:type="spellEnd"/>
      <w:r w:rsidR="00C63F66">
        <w:rPr>
          <w:rFonts w:ascii="Calibri" w:eastAsia="Calibri" w:hAnsi="Calibri"/>
          <w:lang w:val="ru-RU"/>
        </w:rPr>
        <w:t>» для возможности отображения в гриде формы типового документа</w:t>
      </w:r>
      <w:r w:rsidR="00F517CC">
        <w:rPr>
          <w:rFonts w:ascii="Calibri" w:eastAsia="Calibri" w:hAnsi="Calibri"/>
          <w:lang w:val="ru-RU"/>
        </w:rPr>
        <w:t>.</w:t>
      </w:r>
      <w:r w:rsidR="00C63F66"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 xml:space="preserve">В данных полях будет отображаться текущая </w:t>
      </w:r>
      <w:r w:rsidR="00C63F66">
        <w:rPr>
          <w:rFonts w:ascii="Calibri" w:eastAsia="Calibri" w:hAnsi="Calibri"/>
          <w:lang w:val="ru-RU"/>
        </w:rPr>
        <w:t>и</w:t>
      </w:r>
      <w:r w:rsidR="00F517CC">
        <w:rPr>
          <w:rFonts w:ascii="Calibri" w:eastAsia="Calibri" w:hAnsi="Calibri"/>
          <w:lang w:val="ru-RU"/>
        </w:rPr>
        <w:t>н</w:t>
      </w:r>
      <w:r w:rsidR="00C63F66">
        <w:rPr>
          <w:rFonts w:ascii="Calibri" w:eastAsia="Calibri" w:hAnsi="Calibri"/>
          <w:lang w:val="ru-RU"/>
        </w:rPr>
        <w:t>формаци</w:t>
      </w:r>
      <w:r w:rsidR="00F517CC">
        <w:rPr>
          <w:rFonts w:ascii="Calibri" w:eastAsia="Calibri" w:hAnsi="Calibri"/>
          <w:lang w:val="ru-RU"/>
        </w:rPr>
        <w:t>я</w:t>
      </w:r>
      <w:r w:rsidR="00C63F66">
        <w:rPr>
          <w:rFonts w:ascii="Calibri" w:eastAsia="Calibri" w:hAnsi="Calibri"/>
          <w:lang w:val="ru-RU"/>
        </w:rPr>
        <w:t xml:space="preserve"> о связанной с </w:t>
      </w:r>
      <w:r w:rsidR="00F517CC">
        <w:rPr>
          <w:rFonts w:ascii="Calibri" w:eastAsia="Calibri" w:hAnsi="Calibri"/>
          <w:lang w:val="ru-RU"/>
        </w:rPr>
        <w:t>документом</w:t>
      </w:r>
      <w:r w:rsidR="00C63F66">
        <w:rPr>
          <w:rFonts w:ascii="Calibri" w:eastAsia="Calibri" w:hAnsi="Calibri"/>
          <w:lang w:val="ru-RU"/>
        </w:rPr>
        <w:t xml:space="preserve"> ЭТТН.</w:t>
      </w:r>
    </w:p>
    <w:p w:rsidR="00B169BE" w:rsidRPr="00B825CD" w:rsidRDefault="00B169BE" w:rsidP="00B169BE">
      <w:pPr>
        <w:pStyle w:val="a9"/>
        <w:spacing w:after="100" w:afterAutospacing="1"/>
        <w:ind w:left="0" w:firstLine="284"/>
        <w:contextualSpacing w:val="0"/>
        <w:jc w:val="both"/>
        <w:rPr>
          <w:lang w:val="ru-RU"/>
        </w:rPr>
      </w:pPr>
    </w:p>
    <w:p w:rsidR="00533FAA" w:rsidRPr="00B169BE" w:rsidRDefault="00533FAA">
      <w:pPr>
        <w:rPr>
          <w:rFonts w:eastAsia="Times New Roman"/>
          <w:shd w:val="clear" w:color="auto" w:fill="FFFFFF"/>
        </w:rPr>
      </w:pPr>
    </w:p>
    <w:p w:rsidR="00F72A2F" w:rsidRDefault="00F72A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158C7" w:rsidRPr="008158C7" w:rsidRDefault="008158C7" w:rsidP="006A2056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9" w:name="_Toc106028800"/>
      <w:r w:rsidRPr="00815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накладные</w:t>
      </w:r>
      <w:bookmarkEnd w:id="19"/>
    </w:p>
    <w:p w:rsidR="008158C7" w:rsidRPr="006E73F0" w:rsidRDefault="008158C7" w:rsidP="008158C7"/>
    <w:p w:rsidR="00A842BC" w:rsidRDefault="008158C7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накладными (далее - ЭТТН) предназначен блок </w:t>
      </w:r>
      <w:proofErr w:type="gramStart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01.Электронные</w:t>
      </w:r>
      <w:proofErr w:type="gramEnd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накладные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842BC" w:rsidRPr="00C82BC2" w:rsidRDefault="00A842BC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ЭТТН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, как входящие, так и исходящие, доступны для просмотра единым списком (рис.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6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6C5BC2"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 w:rsid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накладные. /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либо </w:t>
      </w:r>
      <w:r w:rsidR="006F0DC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вручную 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по нажатии кнопки «Загрузить все файлы», расположенной на форме.</w:t>
      </w:r>
    </w:p>
    <w:p w:rsidR="00F517CC" w:rsidRPr="009D07C0" w:rsidRDefault="00F517CC" w:rsidP="00F517C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82BC2" w:rsidRPr="00C37EA5" w:rsidRDefault="00C37EA5" w:rsidP="008158C7">
      <w:pPr>
        <w:rPr>
          <w:lang w:val="ru-RU"/>
        </w:rPr>
      </w:pPr>
      <w:r>
        <w:rPr>
          <w:noProof/>
        </w:rPr>
        <w:drawing>
          <wp:inline distT="0" distB="0" distL="0" distR="0" wp14:anchorId="08087669" wp14:editId="44B7284C">
            <wp:extent cx="6391910" cy="365379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7" w:rsidRDefault="008158C7" w:rsidP="008158C7">
      <w:pPr>
        <w:rPr>
          <w:lang w:val="ru-RU"/>
        </w:rPr>
      </w:pPr>
    </w:p>
    <w:p w:rsidR="00160EFC" w:rsidRDefault="00AF5709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</w:t>
      </w:r>
      <w:r w:rsidR="00160E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стандартными кнопками расположены кнопки вызова команд для обработки ЭТТН: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ЭТТН.</w:t>
      </w:r>
    </w:p>
    <w:p w:rsidR="00AF5709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Сформировать приход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автоматически создает складской приходный документ на основании выделенной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доступна только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для вх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одящих ЭТТН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отправлено подтверждение или уведомление</w:t>
      </w:r>
      <w:r w:rsidR="002D18BA" w:rsidRP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Отменить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формирует и отправляет на портал уведомление грузоотправителю о необходимости отмены выделенной ЭТТН 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 об изменении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уведомление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о расхождениях, выявленных между составом выделенной ЭТТН и принятым по ней товаром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Подтверждение грузоотправителю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ответ грузоотправителю об успешной приемке товара согласно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Панель фильтрации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расположенная ниже,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горячие кнопки, позволяющие ограничить список ЭТТН согласно наиболее часто используемым условиям: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Ошибки/предупреждения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с портала были переданы сообщения об ошибках, т.е. ЭТТН, которые ожидают от пользователя выполнения дальнейших действий для успешного завершения, а именно: анализа ошибки, внесения соответствующих корректировок и повторения действия, не принятого порталом.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 в работе,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т.е. ЭТТН, 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отправлены / получены уведомления и ожидается ответ.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proofErr w:type="spellStart"/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Неотвеченные</w:t>
      </w:r>
      <w:proofErr w:type="spellEnd"/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отображает ЭТТН, обработка которых по какой-то причине не завершена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, т.е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которым не было ответов или уведомлений, в том числе из-за</w:t>
      </w:r>
      <w:r w:rsidR="00513F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ошибок.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Обработанные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 отображает ЭТТН, обработка которых успешно завешена.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Скрытые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ЭТТН, помеченные, как Скрытые.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накладных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данными 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 w:rsidR="00D76E0F"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ЭТТН, ограниченны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выбранным фильтром.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фильтрации можно воспользоваться как фильтром, выбранным из списка фильтров, привязанных к стандартному компоненту фильтрации, так и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одним из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х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фильтро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в, который можно вызвать, нажав на соответствующую 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горячую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кнопку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панели фильтрации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являются: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документа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модификации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поставщик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C8463B" w:rsidRDefault="00C8463B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</w:t>
      </w:r>
      <w:r w:rsidR="00C8463B">
        <w:rPr>
          <w:rFonts w:ascii="Calibri" w:eastAsia="Calibri" w:hAnsi="Calibri" w:cs="Times New Roman"/>
          <w:sz w:val="24"/>
          <w:szCs w:val="24"/>
          <w:lang w:val="ru-RU" w:eastAsia="en-US"/>
        </w:rPr>
        <w:t>табличной части формы просмотра отображается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состав выделенного документа (для входящей ЭТТН). 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Правая нижняя часть состоит из нескольких закладок, каждая из которых содержит соответствующую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служебную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информацию по выделенному документу,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отражающую набор системных действий над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76E0F" w:rsidRDefault="00D76E0F" w:rsidP="00AC7099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Расположенные в хронологическом порядке сообщения, 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принятые от провайдера (отправленные провайдеру), 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на основании которых формировалась и изменялась данная ЭТТН.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Каждое сообщение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утвержденный 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>набор полей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информацией из файла обмена, которую можно просмотреть, открыв соответствующее сообщение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режиме просмотра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AC7099" w:rsidRDefault="00AC7099" w:rsidP="008F7766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1FFAD67" wp14:editId="03F27047">
            <wp:extent cx="4627204" cy="260096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520" cy="26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AC7099" w:rsidRDefault="00C91074" w:rsidP="00AC709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Pr="00C91074" w:rsidRDefault="00D76E0F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>Г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едымине</w:t>
      </w:r>
      <w:proofErr w:type="spellEnd"/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в разрезе дат и времени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К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аждое действие можно открыть для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более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подробной информации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нему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(рис.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1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074" w:rsidRDefault="00C91074" w:rsidP="008F7766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096AC88" wp14:editId="18F4E4B3">
            <wp:extent cx="3895725" cy="26970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0868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История.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Связанный док-т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Ссылка на документ в </w:t>
      </w:r>
      <w:proofErr w:type="spellStart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связанный с данной ЭТТН.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Создается автоматически: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из него ЭТТН,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при выполнении команды «Сформировать приход»,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выполняемой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при нажатии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одноименной кнопк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Связанный документ можно открыть для просмотра и редактирования.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>Ссылка на документ при необходимости может быть создана вручную с помощью стандартного механизма добавления документа.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(актуально для входящих ЭТТН)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73068" w:rsidRDefault="00573068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 верхней и нижней частями формы расположена панель инструментов, содержащая стандарт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ный набор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ок для работы с позициями документа и дополнительные кнопки</w:t>
      </w:r>
      <w:r w:rsidR="00D80E72">
        <w:rPr>
          <w:rFonts w:ascii="Calibri" w:eastAsia="Calibri" w:hAnsi="Calibri" w:cs="Times New Roman"/>
          <w:sz w:val="24"/>
          <w:szCs w:val="24"/>
          <w:lang w:val="ru-RU" w:eastAsia="en-US"/>
        </w:rPr>
        <w:t>, в том числе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работы с прослеживаемыми (маркированными) товарами</w:t>
      </w:r>
      <w:r w:rsidR="00D80E72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D80E72" w:rsidRDefault="00D80E72" w:rsidP="00D80E7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создает и открывает для редактирования документ «Прослеживаемость. Сканирования» со ссылкой на данную ЭТТН для осуществления приемки товара путем считывания с товара средств идентификации с помощью сканера (доступна только для входящих ЭТТН).</w:t>
      </w:r>
    </w:p>
    <w:p w:rsidR="00D80E72" w:rsidRDefault="00D80E72" w:rsidP="00D80E7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Сравнить (прослеживаемость)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осуществляет </w:t>
      </w:r>
      <w:r w:rsidR="008D2F0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попозиционное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сравнение выделенной ЭТТН и связанного с ней документа «Прослеживаемость. Сканирования» (доступна только для входящих ЭТТН).</w:t>
      </w:r>
    </w:p>
    <w:p w:rsidR="00D80E72" w:rsidRDefault="00D80E72" w:rsidP="00D80E7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Выбрать предыдущую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8D2F07">
        <w:rPr>
          <w:rFonts w:ascii="Calibri" w:eastAsia="Calibri" w:hAnsi="Calibri" w:cs="Times New Roman"/>
          <w:sz w:val="24"/>
          <w:szCs w:val="24"/>
          <w:lang w:val="ru-RU" w:eastAsia="en-US"/>
        </w:rPr>
        <w:t>предоставляет возможность связать новую ЭТТН, пришедшую взамен отмененной, с отмененной ЭТТН в случае, если не произошло автоматическое связывание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(доступна только для входящих ЭТТН).</w:t>
      </w:r>
    </w:p>
    <w:p w:rsidR="008513F4" w:rsidRDefault="008513F4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Выделенную ЭТТН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открыть в режиме просмотра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для получения более подробной информации, в том числе по дополнительным реквизитам ЭТТН, а также получения справки по этапам работы с документом данного типа. </w:t>
      </w:r>
    </w:p>
    <w:p w:rsidR="00EA69DC" w:rsidRPr="009D07C0" w:rsidRDefault="00EA69DC" w:rsidP="00EA69D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69DC" w:rsidRDefault="00EA69D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FBC2E77" wp14:editId="1A8166FB">
            <wp:extent cx="6391910" cy="366014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C" w:rsidRDefault="008640E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Pr="00B96137" w:rsidRDefault="00B96137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печати информации по ЭТТН 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реестра установленного образца можно воспользоваться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одним из шаблонов печати, 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список 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которы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х открывается при нажатии на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значок принтера, расположенный на панели инструментов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формы электронных накладных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6137" w:rsidRPr="00B96137" w:rsidRDefault="00B96137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A2388B" w:rsidRDefault="00A2388B">
      <w:pPr>
        <w:rPr>
          <w:lang w:val="ru-RU"/>
        </w:rPr>
      </w:pPr>
      <w:r>
        <w:rPr>
          <w:lang w:val="ru-RU"/>
        </w:rPr>
        <w:br w:type="page"/>
      </w:r>
    </w:p>
    <w:p w:rsidR="008158C7" w:rsidRPr="00A2388B" w:rsidRDefault="008158C7" w:rsidP="006A205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0" w:name="_Toc106028801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</w:t>
      </w:r>
      <w:r w:rsidR="008640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о</w:t>
      </w:r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 xml:space="preserve"> входящими ЭТТН</w:t>
      </w:r>
      <w:bookmarkEnd w:id="20"/>
    </w:p>
    <w:p w:rsidR="008158C7" w:rsidRPr="006E73F0" w:rsidRDefault="008158C7" w:rsidP="008158C7"/>
    <w:p w:rsidR="008158C7" w:rsidRDefault="00B50A0F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="008158C7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01.Электронные накладные / 1.Входящие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ЭТТН отфильтрованы по признаку «Входящая».</w:t>
      </w:r>
      <w:r w:rsidR="008158C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455B3" w:rsidRDefault="00A455B3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не настроена автоматическая загрузка ЭТТН, то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обновления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входящим ЭТТН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>в ручном режиме используется кнопка «Загрузить ЭТТН и сообщения», расположенная на форме.</w:t>
      </w:r>
    </w:p>
    <w:p w:rsidR="008834FB" w:rsidRDefault="008834FB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Вновь п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оступившие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входящие ЭТТН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не производились никакие ответные действия, будут иметь текущий статус «Загружена грузополучателем».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дальнейшие действия с новыми входящими ЭТТН производятся после поступления и приемки товара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Проверка товара по составу, количеству и соответствию идентификационной маркировке может производиться визуально либо с использованием специального оборудования (сканеры, терминалы сбора данных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- ТСД)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00F38" w:rsidRDefault="00702389" w:rsidP="00D00F3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при приемке товара используется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специальное оборудование (ТСД или сканер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предварительно настроенный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режим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работ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ы с </w:t>
      </w:r>
      <w:proofErr w:type="spellStart"/>
      <w:r w:rsidR="00215B96" w:rsidRPr="00215B96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кодами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обработка отсканированных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проверки соответствия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производится с помощью документа «Прослеживаемость. Сканирования»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0EC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8640EC" w:rsidRPr="00E22228">
        <w:rPr>
          <w:rFonts w:ascii="Calibri" w:eastAsia="Calibri" w:hAnsi="Calibri"/>
          <w:sz w:val="24"/>
          <w:szCs w:val="24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Следует учесть, что использование ТСД возможно только при наличии в </w:t>
      </w:r>
      <w:proofErr w:type="spellStart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«Мобильный ТСД».</w:t>
      </w:r>
    </w:p>
    <w:p w:rsidR="006A513E" w:rsidRDefault="006A513E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осуществления приемки товара по количеству и качеству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зависимости от результатов приемки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над входящей ЭТТН выполняются следующие действия:</w:t>
      </w:r>
    </w:p>
    <w:p w:rsidR="008640EC" w:rsidRDefault="006A513E" w:rsidP="006A513E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принят в полном объеме без необходимости составления акта расхождения, то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нужно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отправить подтверждение грузоотправителю. Данное действие выполняется при нажатии на кнопку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«Подтверждение грузоотправителю»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</w:t>
      </w:r>
      <w:r w:rsidR="00DB3F40"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о для указания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ФИО сотрудника, который принимает и подписывает ЭТТН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20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8640EC" w:rsidRPr="009D07C0" w:rsidRDefault="008640EC" w:rsidP="008640E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8640EC" w:rsidRDefault="008640EC" w:rsidP="008640EC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D9D34CE" wp14:editId="681CA196">
            <wp:extent cx="3810000" cy="847725"/>
            <wp:effectExtent l="0" t="0" r="0" b="952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3E" w:rsidRDefault="002373C0" w:rsidP="008640EC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выбора ФИО из справочника сотрудников и подтверждения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выбора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отправка подтверждения с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>подписание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входящей ЭТТН электронно-цифровой подписью, настроенной для пользователя, осуществляющего подписание.</w:t>
      </w:r>
    </w:p>
    <w:p w:rsidR="00051585" w:rsidRDefault="00051585" w:rsidP="009D31FA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Если при приемке товара выявлены расхождения с ЭТТН, то необходимо уведомить об этом грузоотправителя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>, отправив ему уведомление</w:t>
      </w: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Это можно сделать одним из способов: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расхождение по количеству, то необходимо открыть ЭТТН на редактирование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 поле «Принятое количество»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соответствующ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их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внести реальное количество товара, выявленное при приемке. После сохранения изменений сформируется уведомление с автоматически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созданным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сообщения.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любое несоответствие между данными, указанными в ЭТТН, и поступившим товаром, которое не позволяет подписать ЭТТН, то грузоотправителю отправляется текстовое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с комментариями. Для этого необходимо нажать на кнопку «Уведомление об изменении», после чего в открывшемся окне ввести сообщение, содержащее сведения о выявленных несоответствиях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46A93" w:rsidRPr="009D07C0" w:rsidRDefault="00D46A93" w:rsidP="00D46A9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46A93" w:rsidRDefault="00D46A93" w:rsidP="00D46A93">
      <w:pPr>
        <w:spacing w:after="120"/>
        <w:ind w:left="851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38C2EAB" wp14:editId="33E70A1F">
            <wp:extent cx="3771900" cy="1885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35" w:rsidRDefault="00977C35" w:rsidP="00CA3C65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Оба этих действия сообщают о невозможности подписания данной ЭТТН</w:t>
      </w:r>
      <w:r w:rsid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информируют грузоотправителя о необходимости отмены данной ЭТТН и создания новой ЭТТН с исправленными данными.</w:t>
      </w:r>
    </w:p>
    <w:p w:rsidR="00B65147" w:rsidRDefault="00C80C4E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be-BY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Конечным статусом такой ЭТТН, после обработки уведомления поставщиком, является «Отменена отправителем». Взамен данной ЭТТН от грузоотправителя ожидается поступление исправленной ЭТТН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 с новым</w:t>
      </w:r>
      <w:r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 номер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>ом и ссылкой на отмененную ЭТТН</w:t>
      </w:r>
      <w:r w:rsidR="00785EAF">
        <w:rPr>
          <w:rFonts w:ascii="Calibri" w:eastAsia="Calibri" w:hAnsi="Calibri" w:cs="Times New Roman"/>
          <w:sz w:val="24"/>
          <w:szCs w:val="24"/>
          <w:lang w:val="be-BY" w:eastAsia="en-US"/>
        </w:rPr>
        <w:t>. Если п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>ри получении новой ЭТТН взамен отмененной п</w:t>
      </w:r>
      <w:r w:rsidR="00785EAF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о какой-то причине не произошло 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их </w:t>
      </w:r>
      <w:r w:rsidR="00785EAF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автоматическое связывание, то связь можно установить вручную. Для этого 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>необходимо: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- </w:t>
      </w:r>
      <w:r w:rsidR="00785EAF">
        <w:rPr>
          <w:rFonts w:ascii="Calibri" w:eastAsia="Calibri" w:hAnsi="Calibri" w:cs="Times New Roman"/>
          <w:sz w:val="24"/>
          <w:szCs w:val="24"/>
          <w:lang w:val="ru-RU" w:eastAsia="en-US"/>
        </w:rPr>
        <w:t>нажать</w:t>
      </w:r>
      <w:r w:rsidR="00785EAF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85E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кнопку </w:t>
      </w:r>
      <w:r w:rsidR="007776F7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657350" cy="2000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EAF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расположенную на внутренней панели инструментов формы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11334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11334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открывшемся окне (рис. 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11334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проверить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установлен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параметры поиска отмененной ЭТТН на основании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выделенной, при необходимости параметры изменить, 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и нажать ОК,</w:t>
      </w:r>
    </w:p>
    <w:p w:rsidR="00FE18C1" w:rsidRPr="009D07C0" w:rsidRDefault="00FE18C1" w:rsidP="00FE18C1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E18C1" w:rsidRDefault="00FE18C1" w:rsidP="00FE18C1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9A6F440" wp14:editId="24F50CA0">
            <wp:extent cx="38481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FE" w:rsidRDefault="009361FE" w:rsidP="009361F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 открывшемся списке (рис. 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отметить нужную ЭТТН, подтвердить выбор нажатием кнопки ОК.</w:t>
      </w:r>
    </w:p>
    <w:p w:rsidR="009361FE" w:rsidRPr="009D07C0" w:rsidRDefault="009361FE" w:rsidP="009361F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361FE" w:rsidRDefault="009361FE" w:rsidP="009361FE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80FF124" wp14:editId="33B67A79">
            <wp:extent cx="5753100" cy="2806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47" w:rsidRDefault="009361FE" w:rsidP="009361F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</w:t>
      </w:r>
      <w:r w:rsidR="00DF1C0F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данных действий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автоматическое: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связывание выделенной ЭТТН с отмененной;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связывание выделенной ЭТТН со складским документом из отмененной ЭТТН при его наличии;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связывание выделенной ЭТТН с документом «Прослеживаемость. Сканирования» из отмененной ЭТТН при его наличии;</w:t>
      </w:r>
    </w:p>
    <w:p w:rsidR="00941CEB" w:rsidRDefault="00CA3C65" w:rsidP="001061FF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данной ЭТТН не прибыл,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грузополучатель по какой-то причине отказывается принимать товар,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известить об этом грузоотправителя. Данное действие выполняется при нажатии на кнопку «Отменить ЭТТН», после чего открывается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сообщение с автоматически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сформированным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«ЭТТН не принята»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4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941CEB" w:rsidRPr="009D07C0" w:rsidRDefault="00941CEB" w:rsidP="00941C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41CEB" w:rsidRDefault="00941CEB" w:rsidP="00941CEB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41CEB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383B2114" wp14:editId="4F70C7CB">
            <wp:extent cx="3771900" cy="1885950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85" w:rsidRPr="001061FF" w:rsidRDefault="001061FF" w:rsidP="00941CEB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Текст сообщения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можно дополнить 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>комментари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ем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 причине отмены.</w:t>
      </w:r>
    </w:p>
    <w:p w:rsidR="00C55EA8" w:rsidRDefault="00CA3C65" w:rsidP="00CA3C65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ЭТТН принят, и его необходимо отправить в работу, то можно, даже при наличии расхождений, произвести автоматическое создание складского документа из ЭТТН. Для этого нужно выделить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 и нажать кнопку «Сформировать приход»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(операция не доступна, если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 отправлено подтверждение, либо уведомление).</w:t>
      </w:r>
    </w:p>
    <w:p w:rsidR="004C1BF6" w:rsidRDefault="00304DF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перация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формирования приходного документа 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выполняется в два этапа.</w:t>
      </w:r>
    </w:p>
    <w:p w:rsidR="0009521B" w:rsidRDefault="004C1BF6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Сначала осуществляется поиск товара по штрихкоду в справочнике ТМЦ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позиций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которые не были подставлены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товары из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справочника ТМЦ при создании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например,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>сли в «Настройках электронного документооборота» указано «не подставлять товары при загрузке)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карточка ТМЦ найдена, она будет подставлена в позицию складского документа.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карточка ТМЦ не найдена,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в системной группе «Товары от поставщиков» справочника ТМЦ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предварительно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будет создана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новая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карточка ТМЦ с реквизитами, автоматически заполненными на основании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C1BF6" w:rsidRDefault="006A0030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найдено несколько карточек ТМЦ с данным штрихкодом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откроется окно с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списком для выбора карточки ТМЦ, которая должна подставиться в позицию складского документа. Выбор осуществляется двойным щелчком по нужной позиции. </w:t>
      </w:r>
    </w:p>
    <w:p w:rsidR="00CA3C65" w:rsidRDefault="00732815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сле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проверки товара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 окно выбора типового документа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который должен сформироваться на основании данной ЭТТН 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A3C65"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F5F03" w:rsidRPr="009D07C0" w:rsidRDefault="005F5F03" w:rsidP="005F5F0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A3C65" w:rsidRPr="00CA3C65" w:rsidRDefault="00CA3C65" w:rsidP="005F5F03">
      <w:pPr>
        <w:pStyle w:val="a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81000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65" w:rsidRPr="00CA3C65" w:rsidRDefault="00CA3C65" w:rsidP="00CA3C65">
      <w:pPr>
        <w:pStyle w:val="a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815" w:rsidRDefault="0073281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подтверждения выбора начинается создание складского документа на основании данной ЭТТН. При этом реквизиты документа, как шапки, так и позиций, будут автоматически заполнены соответств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ующими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реквизитам входящей ЭТТН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. По окончании выполнения операции и сохранения складского документа в ЭТТН будет добавлена ссылка на связанный документ.</w:t>
      </w:r>
    </w:p>
    <w:p w:rsidR="00CA3C65" w:rsidRDefault="00CA3C6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создается с установленным признаком «Отложенный»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с таким признаком не формирует складских остатков и бухгалтерских проводок. Чтобы остатки и проводки сформировались,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провер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ить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правильност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созданной накладной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, назначить учетные цены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, после чего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снять галку «Отложенный».</w:t>
      </w: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42A78" w:rsidRPr="00A2388B" w:rsidRDefault="00747B79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br w:type="page"/>
      </w:r>
      <w:bookmarkStart w:id="21" w:name="_Toc106028802"/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Работа с </w:t>
      </w:r>
      <w:r w:rsidR="00E642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ис</w:t>
      </w:r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ходящими ЭТТН</w:t>
      </w:r>
      <w:bookmarkEnd w:id="21"/>
    </w:p>
    <w:p w:rsidR="00D42A78" w:rsidRPr="006E73F0" w:rsidRDefault="00D42A78" w:rsidP="00D42A78"/>
    <w:p w:rsidR="00E5237D" w:rsidRDefault="00D42A78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E642DD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01.Электронные накладные / 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1C78BA" w:rsidRDefault="00E5237D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ЭТТН, как правило, созда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тся из складского документа выполнением команды «Создать электронную ТТН»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, которая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доступна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922F1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274D8F1" wp14:editId="17B3771C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исходящих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внутренних документов, которые прописаны в настройках исходящих ЭТТН. </w:t>
      </w:r>
    </w:p>
    <w:p w:rsidR="00723905" w:rsidRDefault="00723905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исходящей ЭТТН, связанной с данным складским документом, и 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файла передачи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ЭТТН на портал.</w:t>
      </w:r>
      <w:r w:rsidR="004E1C9E" w:rsidRP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случае успешного завершения операции появится сообщение «ЭТТН отправлены», что свидетельствует о том, что создание ЭТТН в </w:t>
      </w:r>
      <w:proofErr w:type="spellStart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формирование файла передачи завершены успешно.</w:t>
      </w:r>
    </w:p>
    <w:p w:rsidR="00723905" w:rsidRDefault="00723905" w:rsidP="0072390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же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процессе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данной операции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произошли ошибки, 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связанные с некорректными данными в складском документе,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появится сообщение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с предупреждением, что ЭТТН не отправлен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ы, 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перечнем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ошибок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6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E1C9E" w:rsidRPr="009D07C0" w:rsidRDefault="004E1C9E" w:rsidP="004E1C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1C9E" w:rsidRDefault="004E1C9E" w:rsidP="004E1C9E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9A2985F" wp14:editId="29AF800B">
            <wp:extent cx="5915025" cy="18859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2E" w:rsidRDefault="00CA7A2E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6D2749" w:rsidRDefault="006D274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создания ЭТТН 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типа </w:t>
      </w:r>
      <w:r w:rsidR="00F20B87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ТН</w:t>
      </w:r>
      <w:r w:rsidR="0087595F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6D2749" w:rsidRDefault="007D374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рабочей организации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УНП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D374E" w:rsidRDefault="00CA7A2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 w:rsidR="007D374E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Грузополучатель (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ссылка на организацию в справочнике организаций с обязательно заполненными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адрес, УНП)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Отпуск разрешил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Сдал отправитель (ссылка на сотрудника в справочнике сотрудников с обязательно заполненным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полем «Д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олжность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Принял получатель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C61598" w:rsidRDefault="00C61598" w:rsidP="00C61598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18102A">
        <w:rPr>
          <w:rFonts w:ascii="Calibri" w:eastAsia="Calibri" w:hAnsi="Calibri" w:cs="Times New Roman"/>
          <w:sz w:val="24"/>
          <w:szCs w:val="24"/>
          <w:lang w:val="ru-RU" w:eastAsia="en-US"/>
        </w:rPr>
        <w:t>товарного раздела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Товар (ссылка на карточку ТМЦ в справочнике ТМЦ с обязательно заполненными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 штрихкод, код ТНВЭД),</w:t>
      </w:r>
    </w:p>
    <w:p w:rsidR="00C61598" w:rsidRPr="007D374E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Единица измерения (ссылка на карточку единицы измерения в справочнике единиц с обязательно заполненными данными: международный код).</w:t>
      </w:r>
    </w:p>
    <w:p w:rsidR="00C61598" w:rsidRDefault="00C61598" w:rsidP="00C6159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для успешного создания ЭТТН типа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дополнительно к обязательным реквизитам для «ТН»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отправителя: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получателя: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61598" w:rsidRDefault="00CA7A2E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7974F8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№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пут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листа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азгрузк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CA7A2E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одител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сотрудника в справочнике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сотрудников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P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Автомобиль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автомобиль в справочнике автомобилей).</w:t>
      </w:r>
    </w:p>
    <w:p w:rsidR="00F10CB1" w:rsidRDefault="000C4112" w:rsidP="00F10CB1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товарного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раздела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F10CB1" w:rsidP="00F10CB1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Масса груза.</w:t>
      </w:r>
    </w:p>
    <w:p w:rsidR="00F20B87" w:rsidRDefault="00F20B87" w:rsidP="00F20B8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этом определяющим реквизитом для установления типа ЭТТН является реквизит «Автомобиль». Если данный реквизит не заполнен при условии заполнения всех остальных обязательных реквизитов для типа 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то ЭТТН не будет создана с типом «ТТН».</w:t>
      </w:r>
    </w:p>
    <w:p w:rsidR="00C8463B" w:rsidRPr="00C8463B" w:rsidRDefault="008E0853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создания ЭТТН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складского документа 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измен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ится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примет вид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PPNNNNNNNNN,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PP – префикс номера документа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установленный в настройках исходящих ЭТТН для данного типового документа,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NNNNNNNNN – последние символы 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порядкового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номера электронного документа.</w:t>
      </w:r>
    </w:p>
    <w:p w:rsidR="00C8463B" w:rsidRDefault="00C8463B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5237D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изменение состояние данной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накладной в статусе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ЭТТН. </w:t>
      </w:r>
    </w:p>
    <w:p w:rsidR="004922F1" w:rsidRDefault="004922F1" w:rsidP="00E34ED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Если текущий статус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содержит сообщение «Отправлена. НЕТ»,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портал по какой-то причине не принял данную ЭТТН, например,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возникли проблемы с подписание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м документа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электронно-цифровой подписью. В этом случае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просмотреть </w:t>
      </w:r>
      <w:r w:rsidR="00E34ED4"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информацию в логе по данной ЭТТН для определения причины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непринятия ЭТТН порталом. После устранения ошибок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повторить создание ЭТТН из складского документа</w:t>
      </w:r>
      <w:r w:rsidR="00857362">
        <w:rPr>
          <w:rFonts w:ascii="Calibri" w:eastAsia="Calibri" w:hAnsi="Calibri" w:cs="Times New Roman"/>
          <w:sz w:val="24"/>
          <w:szCs w:val="24"/>
          <w:lang w:val="ru-RU" w:eastAsia="en-US"/>
        </w:rPr>
        <w:t>. В итоге произойдет отмена существующей ЭТТН и создание новой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922F1" w:rsidRDefault="004922F1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после обновления данных статус исходящей 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ЭТТН изменился на «</w:t>
      </w:r>
      <w:r w:rsidR="00857362" w:rsidRPr="00857362">
        <w:rPr>
          <w:rFonts w:ascii="Calibri" w:eastAsia="Calibri" w:hAnsi="Calibri" w:cs="Times New Roman"/>
          <w:sz w:val="24"/>
          <w:szCs w:val="24"/>
          <w:lang w:val="ru-RU" w:eastAsia="en-US"/>
        </w:rPr>
        <w:t>Ответ загружен грузоотправителем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8D7D64">
        <w:rPr>
          <w:rFonts w:ascii="Calibri" w:eastAsia="Calibri" w:hAnsi="Calibri" w:cs="Times New Roman"/>
          <w:sz w:val="24"/>
          <w:szCs w:val="24"/>
          <w:lang w:val="ru-RU" w:eastAsia="en-US"/>
        </w:rPr>
        <w:t>, значит грузополучатель подписал ЭТТН.</w:t>
      </w:r>
    </w:p>
    <w:p w:rsidR="00527E42" w:rsidRPr="00DD5BDB" w:rsidRDefault="008D7D64" w:rsidP="00132311">
      <w:pPr>
        <w:pStyle w:val="a9"/>
        <w:numPr>
          <w:ilvl w:val="0"/>
          <w:numId w:val="22"/>
        </w:num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Если после обновления данных статус исходящей ЭТТН изменился на «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изменении от грузополучателя</w:t>
      </w: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ЭТТН по какой-то причине не принята грузополучателем. В этом случае необходимо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найти в списке сообщений к ЭТТН сообщение с кодом 2750,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открыть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его и на закладке «Описание» просмотреть текст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, переданн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уведомлением</w:t>
      </w:r>
      <w:r w:rsid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51EAA" w:rsidRDefault="0044219C" w:rsidP="0044219C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сли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не принята грузополучателем, значит, она требует отмены. Для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отмены ЭТТН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перейти в с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писок складских документов того типа, который связан с данной ЭТТН,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выделить соответствующий складской документ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списке,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вызвать команду «Действия с ЭТТН…», которая доступна через кнопку «Макросы и события» </w:t>
      </w:r>
      <w:r w:rsidR="00485C5C" w:rsidRPr="00F51EAA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040525DF" wp14:editId="548A90D6">
            <wp:extent cx="259080" cy="259080"/>
            <wp:effectExtent l="0" t="0" r="0" b="0"/>
            <wp:docPr id="44" name="Рисунок 44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инструментов, </w:t>
      </w:r>
    </w:p>
    <w:p w:rsidR="00DD5BDB" w:rsidRPr="0044219C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в открывшемся окне выбрать действие «Отменить ЭТТН».</w:t>
      </w:r>
    </w:p>
    <w:p w:rsidR="00F51EAA" w:rsidRDefault="00485C5C" w:rsidP="00F51EAA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принята грузополучателем, но с актом расхождений, значит, она требует корректировок.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перейти в список складских документов того типа, который связан с данной ЭТТН, 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соответственно сообщению отредактировать складской документ, связанный с данной ЭТТН, и сохранить его,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повторно выполнить команду «Создать электронную ТТН», которая доступна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85C5C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94A9308" wp14:editId="1CF7820F">
            <wp:extent cx="259080" cy="259080"/>
            <wp:effectExtent l="0" t="0" r="0" b="0"/>
            <wp:docPr id="8" name="Рисунок 8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D64" w:rsidRPr="00F34A4C" w:rsidRDefault="001C78B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итоге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отмена существующей ЭТТН и создание новой.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4922F1" w:rsidRDefault="004922F1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Особенностью работы с внутренними документами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(документами, в которых грузоотправитель и грузополучатель являются подразделениями внутри одной базы данных)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является то, что на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>один складской внутренний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в модуле ЭТТН создается два документа: Исходящая ЭТТН для подразделения-отправителя и Входящая ЭТТН для подразделения-получателя.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входящей ЭТТН, созданной на основании внутреннего документа, выполнение операции «Сформировать приход» не требуется, связь с внутренним документом уже будет установлена.</w:t>
      </w:r>
    </w:p>
    <w:p w:rsidR="00747B79" w:rsidRDefault="00747B79">
      <w:pPr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642DD" w:rsidRDefault="00E642DD" w:rsidP="00CB28B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22" w:name="_Toc106028803"/>
      <w:r w:rsidR="00CB28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Статусы ЭТТН</w:t>
      </w:r>
      <w:bookmarkEnd w:id="22"/>
    </w:p>
    <w:p w:rsid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Style w:val="a5"/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Создана, не отправлена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ушел получателю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не сохранился или не принят адаптером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Принята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 с ошибкой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 с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доставлено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ушел грузоотправителю 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не сохранился или не принят адаптером</w:t>
            </w:r>
          </w:p>
        </w:tc>
      </w:tr>
      <w:tr w:rsidR="00132311" w:rsidRPr="00CB28B6" w:rsidTr="00CB28B6">
        <w:trPr>
          <w:trHeight w:val="228"/>
        </w:trPr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загружен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доставлен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Отмена ЭТТН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Входящая ЭТТН помечена как отмененная. Исходящая ЭТТН помечена как отмененная </w:t>
            </w:r>
          </w:p>
        </w:tc>
      </w:tr>
    </w:tbl>
    <w:p w:rsidR="00132311" w:rsidRDefault="00132311" w:rsidP="00132311">
      <w:pPr>
        <w:ind w:left="141" w:right="-137"/>
        <w:jc w:val="both"/>
        <w:rPr>
          <w:sz w:val="24"/>
          <w:szCs w:val="24"/>
        </w:rPr>
      </w:pPr>
    </w:p>
    <w:p w:rsidR="00132311" w:rsidRP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CB28B6" w:rsidRDefault="00CB28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47B79" w:rsidRPr="00747B79" w:rsidRDefault="000878FE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3" w:name="_Toc106028804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Учет прослеживаемых (маркированных) товаров</w:t>
      </w:r>
      <w:bookmarkEnd w:id="23"/>
    </w:p>
    <w:p w:rsidR="008158C7" w:rsidRPr="00A333AC" w:rsidRDefault="008158C7" w:rsidP="008158C7">
      <w:pPr>
        <w:ind w:left="141"/>
        <w:jc w:val="center"/>
        <w:rPr>
          <w:b/>
          <w:sz w:val="24"/>
          <w:szCs w:val="24"/>
          <w:lang w:val="en-US"/>
        </w:rPr>
      </w:pPr>
    </w:p>
    <w:p w:rsidR="000878FE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учета прослеживаемых товаров (в том числе с нанесенной идентификационной маркировкой)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предназначен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«Прослеживаемость. </w:t>
      </w:r>
      <w:proofErr w:type="spellStart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Штриккоды</w:t>
      </w:r>
      <w:proofErr w:type="spellEnd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(в Исследователе 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Прослеживаемые ТМЦ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2222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22228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Справочники_электронного_документоо" w:history="1"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E22228" w:rsidRPr="00E22228">
        <w:rPr>
          <w:rFonts w:ascii="Calibri" w:eastAsia="Calibri" w:hAnsi="Calibri"/>
          <w:sz w:val="24"/>
          <w:szCs w:val="24"/>
        </w:rPr>
        <w:t>)</w:t>
      </w:r>
      <w:r w:rsidR="000878FE" w:rsidRPr="00E22228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E22228" w:rsidRDefault="00E2222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Данные справочника используются для определения соответствия</w:t>
      </w:r>
      <w:r w:rsidR="008441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8D794D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зарегистрированных в учетной системе (внесенными в данный справочник), с кодами, нанесенными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ы.</w:t>
      </w:r>
    </w:p>
    <w:p w:rsidR="00E50389" w:rsidRDefault="008D794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учета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нанесенных на товары, применяется д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окумент 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Прослеживаемость. Сканирования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proofErr w:type="gramStart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 / </w:t>
      </w:r>
      <w:r w:rsidR="00747B7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Сканирования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который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сохранения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кодов, </w:t>
      </w:r>
      <w:r w:rsidR="00AE3076">
        <w:rPr>
          <w:rFonts w:ascii="Calibri" w:eastAsia="Calibri" w:hAnsi="Calibri" w:cs="Times New Roman"/>
          <w:sz w:val="24"/>
          <w:szCs w:val="24"/>
          <w:lang w:val="ru-RU" w:eastAsia="en-US"/>
        </w:rPr>
        <w:t>счит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>анных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товара с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помощью сканера или ТСД.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ТСД документ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«Прослеживаемость. Сканирования»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автоматически средствами функционала модуля «Мобильный ТСД».</w:t>
      </w:r>
    </w:p>
    <w:p w:rsidR="008D794D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сканера документ создается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вручную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последующим сканированием в него</w:t>
      </w:r>
      <w:r w:rsidR="00E867E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867E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E867E9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8D794D" w:rsidRDefault="008D794D" w:rsidP="008D794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4" w:name="_Приемка_прослеживаемых_товаров"/>
      <w:bookmarkStart w:id="25" w:name="_Toc106028805"/>
      <w:bookmarkEnd w:id="24"/>
      <w:r w:rsidRPr="008D79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Приемка прослеживаемых товаров</w:t>
      </w:r>
      <w:bookmarkEnd w:id="25"/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</w:t>
      </w:r>
      <w:r w:rsidR="0034229D">
        <w:rPr>
          <w:rFonts w:ascii="Calibri" w:eastAsia="Calibri" w:hAnsi="Calibri" w:cs="Times New Roman"/>
          <w:sz w:val="24"/>
          <w:szCs w:val="24"/>
          <w:lang w:val="ru-RU" w:eastAsia="en-US"/>
        </w:rPr>
        <w:t>ли входящая ЭТТН содержит данные по товарам в разрезе средств идентификации для каждой товарной единицы (в позициях заполнено поле «Информация о средстве идентификации»), то при приемке товара нужно сверить соответствие средства идентификации, нанесенного непосредственно на товар, с кодом во входящей ЭТТН.</w:t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осуществляется считывание средства идентификации с каждого товара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помощью специального оборудования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4229D" w:rsidRDefault="0034229D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ТСД, то документ сканирования создается непосредственно в мобильном приложении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>GDMN Склад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. П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выгрузки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отсканированных кодов 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учетную систему автоматически формируется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«Прослеживаемость. Сканирования»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конечными данными, не требующими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7FF7" w:rsidRDefault="00DC21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сканер, то документ создается из формы «Входящие ЭТТН»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. Для этого нужно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выделить соответствующ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списке,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нажать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FDC06F5" wp14:editId="3703F0BF">
            <wp:extent cx="1017905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внутренней панели инструментов формы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действия в появившемся окне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откроется документ в режиме редактирования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). Реквизиты шапки документа заполнятся автоматически соответствующими реквизитами входящей ЭТТН, в том числе на закладке «Атрибуты» установится признак «Сравнение» и заполнится ссылка на входящую ЭТТН (поля «Ссылка на ЭТТН» и «Номер ЭТТН»). </w:t>
      </w:r>
    </w:p>
    <w:p w:rsidR="00367FF7" w:rsidRPr="009D07C0" w:rsidRDefault="00367FF7" w:rsidP="00367FF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7FF7" w:rsidRDefault="009C0D1A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51AA9B9" wp14:editId="4C608BF0">
            <wp:extent cx="2343150" cy="151737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6795" cy="15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документ сканирования по данной входящей ЭТТН уже существует, то при нажатии на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B8F90DA" wp14:editId="2DB4F568">
            <wp:extent cx="1017905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он откроется в режиме редактирования для просмотра и возможного продолжения сканирования.</w:t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C2D18" w:rsidRDefault="00DC2D18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Pr="009D07C0" w:rsidRDefault="003A2492" w:rsidP="003A249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A2492" w:rsidRDefault="009C0D1A" w:rsidP="009C0D1A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1F3442E9" wp14:editId="51263C1C">
            <wp:extent cx="5195631" cy="292417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5899" cy="29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окончания сканирования и сохранения документа «Прослеживаемость. Сканирования» производится сравнение отсканированных кодов с кодами во входящей ЭТТН. Для этого нужно при выделенной ЭТТН нажать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863090" cy="16383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данные совпадают, появится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соответствующее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F54E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4F7F2C1" wp14:editId="57CD7C90">
            <wp:extent cx="3048000" cy="1400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выявлены какие-либо несоответствия, откроется окно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«Результаты сравнения» (рис.</w:t>
      </w:r>
      <w:r w:rsidR="00DC2D18" w:rsidRPr="00DC2D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будут перечислены несовпадения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отдельно для: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Сканированиях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bookmarkStart w:id="26" w:name="_Hlk105151857"/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bookmarkEnd w:id="26"/>
    <w:p w:rsidR="00DC2118" w:rsidRDefault="00DC2D18" w:rsidP="00DC2D1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FB84973" wp14:editId="04691FC0">
            <wp:extent cx="5581650" cy="50748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90450" cy="50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34229D" w:rsidRDefault="008D794D" w:rsidP="0034229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7" w:name="_Toc106028806"/>
      <w:r w:rsidRPr="003422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Перемещение и отпуск прослеживаемых товаров</w:t>
      </w:r>
      <w:bookmarkEnd w:id="27"/>
    </w:p>
    <w:p w:rsidR="003A2492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средства идентификации, нанесенного непосредственно на товар, производится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при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</w:t>
      </w:r>
      <w:r w:rsidR="00F35503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выборки товара для отгрузки или перемещения, то документ «Прослеживаемость. Сканирования» первичен и создается до создания складского документа.</w:t>
      </w:r>
    </w:p>
    <w:p w:rsidR="00E50389" w:rsidRP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создания документа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используем кнопку «Добавить» </w:t>
      </w:r>
      <w:r w:rsidRPr="00E50389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125BE064" wp14:editId="69BC0DA1">
            <wp:extent cx="259080" cy="259080"/>
            <wp:effectExtent l="0" t="0" r="0" b="0"/>
            <wp:docPr id="66" name="Рисунок 66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ew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инструментов. В шапке документа заполняем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поля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25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Дата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» - дата документа (по умолчании подставляется текущая).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Номер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номер документа.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Подразделение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подразделение, для которого будет создаваться электронный документ. 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433A9C"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.3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окончания сканирования и сохранения документа «Прослеживаемость. Сканирования» производится формирование складского документа на его основе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следующей последовательности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P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складской документ соответствующего типа.</w:t>
      </w:r>
    </w:p>
    <w:p w:rsid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Зап</w:t>
      </w:r>
      <w:r w:rsidR="00152E60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олн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яются реквизиты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шапки складского документа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соответственно его типу.</w:t>
      </w:r>
    </w:p>
    <w:p w:rsidR="00F111CD" w:rsidRDefault="00F111CD" w:rsidP="00B169B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заполнения позиций запускается 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макрос «</w:t>
      </w:r>
      <w:r w:rsidR="004F1E81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Добавить прослеживаемые позиции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433A9C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который можно вызвать, нажав на </w:t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кнопку «Макрос» </w:t>
      </w:r>
      <w:r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2E6A755A" wp14:editId="4524D01E">
            <wp:extent cx="259080" cy="259080"/>
            <wp:effectExtent l="0" t="0" r="0" b="0"/>
            <wp:docPr id="3" name="Рисунок 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формы, открытой в режиме редактирования.</w:t>
      </w:r>
    </w:p>
    <w:p w:rsidR="00DD43AF" w:rsidRDefault="00DD43AF" w:rsidP="00B169B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открывшемся окне выбора (рис.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отметить соответствующие документ(-ы) сканирования,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подтвердить выбор нажатием кнопки </w:t>
      </w:r>
      <w:r w:rsidR="00F111CD" w:rsidRPr="00494C9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данном окне список документов сканирования по умолчанию отфильтрован по следующим признакам: 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D43AF" w:rsidRDefault="00DD43AF" w:rsidP="00DD43AF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33CBC21" wp14:editId="5C0A107C">
            <wp:extent cx="5151120" cy="3601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4715" cy="36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дата меньше или равно дате складского документа,</w:t>
      </w:r>
    </w:p>
    <w:p w:rsidR="007E2A6C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 равно подразделению, указанному в складском документе,</w:t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нет ссылки на 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расхода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DD43AF" w:rsidRP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не установлена галка «Сравнение».</w:t>
      </w:r>
    </w:p>
    <w:p w:rsidR="00DD43AF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результате выполнения данной операции будет произведен выбор из остатков товаров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данным документа сканирования, и формирование позиций складского документа.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После сохранения складского документа в документе </w:t>
      </w:r>
      <w:r w:rsidR="00494C9D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заполнится поле «Документ расхода».</w:t>
      </w:r>
    </w:p>
    <w:p w:rsidR="00364915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 каким-либо товарам остатков не найдено, в конце выполнения операции откроется информационное окно с предупреждением и перечнем товаров, по которым не были добавлены позиции (рис. 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4915" w:rsidRDefault="00DD43AF" w:rsidP="00DD43AF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A37C405" wp14:editId="45E05C32">
            <wp:extent cx="4074160" cy="370422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6644" cy="37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F7" w:rsidRDefault="00367F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282CBD" w:rsidRPr="002F54E7" w:rsidRDefault="002F54E7" w:rsidP="002F54E7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8" w:name="_Работа_с_документом"/>
      <w:bookmarkStart w:id="29" w:name="_Toc106028807"/>
      <w:bookmarkEnd w:id="28"/>
      <w:r w:rsidRPr="002F54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документом «Прослеживаемость. Сканирования»</w:t>
      </w:r>
      <w:bookmarkEnd w:id="29"/>
    </w:p>
    <w:p w:rsidR="00E50389" w:rsidRDefault="00152E60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позиций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документа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производится в режиме его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порядок формирования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>завис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 применяемого типа и настроек сканера.</w:t>
      </w:r>
    </w:p>
    <w:p w:rsidR="00E50389" w:rsidRP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сканер зарегистрирован в </w:t>
      </w:r>
      <w:proofErr w:type="spellStart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данного компьютера, настроен на режим считывания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и настроен на считывание напрямую в программу, то достаточно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каждой единицы товара в документ, открытый в режиме редактирования.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этом каждое считывание будет формировать новую позиций в документе.</w:t>
      </w:r>
    </w:p>
    <w:p w:rsid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сканер не зарегистрирован в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но настроен на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считываение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кодов с переходом на новую строку, то необходимо перейти на вкладку «Ручное сканирование»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установить курсор мыши в текстовое поле, после чего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товара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15B96" w:rsidRDefault="00215B96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используется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радиосканер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23F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сканер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 возможностью сохранения в память отсканированных данных, то необходимо перейти на вкладку «Ручное сканирование»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установить курсор мыши в текстовое поле, установить сканер с данными в его базу, после чего произойдет считывание всех сохраненных в сканере данных в текстовое поле документа сканирования.</w:t>
      </w:r>
    </w:p>
    <w:p w:rsidR="00B42A78" w:rsidRPr="00E50389" w:rsidRDefault="00B42A78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производилось в сторонний файл, то необходимо перейти на вкладку «Ручное сканирование»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выбрать команду «Загрузить из файла». </w:t>
      </w:r>
    </w:p>
    <w:p w:rsidR="00433A9C" w:rsidRPr="009D07C0" w:rsidRDefault="00433A9C" w:rsidP="00433A9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33A9C" w:rsidRDefault="00433A9C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2A68FDC" wp14:editId="7E77FE3E">
            <wp:extent cx="6391910" cy="2132965"/>
            <wp:effectExtent l="0" t="0" r="889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При работе со вкладкой «Ручное сканирование» возможно выполнение следующих действий, которые вызываются нажатием на одноименную кнопку над текстовым полем для сканирования.</w:t>
      </w:r>
    </w:p>
    <w:p w:rsidR="00E50389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Обработать 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последовательно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создает позици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Сканирования»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каждого отсканированного в текстовое поле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для каждой позиции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Штрихкоды»</w:t>
      </w:r>
      <w:r w:rsidR="00AA166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Если 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каким-либо кодам не найдено соответствие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, по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окончании обработки открывается информационное окно с указанием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по которым не найдены соответствия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4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61DEB" w:rsidRPr="009D07C0" w:rsidRDefault="00961DEB" w:rsidP="00961D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61DEB" w:rsidRDefault="00961DEB" w:rsidP="00961DEB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93C157C" wp14:editId="14753994">
            <wp:extent cx="5496560" cy="499746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9854" cy="50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Очистить форму 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очищает текстовое поле для нового сканирования.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Сохранить в файл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сохраняет данные с результатами сканирования из текстового поля в файл.</w:t>
      </w:r>
    </w:p>
    <w:p w:rsidR="00AA1660" w:rsidRPr="00B42A78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из файла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считывает из выбранного файла находящиеся в нем данные и записывает их в текстовое поле.</w:t>
      </w:r>
    </w:p>
    <w:p w:rsidR="009A0988" w:rsidRDefault="009A098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использование сохраненных в документе данных зависит от вида ЭТТН, для которой формировался документ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Приемка_прослеживаемых_товаров" w:history="1"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п</w:t>
        </w:r>
        <w:proofErr w:type="spellStart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п</w:t>
        </w:r>
        <w:proofErr w:type="spellEnd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.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.1-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.2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4915" w:rsidRPr="00E22228">
        <w:rPr>
          <w:rFonts w:ascii="Calibri" w:eastAsia="Calibri" w:hAnsi="Calibri"/>
          <w:sz w:val="24"/>
          <w:szCs w:val="24"/>
        </w:rPr>
        <w:t>)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C2B89" w:rsidRPr="00EC2B89" w:rsidRDefault="00EC2B89" w:rsidP="00EC2B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53B3D" w:rsidRPr="00153B3D" w:rsidRDefault="00153B3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747B79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Default="00B96137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47B79" w:rsidRPr="00B96137" w:rsidRDefault="00B96137" w:rsidP="00B96137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0" w:name="_Toc106028808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30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заказами (далее - ЭЗ) предназначены блоки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02.Заказы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03.Ответы на заказ и 04.Уведомления об отгрузке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ЭТТН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ЭЗ, как входящие, так и исходящие, доступны для просмотра единым списком (рис.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CF6273" w:rsidRPr="009D07C0" w:rsidRDefault="00CF6273" w:rsidP="00CF627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F6273" w:rsidRDefault="00961DEB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F01032D" wp14:editId="2DC9BF5B">
            <wp:extent cx="6391910" cy="282829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75" w:rsidRDefault="00480E75" w:rsidP="00480E75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панели инструментов формы просмотра электронных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рядом со стандартными кнопками расположены кнопки вызова команд для обработки Э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ЭЗ.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 на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«Ответ на заказ»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«Уведомление об отгрузке»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6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Сохранить в </w:t>
      </w:r>
      <w:r>
        <w:rPr>
          <w:rFonts w:ascii="Calibri" w:eastAsia="Calibri" w:hAnsi="Calibri" w:cs="Times New Roman"/>
          <w:b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сохраняет созданный ЭЗ в файл формата </w:t>
      </w:r>
      <w:r w:rsidR="00024DD9" w:rsidRPr="00024DD9"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исходящих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заказов с данными 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ЭЗ, ограниченный выбранным фильтром. Для фильтрации можно воспользоваться фильтром, выбранным из списка фильтров, привязанных к стандартному компоненту фильтрации.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Основными полями, отображающими актуальную информацию по ЭЗ для пользователя, являются: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изменения,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клиент,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табличной части формы просмотра отображается состав выделенного документа (для входящего ЭЗ).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Правая нижняя часть состоит из нескольких закладок, каждая из которых содержит соответствующую служебную информацию по выделенному документу, отражающую набор системных действий над ним.</w:t>
      </w:r>
    </w:p>
    <w:p w:rsidR="00480E75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Расположенные в хронологическом порядке сообщения, принятые от провайдера (отправленные провайдеру), на основании которых формиро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вался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изменял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Каждое сообщение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аналогично сообщению для ЭТТН 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содержит утвержденный набор полей с информацией из файла обмена,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которую можно просмотреть, открыв соответствующее сообщение в режиме просмотра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разрезе дат и времени. Каждое действие можно открыть для просмотра более подробной информации по нему (рис. 1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Ответ(-ы)</w:t>
      </w: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Позиции со ссылками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ответы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сылка с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автоматически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 входящих ЭЗ -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исходящего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 на ЭЗ,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для исходящих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при загрузке входящего электронного ответа на ЭЗ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Связанный документ можно открыть для просмотра и редактирования. 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выделенной в левой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Между верхней и нижней частями формы расположена панель инструментов, содержащая стандартный набор кнопок для работы с позициями документа.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Выделенный ЭЗ при необходимости можно открыть в режиме просмотра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6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для получения более подробной информации, в том числе по дополнительным реквизитам ЭЗ</w:t>
      </w:r>
      <w:r w:rsidR="00F226A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комментариям к нему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024DD9" w:rsidP="00480E75">
      <w:pPr>
        <w:spacing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113ACF1D" wp14:editId="70B86893">
            <wp:extent cx="6391910" cy="390652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E" w:rsidRDefault="00F226AE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F226AE" w:rsidRDefault="00F22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F6273" w:rsidRPr="00480E75" w:rsidRDefault="00CC44B7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1" w:name="_Toc106028809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со входящими ЭЗ</w:t>
      </w:r>
      <w:bookmarkEnd w:id="31"/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 ЭЗ в ручном режиме используется кнопка «Загрузить заказы и сообщения», расположенная на форме.</w:t>
      </w:r>
    </w:p>
    <w:p w:rsidR="006C5BC2" w:rsidRDefault="006C5BC2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Возможные действия с входящими заказами:</w:t>
      </w:r>
    </w:p>
    <w:p w:rsid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ответа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23419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принятия решения о возможности выполнения заявки необходимо известить об этом покупателя. Для отправки ответа по заказу используется команда «Ответ на заказ», которую можно вызвать, нажав на одноименную кнопку панели инструментов. </w:t>
      </w:r>
    </w:p>
    <w:p w:rsidR="000B2B0D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«Исходящие ответы на электронные заказы»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автоматически заполненными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озданный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 откр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ывается для просмотра и подтверждения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 </w:t>
      </w:r>
    </w:p>
    <w:p w:rsidR="000B2B0D" w:rsidRPr="009D07C0" w:rsidRDefault="000B2B0D" w:rsidP="000B2B0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0B2B0D" w:rsidRDefault="008F63F1" w:rsidP="008F63F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F63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7BB1273" wp14:editId="3A6D2135">
            <wp:extent cx="6391910" cy="3805555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0D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Дальнейшие действия работы с ответом зависят от вида принятого решения: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23419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будет выполнен в полном объеме и без изменения отпускных цен, то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редактирование ответа не требуется,</w:t>
      </w:r>
    </w:p>
    <w:p w:rsidR="007F156A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может быть выполнен только частично, то в колонку «Количество» соответствующих позиций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внести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измененные данные,</w:t>
      </w:r>
    </w:p>
    <w:p w:rsidR="000B2B0D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если заказ отклоняется, то в шапке ответа необходимо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установить галку «Отмена заказа», а в позициях в колонке «Количество» проставить 0 для всех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</w:p>
    <w:p w:rsidR="007F156A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ответа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623419" w:rsidRPr="00CC44B7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отслеживание статуса исходящего ответа на заказ производится в блоке исходящих ответов по заказам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Исследователе </w:t>
      </w:r>
      <w:r w:rsidR="00623419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03.Ответы на заказы / 2.Исходящие</w:t>
      </w:r>
      <w:r w:rsidR="00364CB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364CB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3.2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9E6416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364CB5" w:rsidRPr="00E22228">
        <w:rPr>
          <w:rFonts w:ascii="Calibri" w:eastAsia="Calibri" w:hAnsi="Calibri"/>
          <w:sz w:val="24"/>
          <w:szCs w:val="24"/>
        </w:rPr>
        <w:t>)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C44B7" w:rsidRP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уведомления об отгрузке</w:t>
      </w:r>
    </w:p>
    <w:p w:rsidR="009E7D99" w:rsidRDefault="009E7D99" w:rsidP="009E7D99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факта отгрузки товара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использованием бумажной накладной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используется команда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«Отправить уведомление», которая вызывается по кнопке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«Заказ. Уведомление об отгрузке», автоматическое заполнен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>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данными, соответствующими данным, указанным в </w:t>
      </w:r>
      <w:r w:rsidR="009F17B4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Автоматически созданное уведомление на отгрузку по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открывается для просмотра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завершения оформления, т.е.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заполнения (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корректровки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 всех необходимых реквизитов, а именно: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обязательно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заполнени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всех реквизитов на закладке ТТН данными согласно бумажному экземпляру,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при необходимости корректировк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количества в позициях, если количество, отгружаемое по накладной, не соответствует количеству по заказу.</w:t>
      </w:r>
    </w:p>
    <w:p w:rsidR="007E1C58" w:rsidRPr="009D07C0" w:rsidRDefault="007E1C58" w:rsidP="007E1C5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11A8E" w:rsidRDefault="009F17B4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57BBF9" wp14:editId="3FCCAD23">
            <wp:extent cx="60198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11A8E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После подтверждения уведомления об отгрузке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911A8E" w:rsidRPr="00CC44B7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отслеживание статуса исходящего уведомления об отгрузке производится в блоке исходящих уведомлений, в Исследователе 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4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 об отгрузке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2.Исходящие</w:t>
      </w:r>
      <w:r w:rsidR="009E6416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9E6416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4.2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III</w:t>
        </w:r>
      </w:hyperlink>
      <w:r w:rsidR="009E6416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F17B4" w:rsidRDefault="009F17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480E75" w:rsidRDefault="00876AC3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2" w:name="_Toc10602881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исходящими ЭЗ</w:t>
      </w:r>
      <w:bookmarkEnd w:id="32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3" w:name="_Toc106028811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Ответы на заказ</w:t>
      </w:r>
      <w:bookmarkEnd w:id="33"/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Pr="00E44D7D" w:rsidRDefault="00E44D7D" w:rsidP="00E44D7D">
      <w:pPr>
        <w:rPr>
          <w:lang w:val="ru-RU" w:eastAsia="en-US"/>
        </w:rPr>
      </w:pP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4" w:name="_Toc106028812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со входящими ответами на ЭЗ</w:t>
      </w:r>
      <w:bookmarkEnd w:id="34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5" w:name="_Работа_с_исходящими"/>
      <w:bookmarkStart w:id="36" w:name="_Toc106028813"/>
      <w:bookmarkEnd w:id="35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ответами на ЭЗ</w:t>
      </w:r>
      <w:bookmarkEnd w:id="36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7" w:name="_Toc106028814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Уведомления об отгрузке</w:t>
      </w:r>
      <w:bookmarkEnd w:id="37"/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8" w:name="_Toc106028815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во входящими уведомлениями об отгрузке</w:t>
      </w:r>
      <w:bookmarkEnd w:id="38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9" w:name="_Работа_с_исходящими_1"/>
      <w:bookmarkStart w:id="40" w:name="_Toc106028816"/>
      <w:bookmarkEnd w:id="39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уведомлениями об отгрузке</w:t>
      </w:r>
      <w:bookmarkEnd w:id="40"/>
    </w:p>
    <w:p w:rsidR="00876AC3" w:rsidRPr="00876AC3" w:rsidRDefault="00876AC3" w:rsidP="00876AC3">
      <w:pPr>
        <w:rPr>
          <w:lang w:val="ru-RU" w:eastAsia="en-US"/>
        </w:rPr>
      </w:pP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DB"/>
    <w:multiLevelType w:val="hybridMultilevel"/>
    <w:tmpl w:val="180CE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D5362"/>
    <w:multiLevelType w:val="hybridMultilevel"/>
    <w:tmpl w:val="0D36346A"/>
    <w:lvl w:ilvl="0" w:tplc="1FFEB99C">
      <w:start w:val="1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9661B4"/>
    <w:multiLevelType w:val="multilevel"/>
    <w:tmpl w:val="37645D9A"/>
    <w:lvl w:ilvl="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138C0"/>
    <w:multiLevelType w:val="hybridMultilevel"/>
    <w:tmpl w:val="31E46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F15EC"/>
    <w:multiLevelType w:val="hybridMultilevel"/>
    <w:tmpl w:val="A8204110"/>
    <w:lvl w:ilvl="0" w:tplc="D3B2E99C">
      <w:start w:val="1"/>
      <w:numFmt w:val="decimal"/>
      <w:lvlText w:val="5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2545D"/>
    <w:multiLevelType w:val="hybridMultilevel"/>
    <w:tmpl w:val="37645D9A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2585F2E"/>
    <w:multiLevelType w:val="hybridMultilevel"/>
    <w:tmpl w:val="60868924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33FE8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36"/>
  </w:num>
  <w:num w:numId="3">
    <w:abstractNumId w:val="24"/>
  </w:num>
  <w:num w:numId="4">
    <w:abstractNumId w:val="25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4"/>
  </w:num>
  <w:num w:numId="11">
    <w:abstractNumId w:val="20"/>
  </w:num>
  <w:num w:numId="12">
    <w:abstractNumId w:val="16"/>
  </w:num>
  <w:num w:numId="13">
    <w:abstractNumId w:val="17"/>
  </w:num>
  <w:num w:numId="14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4"/>
  </w:num>
  <w:num w:numId="18">
    <w:abstractNumId w:val="31"/>
  </w:num>
  <w:num w:numId="19">
    <w:abstractNumId w:val="10"/>
  </w:num>
  <w:num w:numId="20">
    <w:abstractNumId w:val="4"/>
  </w:num>
  <w:num w:numId="21">
    <w:abstractNumId w:val="29"/>
  </w:num>
  <w:num w:numId="22">
    <w:abstractNumId w:val="26"/>
  </w:num>
  <w:num w:numId="23">
    <w:abstractNumId w:val="23"/>
  </w:num>
  <w:num w:numId="24">
    <w:abstractNumId w:val="27"/>
  </w:num>
  <w:num w:numId="25">
    <w:abstractNumId w:val="13"/>
  </w:num>
  <w:num w:numId="26">
    <w:abstractNumId w:val="19"/>
  </w:num>
  <w:num w:numId="27">
    <w:abstractNumId w:val="30"/>
  </w:num>
  <w:num w:numId="28">
    <w:abstractNumId w:val="15"/>
  </w:num>
  <w:num w:numId="29">
    <w:abstractNumId w:val="7"/>
  </w:num>
  <w:num w:numId="30">
    <w:abstractNumId w:val="32"/>
  </w:num>
  <w:num w:numId="31">
    <w:abstractNumId w:val="18"/>
  </w:num>
  <w:num w:numId="32">
    <w:abstractNumId w:val="1"/>
  </w:num>
  <w:num w:numId="33">
    <w:abstractNumId w:val="11"/>
  </w:num>
  <w:num w:numId="34">
    <w:abstractNumId w:val="2"/>
  </w:num>
  <w:num w:numId="35">
    <w:abstractNumId w:val="22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15729"/>
    <w:rsid w:val="000248A7"/>
    <w:rsid w:val="00024DD9"/>
    <w:rsid w:val="00046CA4"/>
    <w:rsid w:val="00047627"/>
    <w:rsid w:val="00051585"/>
    <w:rsid w:val="000875FA"/>
    <w:rsid w:val="000878FE"/>
    <w:rsid w:val="0009521B"/>
    <w:rsid w:val="000B2B0D"/>
    <w:rsid w:val="000C239A"/>
    <w:rsid w:val="000C4112"/>
    <w:rsid w:val="000E4251"/>
    <w:rsid w:val="000F70A8"/>
    <w:rsid w:val="001061FF"/>
    <w:rsid w:val="00113348"/>
    <w:rsid w:val="001155D4"/>
    <w:rsid w:val="00124C78"/>
    <w:rsid w:val="00132311"/>
    <w:rsid w:val="00137C73"/>
    <w:rsid w:val="00145975"/>
    <w:rsid w:val="00147696"/>
    <w:rsid w:val="00152E60"/>
    <w:rsid w:val="00153B3D"/>
    <w:rsid w:val="00154014"/>
    <w:rsid w:val="00160EFC"/>
    <w:rsid w:val="00165630"/>
    <w:rsid w:val="0018102A"/>
    <w:rsid w:val="001830FF"/>
    <w:rsid w:val="00183B73"/>
    <w:rsid w:val="0019288D"/>
    <w:rsid w:val="001B1B75"/>
    <w:rsid w:val="001C78BA"/>
    <w:rsid w:val="001D0325"/>
    <w:rsid w:val="00215B96"/>
    <w:rsid w:val="00216FB3"/>
    <w:rsid w:val="0023131C"/>
    <w:rsid w:val="002373C0"/>
    <w:rsid w:val="00277F51"/>
    <w:rsid w:val="00282CBD"/>
    <w:rsid w:val="00284CBF"/>
    <w:rsid w:val="002C1E83"/>
    <w:rsid w:val="002C237C"/>
    <w:rsid w:val="002C6DAB"/>
    <w:rsid w:val="002D18BA"/>
    <w:rsid w:val="002D573B"/>
    <w:rsid w:val="002D6831"/>
    <w:rsid w:val="002F54E7"/>
    <w:rsid w:val="00304DFB"/>
    <w:rsid w:val="00323FFE"/>
    <w:rsid w:val="0034229D"/>
    <w:rsid w:val="00364915"/>
    <w:rsid w:val="00364CB5"/>
    <w:rsid w:val="00367FF7"/>
    <w:rsid w:val="003716CF"/>
    <w:rsid w:val="00376C91"/>
    <w:rsid w:val="00386A22"/>
    <w:rsid w:val="003A2492"/>
    <w:rsid w:val="003A6137"/>
    <w:rsid w:val="003B022E"/>
    <w:rsid w:val="003D3FE3"/>
    <w:rsid w:val="003D63C4"/>
    <w:rsid w:val="00427A6F"/>
    <w:rsid w:val="00433A9C"/>
    <w:rsid w:val="0044219C"/>
    <w:rsid w:val="004462D7"/>
    <w:rsid w:val="004672F5"/>
    <w:rsid w:val="00480E75"/>
    <w:rsid w:val="00485C5C"/>
    <w:rsid w:val="004922F1"/>
    <w:rsid w:val="00494C9D"/>
    <w:rsid w:val="004A4161"/>
    <w:rsid w:val="004A7C3F"/>
    <w:rsid w:val="004C00C5"/>
    <w:rsid w:val="004C1BF6"/>
    <w:rsid w:val="004D3655"/>
    <w:rsid w:val="004D3A52"/>
    <w:rsid w:val="004D46A2"/>
    <w:rsid w:val="004E1BBD"/>
    <w:rsid w:val="004E1C9E"/>
    <w:rsid w:val="004E732C"/>
    <w:rsid w:val="004F1E81"/>
    <w:rsid w:val="004F7883"/>
    <w:rsid w:val="00504043"/>
    <w:rsid w:val="00513FBC"/>
    <w:rsid w:val="005174A4"/>
    <w:rsid w:val="00520B61"/>
    <w:rsid w:val="00527E42"/>
    <w:rsid w:val="00533FAA"/>
    <w:rsid w:val="00537526"/>
    <w:rsid w:val="00557245"/>
    <w:rsid w:val="0057199A"/>
    <w:rsid w:val="00573068"/>
    <w:rsid w:val="005E689E"/>
    <w:rsid w:val="005F5F03"/>
    <w:rsid w:val="00617AD4"/>
    <w:rsid w:val="00622706"/>
    <w:rsid w:val="00623419"/>
    <w:rsid w:val="00644D71"/>
    <w:rsid w:val="00665E5B"/>
    <w:rsid w:val="0067102B"/>
    <w:rsid w:val="006A0030"/>
    <w:rsid w:val="006A2056"/>
    <w:rsid w:val="006A513E"/>
    <w:rsid w:val="006A539E"/>
    <w:rsid w:val="006A6A27"/>
    <w:rsid w:val="006B21F2"/>
    <w:rsid w:val="006C5BC2"/>
    <w:rsid w:val="006D2749"/>
    <w:rsid w:val="006E52D4"/>
    <w:rsid w:val="006F0DCA"/>
    <w:rsid w:val="006F540A"/>
    <w:rsid w:val="00702389"/>
    <w:rsid w:val="00702B25"/>
    <w:rsid w:val="00723905"/>
    <w:rsid w:val="00732815"/>
    <w:rsid w:val="00747B79"/>
    <w:rsid w:val="00776FE9"/>
    <w:rsid w:val="007776F7"/>
    <w:rsid w:val="00785EAF"/>
    <w:rsid w:val="007974F8"/>
    <w:rsid w:val="007A0E4A"/>
    <w:rsid w:val="007A2F19"/>
    <w:rsid w:val="007C4256"/>
    <w:rsid w:val="007C4B0C"/>
    <w:rsid w:val="007D374E"/>
    <w:rsid w:val="007E1C58"/>
    <w:rsid w:val="007E2A6C"/>
    <w:rsid w:val="007E6C10"/>
    <w:rsid w:val="007F156A"/>
    <w:rsid w:val="008127DA"/>
    <w:rsid w:val="008158C7"/>
    <w:rsid w:val="008441E3"/>
    <w:rsid w:val="008513F4"/>
    <w:rsid w:val="00857362"/>
    <w:rsid w:val="008640EC"/>
    <w:rsid w:val="00864323"/>
    <w:rsid w:val="0087595F"/>
    <w:rsid w:val="00876AC3"/>
    <w:rsid w:val="00877AAF"/>
    <w:rsid w:val="008813DE"/>
    <w:rsid w:val="008834FB"/>
    <w:rsid w:val="008D0047"/>
    <w:rsid w:val="008D2F07"/>
    <w:rsid w:val="008D794D"/>
    <w:rsid w:val="008D7D64"/>
    <w:rsid w:val="008E021E"/>
    <w:rsid w:val="008E0853"/>
    <w:rsid w:val="008F63F1"/>
    <w:rsid w:val="008F7766"/>
    <w:rsid w:val="00900D3F"/>
    <w:rsid w:val="009100DF"/>
    <w:rsid w:val="00911A8E"/>
    <w:rsid w:val="00924BAC"/>
    <w:rsid w:val="009361FE"/>
    <w:rsid w:val="00937CE7"/>
    <w:rsid w:val="00941CEB"/>
    <w:rsid w:val="00961DEB"/>
    <w:rsid w:val="00977C35"/>
    <w:rsid w:val="009A0988"/>
    <w:rsid w:val="009B01BA"/>
    <w:rsid w:val="009C0D1A"/>
    <w:rsid w:val="009D0FF6"/>
    <w:rsid w:val="009D31FA"/>
    <w:rsid w:val="009E6416"/>
    <w:rsid w:val="009E7D99"/>
    <w:rsid w:val="009F17B4"/>
    <w:rsid w:val="00A05CAC"/>
    <w:rsid w:val="00A10C50"/>
    <w:rsid w:val="00A152F8"/>
    <w:rsid w:val="00A2388B"/>
    <w:rsid w:val="00A333AC"/>
    <w:rsid w:val="00A33AEA"/>
    <w:rsid w:val="00A36431"/>
    <w:rsid w:val="00A455B3"/>
    <w:rsid w:val="00A7533E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040D"/>
    <w:rsid w:val="00AF5709"/>
    <w:rsid w:val="00B112B9"/>
    <w:rsid w:val="00B169BE"/>
    <w:rsid w:val="00B42A78"/>
    <w:rsid w:val="00B50A0F"/>
    <w:rsid w:val="00B57107"/>
    <w:rsid w:val="00B65147"/>
    <w:rsid w:val="00B825CD"/>
    <w:rsid w:val="00B843CD"/>
    <w:rsid w:val="00B96137"/>
    <w:rsid w:val="00BA09C6"/>
    <w:rsid w:val="00BA6144"/>
    <w:rsid w:val="00BA68EF"/>
    <w:rsid w:val="00BE4569"/>
    <w:rsid w:val="00C0479D"/>
    <w:rsid w:val="00C22B42"/>
    <w:rsid w:val="00C37EA5"/>
    <w:rsid w:val="00C412FC"/>
    <w:rsid w:val="00C429F2"/>
    <w:rsid w:val="00C55EA8"/>
    <w:rsid w:val="00C5725C"/>
    <w:rsid w:val="00C61598"/>
    <w:rsid w:val="00C63F66"/>
    <w:rsid w:val="00C64AE1"/>
    <w:rsid w:val="00C733F7"/>
    <w:rsid w:val="00C80C4E"/>
    <w:rsid w:val="00C82BC2"/>
    <w:rsid w:val="00C84095"/>
    <w:rsid w:val="00C8463B"/>
    <w:rsid w:val="00C91074"/>
    <w:rsid w:val="00C94FDE"/>
    <w:rsid w:val="00C958A1"/>
    <w:rsid w:val="00CA3C65"/>
    <w:rsid w:val="00CA7A2E"/>
    <w:rsid w:val="00CB28B6"/>
    <w:rsid w:val="00CC3841"/>
    <w:rsid w:val="00CC44B7"/>
    <w:rsid w:val="00CD442F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0E72"/>
    <w:rsid w:val="00D862E4"/>
    <w:rsid w:val="00DA179A"/>
    <w:rsid w:val="00DA3E7E"/>
    <w:rsid w:val="00DB3740"/>
    <w:rsid w:val="00DB3F40"/>
    <w:rsid w:val="00DC2118"/>
    <w:rsid w:val="00DC2D18"/>
    <w:rsid w:val="00DD43AF"/>
    <w:rsid w:val="00DD4763"/>
    <w:rsid w:val="00DD5BDB"/>
    <w:rsid w:val="00DF1C0F"/>
    <w:rsid w:val="00E02433"/>
    <w:rsid w:val="00E12311"/>
    <w:rsid w:val="00E22228"/>
    <w:rsid w:val="00E32A14"/>
    <w:rsid w:val="00E34EBB"/>
    <w:rsid w:val="00E34ED4"/>
    <w:rsid w:val="00E374CC"/>
    <w:rsid w:val="00E44D7D"/>
    <w:rsid w:val="00E50389"/>
    <w:rsid w:val="00E5237D"/>
    <w:rsid w:val="00E642DD"/>
    <w:rsid w:val="00E6630D"/>
    <w:rsid w:val="00E867E9"/>
    <w:rsid w:val="00E912C0"/>
    <w:rsid w:val="00EA005E"/>
    <w:rsid w:val="00EA1DE5"/>
    <w:rsid w:val="00EA69DC"/>
    <w:rsid w:val="00EC2B89"/>
    <w:rsid w:val="00ED2CF1"/>
    <w:rsid w:val="00ED3688"/>
    <w:rsid w:val="00EE4B45"/>
    <w:rsid w:val="00F10CB1"/>
    <w:rsid w:val="00F111CD"/>
    <w:rsid w:val="00F20B87"/>
    <w:rsid w:val="00F226AE"/>
    <w:rsid w:val="00F24AE1"/>
    <w:rsid w:val="00F34A4C"/>
    <w:rsid w:val="00F35503"/>
    <w:rsid w:val="00F517CC"/>
    <w:rsid w:val="00F51EAA"/>
    <w:rsid w:val="00F71409"/>
    <w:rsid w:val="00F72A2F"/>
    <w:rsid w:val="00F84745"/>
    <w:rsid w:val="00F96A78"/>
    <w:rsid w:val="00FB110F"/>
    <w:rsid w:val="00FD08C2"/>
    <w:rsid w:val="00FE04D1"/>
    <w:rsid w:val="00FE06AE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4358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44D7D"/>
    <w:pPr>
      <w:tabs>
        <w:tab w:val="right" w:leader="dot" w:pos="10056"/>
      </w:tabs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6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8995</TotalTime>
  <Pages>50</Pages>
  <Words>7462</Words>
  <Characters>42535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89</cp:revision>
  <dcterms:created xsi:type="dcterms:W3CDTF">2022-05-19T14:50:00Z</dcterms:created>
  <dcterms:modified xsi:type="dcterms:W3CDTF">2022-07-21T08:26:00Z</dcterms:modified>
</cp:coreProperties>
</file>