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67102B" w:rsidRDefault="00C958A1">
          <w:pPr>
            <w:pStyle w:val="21"/>
            <w:tabs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6874" w:history="1">
            <w:r w:rsidR="0067102B"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67102B">
              <w:rPr>
                <w:noProof/>
                <w:webHidden/>
              </w:rPr>
              <w:tab/>
            </w:r>
            <w:r w:rsidR="0067102B">
              <w:rPr>
                <w:noProof/>
                <w:webHidden/>
              </w:rPr>
              <w:fldChar w:fldCharType="begin"/>
            </w:r>
            <w:r w:rsidR="0067102B">
              <w:rPr>
                <w:noProof/>
                <w:webHidden/>
              </w:rPr>
              <w:instrText xml:space="preserve"> PAGEREF _Toc104816874 \h </w:instrText>
            </w:r>
            <w:r w:rsidR="0067102B">
              <w:rPr>
                <w:noProof/>
                <w:webHidden/>
              </w:rPr>
            </w:r>
            <w:r w:rsidR="0067102B">
              <w:rPr>
                <w:noProof/>
                <w:webHidden/>
              </w:rPr>
              <w:fldChar w:fldCharType="separate"/>
            </w:r>
            <w:r w:rsidR="0067102B">
              <w:rPr>
                <w:noProof/>
                <w:webHidden/>
              </w:rPr>
              <w:t>3</w:t>
            </w:r>
            <w:r w:rsidR="0067102B"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75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76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77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78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79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0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1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2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3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4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5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6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21"/>
            <w:tabs>
              <w:tab w:val="left" w:pos="88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7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8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89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90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91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92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93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2B" w:rsidRDefault="006710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4816894" w:history="1"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67DF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0" w:name="_Toc104816874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0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</w:t>
      </w:r>
      <w:proofErr w:type="spellStart"/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Совраменные</w:t>
      </w:r>
      <w:proofErr w:type="spellEnd"/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все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" w:name="_Toc104816875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1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4816876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ЭТТН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4816877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справочнике ТМЦ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P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4816878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4816879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5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 для указания типовых документов и их реквизит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согласно которым нужно прослеживать товары (в настоящее время не используется).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>, в таких позициях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12B9" w:rsidRDefault="00B112B9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Toc104816880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6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8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C82BC2" w:rsidRPr="009D07C0" w:rsidRDefault="00C82BC2" w:rsidP="00C82BC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D368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5981700" cy="3362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10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4581525" cy="3171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C91074" w:rsidRDefault="00C91074" w:rsidP="00C91074">
      <w:p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11)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который можно выбрать, нажав на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7" w:name="_Toc104816881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входящими ЭТТН</w:t>
      </w:r>
      <w:bookmarkEnd w:id="7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 по данной ЭТТН.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кодом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 в зависимости от результатов приемки над входящей ЭТТН выполняются следующие действия:</w:t>
      </w:r>
    </w:p>
    <w:p w:rsidR="006A513E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1061F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051585" w:rsidRPr="001061FF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 мож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но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создать сообщение с автоматическим текстом «ЭТТН не принята»,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нажав на кнопку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«Отменить ЭТТН». 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A3C65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появившемся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36431">
        <w:rPr>
          <w:rFonts w:ascii="Calibri" w:eastAsia="Calibri" w:hAnsi="Calibri" w:cs="Times New Roman"/>
          <w:sz w:val="24"/>
          <w:szCs w:val="24"/>
          <w:lang w:val="ru-RU" w:eastAsia="en-US"/>
        </w:rPr>
        <w:t>окне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необходимо выбрать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который будут загружены данные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1061F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C733F7" w:rsidRPr="00C733F7" w:rsidRDefault="009100DF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момент создания позиций складского документа происходит поиск товара по штрихкоду в справочнике ТМЦ. Если товар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не найден, создается карточка ТМЦ на новый товар в системной группе «Товары от поставщиков».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733F7"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, а именно</w:t>
      </w:r>
      <w:r w:rsidR="00C733F7"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733F7" w:rsidRPr="00C733F7" w:rsidRDefault="00C733F7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C733F7" w:rsidRPr="00C733F7" w:rsidRDefault="00C733F7" w:rsidP="00C733F7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 w:rsidR="00DB3740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8" w:name="_Toc104816882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8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операции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появится сообщение «ЭТТН отправлены», что свидетельствует о том, что создани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04762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успешного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грузоотправителя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Наименование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ТТН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(закладка «Реквизиты ТТН»)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данными: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наименование,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Отпуск разрешил (ссылка на сотрудника в справочнике сотрудников с обязательно заполненными данными: ФИО, должность),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Сдал отправитель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(ссылка на сотрудника в справочнике сотрудников с обязательно заполненными данными: ФИО, должность),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(ссылка на сотрудника в справочнике сотрудников с обязательно заполненными данными: ФИО, должность)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товарной позиции: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(ссылка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карточку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справочнике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обязательно заполненными данными: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наименование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штрихкод, код ТНВЭД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Единица измерения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(ссылка на карточку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единицы измерения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справочнике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единиц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обязательно заполненными данными: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международный код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ТН являются:</w:t>
      </w:r>
    </w:p>
    <w:p w:rsidR="00C61598" w:rsidRDefault="00C61598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создания ТН.</w:t>
      </w:r>
    </w:p>
    <w:p w:rsidR="00C61598" w:rsidRDefault="00C61598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ТТН (закладка «Реквизиты ТТН»)</w:t>
      </w:r>
    </w:p>
    <w:p w:rsidR="00C61598" w:rsidRDefault="00C61598" w:rsidP="00C6159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Наименование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C6159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C6159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C6159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bookmarkStart w:id="9" w:name="_GoBack"/>
      <w:bookmarkEnd w:id="9"/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proofErr w:type="gram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при портал</w:t>
      </w:r>
      <w:proofErr w:type="gram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, устранить причину (правильно заполнить данные, проверить ЭЦП), после чего повторить создание ЭТТН из складского документа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 После выполнения данных действий произойдет отмена существующей ЭТТН и создание новой.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Получен ответ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10" w:name="_Toc104816883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10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1" w:name="_Toc104816884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11"/>
    </w:p>
    <w:p w:rsidR="008158C7" w:rsidRDefault="008158C7" w:rsidP="008158C7">
      <w:pPr>
        <w:ind w:left="141"/>
        <w:jc w:val="center"/>
        <w:rPr>
          <w:b/>
          <w:sz w:val="24"/>
          <w:szCs w:val="24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 </w:t>
      </w:r>
      <w:proofErr w:type="spellStart"/>
      <w:r w:rsidR="00215B96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2" w:name="_Toc104816885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12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после его выгрузки в учетную систему и обработки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действия в появившемся окне (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документ в режиме редактирования (рис. 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A2492" w:rsidRDefault="003A2492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3A2492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843CD" w:rsidRDefault="00B843CD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D37A016" wp14:editId="4A053785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Дальнейшая работа с документом зависит от типа сканера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7FF7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367FF7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3.3</w:t>
        </w:r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7FF7"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="00367FF7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7FF7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proofErr w:type="gramStart"/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C2118" w:rsidRDefault="00DC2118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3" w:name="_Toc104816886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13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proofErr w:type="gramStart"/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proofErr w:type="gramStart"/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282CBD" w:rsidRPr="009D07C0" w:rsidRDefault="00282CBD" w:rsidP="00282CB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82CBD" w:rsidRDefault="00282CB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3.3</w:t>
        </w:r>
        <w:r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основе.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этого после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заполнения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 соответствующего типа необходимо запустить макрос «».</w:t>
      </w: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4915" w:rsidRDefault="00364915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4" w:name="_Toc104816887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14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переходом на новую строку, то необходимо перейти на вкладку «Ручное сканирование»,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и выбрать команду «Загрузить из файла». </w:t>
      </w:r>
    </w:p>
    <w:p w:rsidR="00B42A78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364915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3.1-3.2</w:t>
        </w:r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915" w:rsidRPr="00367FF7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  <w:r w:rsidR="00364915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5" w:name="_Toc104816888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15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Все ЭЗ, как входящие, так и исходящие, доступны для просмотра единым списком (рис.7)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CF6273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 стандартными кнопками расположены кнопки вызова команд для обработки ЭТТН: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(доступна только для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дата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изменения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клиент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Pr="00C8463B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480E75" w:rsidRPr="00C8463B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480E75" w:rsidRPr="00C8463B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480E75" w:rsidRPr="00C8463B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нижней левой части табличной части формы просмотра отображается состав выделенного документа (для входяще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формировалась и изменялась данная ЭТТН.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утвержденный набор полей с информацией из файла обмена, которую можно просмотреть, открыв соответствующее сообщение в режиме просмотра (рис. 9).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480E75" w:rsidP="00480E75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Pr="00AC7099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10)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480E75" w:rsidP="00480E75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480E75" w:rsidRPr="00C91074" w:rsidRDefault="00480E75" w:rsidP="00480E75">
      <w:p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Выделенн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необходимости можно открыть в режиме просмотра (рис. 11) для получения более подробной информации, в том числе по дополнительным реквизитам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480E75" w:rsidP="00480E75">
      <w:pPr>
        <w:spacing w:after="120"/>
        <w:jc w:val="both"/>
        <w:rPr>
          <w:noProof/>
        </w:rPr>
      </w:pP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6" w:name="_Toc10481688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16"/>
    </w:p>
    <w:p w:rsidR="00480E75" w:rsidRPr="00C82BC2" w:rsidRDefault="00480E75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отфильтрованы по признаку «Входящ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для обновления данных по входящим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ручном режиме используется кнопка «Загрузить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proofErr w:type="gramStart"/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504043" w:rsidP="00504043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Tahoma" w:hAnsi="Tahoma" w:cs="Tahoma"/>
          <w:noProof/>
          <w:sz w:val="24"/>
          <w:szCs w:val="24"/>
          <w:lang w:val="ru-RU"/>
        </w:rPr>
        <w:drawing>
          <wp:inline distT="0" distB="0" distL="0" distR="0" wp14:anchorId="6A7E7043" wp14:editId="0FA5A3C4">
            <wp:extent cx="4953000" cy="2957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29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После подтверждения ответа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364CB5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364CB5" w:rsidRPr="00E2222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CB5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9E6416" w:rsidRPr="009E6416">
        <w:rPr>
          <w:rStyle w:val="a7"/>
          <w:rFonts w:ascii="Calibri" w:eastAsia="Calibri" w:hAnsi="Calibri"/>
          <w:b/>
          <w:sz w:val="24"/>
          <w:szCs w:val="24"/>
          <w:lang w:val="en-US"/>
        </w:rPr>
        <w:t>II</w:t>
      </w:r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отгрузке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рис. )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и открытие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уведомления для 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обязательное заполнение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корректировка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6C5BC2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CD5AE1C" wp14:editId="0C85550C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уведомления об отгрузке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уведомления об отгрузке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производится в блоке исходящих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Ввод_позиций_документа" w:history="1">
        <w:r w:rsidR="009E6416" w:rsidRPr="00E2222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9E6416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9E6416" w:rsidRPr="00E22228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E2222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9E6416" w:rsidRPr="009E6416">
        <w:rPr>
          <w:rStyle w:val="a7"/>
          <w:rFonts w:ascii="Calibri" w:eastAsia="Calibri" w:hAnsi="Calibri"/>
          <w:b/>
          <w:sz w:val="24"/>
          <w:szCs w:val="24"/>
          <w:lang w:val="en-US"/>
        </w:rPr>
        <w:t>II</w:t>
      </w:r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7" w:name="_Toc10481689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17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876AC3" w:rsidRDefault="00876AC3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8" w:name="_Toc104816891"/>
      <w:r w:rsidRPr="00876A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ответами на ЭЗ</w:t>
      </w:r>
      <w:bookmarkEnd w:id="1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876AC3" w:rsidRDefault="00876AC3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9" w:name="_Toc104816892"/>
      <w:r w:rsidRPr="00876A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ответами на ЭЗ</w:t>
      </w:r>
      <w:bookmarkEnd w:id="19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876AC3" w:rsidRDefault="00876AC3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4816893"/>
      <w:r w:rsidRPr="00876A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во входящими уведомлениями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об отгрузке</w:t>
      </w:r>
      <w:bookmarkEnd w:id="20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876AC3" w:rsidRDefault="00876AC3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1" w:name="_Toc104816894"/>
      <w:r w:rsidRPr="00876A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уведомлениями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об отгрузке</w:t>
      </w:r>
      <w:bookmarkEnd w:id="21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2545D"/>
    <w:multiLevelType w:val="hybridMultilevel"/>
    <w:tmpl w:val="826A9FF8"/>
    <w:lvl w:ilvl="0" w:tplc="E8D4904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6"/>
  </w:num>
  <w:num w:numId="2">
    <w:abstractNumId w:val="30"/>
  </w:num>
  <w:num w:numId="3">
    <w:abstractNumId w:val="18"/>
  </w:num>
  <w:num w:numId="4">
    <w:abstractNumId w:val="19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8"/>
  </w:num>
  <w:num w:numId="11">
    <w:abstractNumId w:val="15"/>
  </w:num>
  <w:num w:numId="12">
    <w:abstractNumId w:val="11"/>
  </w:num>
  <w:num w:numId="13">
    <w:abstractNumId w:val="12"/>
  </w:num>
  <w:num w:numId="1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"/>
  </w:num>
  <w:num w:numId="21">
    <w:abstractNumId w:val="23"/>
  </w:num>
  <w:num w:numId="22">
    <w:abstractNumId w:val="20"/>
  </w:num>
  <w:num w:numId="23">
    <w:abstractNumId w:val="17"/>
  </w:num>
  <w:num w:numId="24">
    <w:abstractNumId w:val="21"/>
  </w:num>
  <w:num w:numId="25">
    <w:abstractNumId w:val="8"/>
  </w:num>
  <w:num w:numId="26">
    <w:abstractNumId w:val="14"/>
  </w:num>
  <w:num w:numId="27">
    <w:abstractNumId w:val="24"/>
  </w:num>
  <w:num w:numId="28">
    <w:abstractNumId w:val="10"/>
  </w:num>
  <w:num w:numId="29">
    <w:abstractNumId w:val="3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248A7"/>
    <w:rsid w:val="00046CA4"/>
    <w:rsid w:val="00047627"/>
    <w:rsid w:val="00051585"/>
    <w:rsid w:val="000878FE"/>
    <w:rsid w:val="000B2B0D"/>
    <w:rsid w:val="000C239A"/>
    <w:rsid w:val="000E4251"/>
    <w:rsid w:val="000F70A8"/>
    <w:rsid w:val="001061FF"/>
    <w:rsid w:val="001155D4"/>
    <w:rsid w:val="00124C78"/>
    <w:rsid w:val="00132311"/>
    <w:rsid w:val="00147696"/>
    <w:rsid w:val="00152E60"/>
    <w:rsid w:val="00153B3D"/>
    <w:rsid w:val="00154014"/>
    <w:rsid w:val="00160EFC"/>
    <w:rsid w:val="001830FF"/>
    <w:rsid w:val="00183B73"/>
    <w:rsid w:val="001C78BA"/>
    <w:rsid w:val="001D0325"/>
    <w:rsid w:val="00215B96"/>
    <w:rsid w:val="0023131C"/>
    <w:rsid w:val="002373C0"/>
    <w:rsid w:val="00277F51"/>
    <w:rsid w:val="00282CBD"/>
    <w:rsid w:val="00284CBF"/>
    <w:rsid w:val="002C1E83"/>
    <w:rsid w:val="002C237C"/>
    <w:rsid w:val="002D573B"/>
    <w:rsid w:val="002D6831"/>
    <w:rsid w:val="002F54E7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4219C"/>
    <w:rsid w:val="00480E75"/>
    <w:rsid w:val="00485C5C"/>
    <w:rsid w:val="004922F1"/>
    <w:rsid w:val="004A4161"/>
    <w:rsid w:val="004A7C3F"/>
    <w:rsid w:val="004D46A2"/>
    <w:rsid w:val="004E1BBD"/>
    <w:rsid w:val="004E1C9E"/>
    <w:rsid w:val="004F7883"/>
    <w:rsid w:val="00504043"/>
    <w:rsid w:val="00513FBC"/>
    <w:rsid w:val="00520B61"/>
    <w:rsid w:val="00527E42"/>
    <w:rsid w:val="00537526"/>
    <w:rsid w:val="00557245"/>
    <w:rsid w:val="0057199A"/>
    <w:rsid w:val="00573068"/>
    <w:rsid w:val="005F5F03"/>
    <w:rsid w:val="00617AD4"/>
    <w:rsid w:val="00623419"/>
    <w:rsid w:val="00644D71"/>
    <w:rsid w:val="00665E5B"/>
    <w:rsid w:val="0067102B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23905"/>
    <w:rsid w:val="00747B79"/>
    <w:rsid w:val="007A2F19"/>
    <w:rsid w:val="007C4256"/>
    <w:rsid w:val="007C4B0C"/>
    <w:rsid w:val="007D374E"/>
    <w:rsid w:val="007E1C58"/>
    <w:rsid w:val="007E6C10"/>
    <w:rsid w:val="007F156A"/>
    <w:rsid w:val="008127DA"/>
    <w:rsid w:val="008158C7"/>
    <w:rsid w:val="008441E3"/>
    <w:rsid w:val="008513F4"/>
    <w:rsid w:val="00864323"/>
    <w:rsid w:val="00876AC3"/>
    <w:rsid w:val="00877AAF"/>
    <w:rsid w:val="008813DE"/>
    <w:rsid w:val="008834FB"/>
    <w:rsid w:val="008D794D"/>
    <w:rsid w:val="008D7D64"/>
    <w:rsid w:val="008E021E"/>
    <w:rsid w:val="008E0853"/>
    <w:rsid w:val="008F7766"/>
    <w:rsid w:val="00900D3F"/>
    <w:rsid w:val="009100DF"/>
    <w:rsid w:val="00911A8E"/>
    <w:rsid w:val="00924BAC"/>
    <w:rsid w:val="00937CE7"/>
    <w:rsid w:val="00977C35"/>
    <w:rsid w:val="009A0988"/>
    <w:rsid w:val="009B01BA"/>
    <w:rsid w:val="009D0FF6"/>
    <w:rsid w:val="009D31FA"/>
    <w:rsid w:val="009E6416"/>
    <w:rsid w:val="009E7D99"/>
    <w:rsid w:val="00A152F8"/>
    <w:rsid w:val="00A2388B"/>
    <w:rsid w:val="00A33AEA"/>
    <w:rsid w:val="00A36431"/>
    <w:rsid w:val="00A455B3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5709"/>
    <w:rsid w:val="00B112B9"/>
    <w:rsid w:val="00B42A78"/>
    <w:rsid w:val="00B50A0F"/>
    <w:rsid w:val="00B57107"/>
    <w:rsid w:val="00B843CD"/>
    <w:rsid w:val="00B96137"/>
    <w:rsid w:val="00BA09C6"/>
    <w:rsid w:val="00BA6144"/>
    <w:rsid w:val="00C0479D"/>
    <w:rsid w:val="00C412FC"/>
    <w:rsid w:val="00C429F2"/>
    <w:rsid w:val="00C5725C"/>
    <w:rsid w:val="00C61598"/>
    <w:rsid w:val="00C64AE1"/>
    <w:rsid w:val="00C733F7"/>
    <w:rsid w:val="00C82BC2"/>
    <w:rsid w:val="00C84095"/>
    <w:rsid w:val="00C8463B"/>
    <w:rsid w:val="00C91074"/>
    <w:rsid w:val="00C94FDE"/>
    <w:rsid w:val="00C958A1"/>
    <w:rsid w:val="00CA3C65"/>
    <w:rsid w:val="00CB28B6"/>
    <w:rsid w:val="00CC3841"/>
    <w:rsid w:val="00CC44B7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62E4"/>
    <w:rsid w:val="00DA179A"/>
    <w:rsid w:val="00DA3E7E"/>
    <w:rsid w:val="00DB3740"/>
    <w:rsid w:val="00DB3F40"/>
    <w:rsid w:val="00DC2118"/>
    <w:rsid w:val="00DD5BDB"/>
    <w:rsid w:val="00E12311"/>
    <w:rsid w:val="00E22228"/>
    <w:rsid w:val="00E32A14"/>
    <w:rsid w:val="00E34ED4"/>
    <w:rsid w:val="00E374CC"/>
    <w:rsid w:val="00E50389"/>
    <w:rsid w:val="00E5237D"/>
    <w:rsid w:val="00E642DD"/>
    <w:rsid w:val="00E6630D"/>
    <w:rsid w:val="00EA005E"/>
    <w:rsid w:val="00EA1DE5"/>
    <w:rsid w:val="00EA69DC"/>
    <w:rsid w:val="00EC2B89"/>
    <w:rsid w:val="00ED2CF1"/>
    <w:rsid w:val="00ED3688"/>
    <w:rsid w:val="00EE4B45"/>
    <w:rsid w:val="00F226AE"/>
    <w:rsid w:val="00F24AE1"/>
    <w:rsid w:val="00F34A4C"/>
    <w:rsid w:val="00F51EAA"/>
    <w:rsid w:val="00F71409"/>
    <w:rsid w:val="00F84745"/>
    <w:rsid w:val="00F96A78"/>
    <w:rsid w:val="00FB110F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83EB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C958A1"/>
    <w:pPr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36</Pages>
  <Words>5895</Words>
  <Characters>33607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64</cp:revision>
  <dcterms:created xsi:type="dcterms:W3CDTF">2022-05-19T14:50:00Z</dcterms:created>
  <dcterms:modified xsi:type="dcterms:W3CDTF">2022-05-30T14:22:00Z</dcterms:modified>
</cp:coreProperties>
</file>