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E44D7D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82833" w:history="1">
            <w:r w:rsidR="00E44D7D"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E44D7D">
              <w:rPr>
                <w:noProof/>
                <w:webHidden/>
              </w:rPr>
              <w:tab/>
            </w:r>
            <w:r w:rsidR="00E44D7D">
              <w:rPr>
                <w:noProof/>
                <w:webHidden/>
              </w:rPr>
              <w:fldChar w:fldCharType="begin"/>
            </w:r>
            <w:r w:rsidR="00E44D7D">
              <w:rPr>
                <w:noProof/>
                <w:webHidden/>
              </w:rPr>
              <w:instrText xml:space="preserve"> PAGEREF _Toc104982833 \h </w:instrText>
            </w:r>
            <w:r w:rsidR="00E44D7D">
              <w:rPr>
                <w:noProof/>
                <w:webHidden/>
              </w:rPr>
            </w:r>
            <w:r w:rsidR="00E44D7D">
              <w:rPr>
                <w:noProof/>
                <w:webHidden/>
              </w:rPr>
              <w:fldChar w:fldCharType="separate"/>
            </w:r>
            <w:r w:rsidR="00E44D7D">
              <w:rPr>
                <w:noProof/>
                <w:webHidden/>
              </w:rPr>
              <w:t>3</w:t>
            </w:r>
            <w:r w:rsidR="00E44D7D"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4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5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6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7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8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39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0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1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2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3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4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5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6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7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8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49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0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1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2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3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4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D7D" w:rsidRDefault="00E44D7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982855" w:history="1"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F1344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0" w:name="_Toc104982833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0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" w:name="_Toc104982834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1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4982835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498283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справочнике ТМЦ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P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4982837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Справочники_электронного_документоо"/>
      <w:bookmarkStart w:id="6" w:name="_Toc104982838"/>
      <w:bookmarkEnd w:id="5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6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 для указания типовых документов и их реквизит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согласно которым нужно прослеживать товары (в настоящее время не используется).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12B9" w:rsidRDefault="00B112B9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7" w:name="_Toc104982839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7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8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C82BC2" w:rsidRPr="009D07C0" w:rsidRDefault="00C82BC2" w:rsidP="00C82BC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D368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5029200" cy="28269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515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10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11)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8" w:name="_Toc104982840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8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12)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14)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A3C65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появившемся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36431">
        <w:rPr>
          <w:rFonts w:ascii="Calibri" w:eastAsia="Calibri" w:hAnsi="Calibri" w:cs="Times New Roman"/>
          <w:sz w:val="24"/>
          <w:szCs w:val="24"/>
          <w:lang w:val="ru-RU" w:eastAsia="en-US"/>
        </w:rPr>
        <w:t>окне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необходимо выбрать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который будут загружены данные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55" w:rsidRDefault="004D365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Данная операция не доступна, если грузополучателю не отправлено подтверждение, либо уведомление.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0C4112" w:rsidRDefault="00FD08C2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 «Настройках электронного документооборота» указано «не подставлять товары при загрузке», то в</w:t>
      </w:r>
      <w:r w:rsidR="009100D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момент создания позиций складского документа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(иначе – в момент создания позиций входящей ЭТТН при ее загрузке) </w:t>
      </w:r>
      <w:r w:rsidR="009100D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поиск товара по штрихкоду в справочнике ТМЦ. Если товар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не найден, создается карточка ТМЦ на новый товар в системной группе «Товары от поставщиков»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реквизитами, автоматически заполненными на основании позиций ЭТТН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9" w:name="_Toc104982841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9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16)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0C4112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10" w:name="_Toc104982842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10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1" w:name="_Toc104982843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11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2" w:name="_Приемка_прослеживаемых_товаров"/>
      <w:bookmarkStart w:id="13" w:name="_Toc104982844"/>
      <w:bookmarkEnd w:id="12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13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17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C2D18" w:rsidRPr="00F35503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4" w:name="_Toc104982845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14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основе.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этого после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заполнения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 соответствующего типа необходимо запустить макрос «</w:t>
      </w:r>
      <w:r w:rsidR="004F1E81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bookmarkStart w:id="15" w:name="_GoBack"/>
      <w:bookmarkEnd w:id="15"/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, который сформирует позиции складского документа на основании документа сканирования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Работа_с_документом"/>
      <w:bookmarkStart w:id="17" w:name="_Toc104982846"/>
      <w:bookmarkEnd w:id="16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17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21)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22)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6391910" cy="58115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8" w:name="_Toc104982847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18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61D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аналогично сообщению для ЭТТН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которую можно просмотреть, открыв соответствующее сообщение в режиме просмотра (рис. 9).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10)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24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024DD9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9" w:name="_Toc10498284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19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8F63F1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8F63F1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созданн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>ое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на отгрузку по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(рис. 26)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F17B4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498284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20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1" w:name="_Toc10498285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21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2" w:name="_Toc104982851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2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3" w:name="_Работа_с_исходящими"/>
      <w:bookmarkStart w:id="24" w:name="_Toc104982852"/>
      <w:bookmarkEnd w:id="23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2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5" w:name="_Toc104982853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25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6" w:name="_Toc104982854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2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Работа_с_исходящими_1"/>
      <w:bookmarkStart w:id="28" w:name="_Toc104982855"/>
      <w:bookmarkEnd w:id="27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28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F15EC"/>
    <w:multiLevelType w:val="hybridMultilevel"/>
    <w:tmpl w:val="8DA454B8"/>
    <w:lvl w:ilvl="0" w:tplc="E8D4904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34"/>
  </w:num>
  <w:num w:numId="3">
    <w:abstractNumId w:val="22"/>
  </w:num>
  <w:num w:numId="4">
    <w:abstractNumId w:val="23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2"/>
  </w:num>
  <w:num w:numId="11">
    <w:abstractNumId w:val="18"/>
  </w:num>
  <w:num w:numId="12">
    <w:abstractNumId w:val="14"/>
  </w:num>
  <w:num w:numId="13">
    <w:abstractNumId w:val="15"/>
  </w:num>
  <w:num w:numId="14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12"/>
  </w:num>
  <w:num w:numId="18">
    <w:abstractNumId w:val="29"/>
  </w:num>
  <w:num w:numId="19">
    <w:abstractNumId w:val="8"/>
  </w:num>
  <w:num w:numId="20">
    <w:abstractNumId w:val="3"/>
  </w:num>
  <w:num w:numId="21">
    <w:abstractNumId w:val="27"/>
  </w:num>
  <w:num w:numId="22">
    <w:abstractNumId w:val="24"/>
  </w:num>
  <w:num w:numId="23">
    <w:abstractNumId w:val="21"/>
  </w:num>
  <w:num w:numId="24">
    <w:abstractNumId w:val="25"/>
  </w:num>
  <w:num w:numId="25">
    <w:abstractNumId w:val="11"/>
  </w:num>
  <w:num w:numId="26">
    <w:abstractNumId w:val="17"/>
  </w:num>
  <w:num w:numId="27">
    <w:abstractNumId w:val="28"/>
  </w:num>
  <w:num w:numId="28">
    <w:abstractNumId w:val="13"/>
  </w:num>
  <w:num w:numId="29">
    <w:abstractNumId w:val="5"/>
  </w:num>
  <w:num w:numId="30">
    <w:abstractNumId w:val="30"/>
  </w:num>
  <w:num w:numId="31">
    <w:abstractNumId w:val="16"/>
  </w:num>
  <w:num w:numId="32">
    <w:abstractNumId w:val="0"/>
  </w:num>
  <w:num w:numId="33">
    <w:abstractNumId w:val="9"/>
  </w:num>
  <w:num w:numId="34">
    <w:abstractNumId w:val="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248A7"/>
    <w:rsid w:val="00024DD9"/>
    <w:rsid w:val="00046CA4"/>
    <w:rsid w:val="00047627"/>
    <w:rsid w:val="00051585"/>
    <w:rsid w:val="000878FE"/>
    <w:rsid w:val="000B2B0D"/>
    <w:rsid w:val="000C239A"/>
    <w:rsid w:val="000C4112"/>
    <w:rsid w:val="000E4251"/>
    <w:rsid w:val="000F70A8"/>
    <w:rsid w:val="001061FF"/>
    <w:rsid w:val="001155D4"/>
    <w:rsid w:val="00124C78"/>
    <w:rsid w:val="00132311"/>
    <w:rsid w:val="00147696"/>
    <w:rsid w:val="00152E60"/>
    <w:rsid w:val="00153B3D"/>
    <w:rsid w:val="00154014"/>
    <w:rsid w:val="00160EFC"/>
    <w:rsid w:val="0018102A"/>
    <w:rsid w:val="001830FF"/>
    <w:rsid w:val="00183B73"/>
    <w:rsid w:val="0019288D"/>
    <w:rsid w:val="001C78BA"/>
    <w:rsid w:val="001D0325"/>
    <w:rsid w:val="00215B96"/>
    <w:rsid w:val="0023131C"/>
    <w:rsid w:val="002373C0"/>
    <w:rsid w:val="00277F51"/>
    <w:rsid w:val="00282CBD"/>
    <w:rsid w:val="00284CBF"/>
    <w:rsid w:val="002C1E83"/>
    <w:rsid w:val="002C237C"/>
    <w:rsid w:val="002C6DAB"/>
    <w:rsid w:val="002D573B"/>
    <w:rsid w:val="002D6831"/>
    <w:rsid w:val="002F54E7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A4161"/>
    <w:rsid w:val="004A7C3F"/>
    <w:rsid w:val="004D3655"/>
    <w:rsid w:val="004D46A2"/>
    <w:rsid w:val="004E1BBD"/>
    <w:rsid w:val="004E1C9E"/>
    <w:rsid w:val="004F1E81"/>
    <w:rsid w:val="004F7883"/>
    <w:rsid w:val="00504043"/>
    <w:rsid w:val="00513FBC"/>
    <w:rsid w:val="00520B61"/>
    <w:rsid w:val="00527E42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23905"/>
    <w:rsid w:val="00747B79"/>
    <w:rsid w:val="007974F8"/>
    <w:rsid w:val="007A2F19"/>
    <w:rsid w:val="007C4256"/>
    <w:rsid w:val="007C4B0C"/>
    <w:rsid w:val="007D374E"/>
    <w:rsid w:val="007E1C58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152F8"/>
    <w:rsid w:val="00A2388B"/>
    <w:rsid w:val="00A333AC"/>
    <w:rsid w:val="00A33AEA"/>
    <w:rsid w:val="00A36431"/>
    <w:rsid w:val="00A455B3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42A78"/>
    <w:rsid w:val="00B50A0F"/>
    <w:rsid w:val="00B57107"/>
    <w:rsid w:val="00B843CD"/>
    <w:rsid w:val="00B96137"/>
    <w:rsid w:val="00BA09C6"/>
    <w:rsid w:val="00BA6144"/>
    <w:rsid w:val="00BA68EF"/>
    <w:rsid w:val="00BE4569"/>
    <w:rsid w:val="00C0479D"/>
    <w:rsid w:val="00C412FC"/>
    <w:rsid w:val="00C429F2"/>
    <w:rsid w:val="00C5725C"/>
    <w:rsid w:val="00C61598"/>
    <w:rsid w:val="00C64AE1"/>
    <w:rsid w:val="00C733F7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62E4"/>
    <w:rsid w:val="00DA179A"/>
    <w:rsid w:val="00DA3E7E"/>
    <w:rsid w:val="00DB3740"/>
    <w:rsid w:val="00DB3F40"/>
    <w:rsid w:val="00DC2118"/>
    <w:rsid w:val="00DC2D18"/>
    <w:rsid w:val="00DD5BDB"/>
    <w:rsid w:val="00E12311"/>
    <w:rsid w:val="00E22228"/>
    <w:rsid w:val="00E32A14"/>
    <w:rsid w:val="00E34ED4"/>
    <w:rsid w:val="00E374CC"/>
    <w:rsid w:val="00E44D7D"/>
    <w:rsid w:val="00E50389"/>
    <w:rsid w:val="00E5237D"/>
    <w:rsid w:val="00E642DD"/>
    <w:rsid w:val="00E6630D"/>
    <w:rsid w:val="00E867E9"/>
    <w:rsid w:val="00EA005E"/>
    <w:rsid w:val="00EA1DE5"/>
    <w:rsid w:val="00EA69DC"/>
    <w:rsid w:val="00EC2B89"/>
    <w:rsid w:val="00ED2CF1"/>
    <w:rsid w:val="00ED3688"/>
    <w:rsid w:val="00EE4B45"/>
    <w:rsid w:val="00F10CB1"/>
    <w:rsid w:val="00F20B87"/>
    <w:rsid w:val="00F226AE"/>
    <w:rsid w:val="00F24AE1"/>
    <w:rsid w:val="00F34A4C"/>
    <w:rsid w:val="00F35503"/>
    <w:rsid w:val="00F51EAA"/>
    <w:rsid w:val="00F71409"/>
    <w:rsid w:val="00F84745"/>
    <w:rsid w:val="00F96A78"/>
    <w:rsid w:val="00FB110F"/>
    <w:rsid w:val="00FD08C2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83EB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8176</TotalTime>
  <Pages>40</Pages>
  <Words>6168</Words>
  <Characters>35163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76</cp:revision>
  <dcterms:created xsi:type="dcterms:W3CDTF">2022-05-19T14:50:00Z</dcterms:created>
  <dcterms:modified xsi:type="dcterms:W3CDTF">2022-06-01T12:37:00Z</dcterms:modified>
</cp:coreProperties>
</file>