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Northern Oil and Gas Well Site Database</w:t>
      </w:r>
    </w:p>
    <w:bookmarkStart w:id="22" w:name="background-and-motivation"/>
    <w:p>
      <w:pPr>
        <w:pStyle w:val="Heading2"/>
      </w:pPr>
      <w:r>
        <w:t xml:space="preserve">Background and Motivation</w:t>
      </w:r>
    </w:p>
    <w:p>
      <w:pPr>
        <w:pStyle w:val="FirstParagraph"/>
      </w:pPr>
      <w:r>
        <w:t xml:space="preserve">There is not a unified, publicly available database of operational or legacy oil and gas well sites in Canada’s north. This presents a challenge for local governments, regulators, and academics wishing to understand hazards associated with oil and gas infrastructure. This issue is particularly notable within the Inuvialuit Settlement Region (ISR), which seems to exist within an information</w:t>
      </w:r>
      <w:r>
        <w:t xml:space="preserve"> </w:t>
      </w:r>
      <w:r>
        <w:t xml:space="preserve">“black hole”</w:t>
      </w:r>
      <w:r>
        <w:t xml:space="preserve"> </w:t>
      </w:r>
      <w:r>
        <w:t xml:space="preserve">in regards to well locations, despite decades of oil and gas exploration in the area. While the because the NWT Office of the Regulator of Oil and Gas Operations (OROGO) does maintain the publicly accessible</w:t>
      </w:r>
      <w:r>
        <w:t xml:space="preserve"> </w:t>
      </w:r>
      <w:hyperlink r:id="rId20">
        <w:r>
          <w:rPr>
            <w:rStyle w:val="Hyperlink"/>
          </w:rPr>
          <w:t xml:space="preserve">OROGO Well Status</w:t>
        </w:r>
      </w:hyperlink>
      <w:r>
        <w:t xml:space="preserve"> </w:t>
      </w:r>
      <w:r>
        <w:t xml:space="preserve">database, OROGO does not have jurisdiction over the ISR. The Canadian Energy Regulator has jurisdiction over well site data in the region, however however the majority of wells in the ISR has been excluded from their publicly accessible</w:t>
      </w:r>
      <w:r>
        <w:t xml:space="preserve"> </w:t>
      </w:r>
      <w:hyperlink r:id="rId21">
        <w:r>
          <w:rPr>
            <w:rStyle w:val="Hyperlink"/>
          </w:rPr>
          <w:t xml:space="preserve">Basin Database</w:t>
        </w:r>
      </w:hyperlink>
      <w:r>
        <w:t xml:space="preserve">. Here, we present a synthesis of publicly available records to yield the most comprehensive dataset of well sites in Northern Canada.</w:t>
      </w:r>
    </w:p>
    <w:bookmarkEnd w:id="22"/>
    <w:bookmarkStart w:id="42" w:name="data"/>
    <w:p>
      <w:pPr>
        <w:pStyle w:val="Heading2"/>
      </w:pPr>
      <w:r>
        <w:t xml:space="preserve">Data</w:t>
      </w:r>
    </w:p>
    <w:p>
      <w:pPr>
        <w:pStyle w:val="FirstParagraph"/>
      </w:pPr>
      <w:r>
        <w:t xml:space="preserve">A description of the source data which were incorporated into this database, described in</w:t>
      </w:r>
      <w:r>
        <w:t xml:space="preserve"> </w:t>
      </w:r>
      <w:hyperlink w:anchor="tbl-Table1">
        <w:r>
          <w:rPr>
            <w:rStyle w:val="Hyperlink"/>
          </w:rPr>
          <w:t xml:space="preserve">Table 1</w:t>
        </w:r>
      </w:hyperlink>
      <w:r>
        <w:t xml:space="preserve"> </w:t>
      </w:r>
      <w:r>
        <w:t xml:space="preserve">and</w:t>
      </w:r>
      <w:r>
        <w:t xml:space="preserve"> </w:t>
      </w:r>
      <w:hyperlink w:anchor="tbl-Table2">
        <w:r>
          <w:rPr>
            <w:rStyle w:val="Hyperlink"/>
          </w:rPr>
          <w:t xml:space="preserve">Table 2</w:t>
        </w:r>
      </w:hyperlink>
      <w:r>
        <w:t xml:space="preserve">, and a map of the well sites is shown in</w:t>
      </w:r>
      <w:r>
        <w:t xml:space="preserve"> </w:t>
      </w:r>
      <w:hyperlink w:anchor="fig-map1">
        <w:r>
          <w:rPr>
            <w:rStyle w:val="Hyperlink"/>
          </w:rPr>
          <w:t xml:space="preserve">Figure 1</w:t>
        </w:r>
      </w:hyperlink>
      <w:r>
        <w:t xml:space="preserve">. The OROGO database contributed the largest number of records to the database, followed by the GSC open files and the Arktis report (which had substantial overlap), followed by the Basin database, and then the GeoYukon database. Additionally, the LTLC report provided supplemental information for a number of off-shore wells in the Beaufort Sea, however this report did not contain coordinates so the unique wells (n=2) in this dataset could not be geolocated.</w:t>
      </w:r>
    </w:p>
    <w:tbl>
      <w:tblPr>
        <w:tblStyle w:val="Table"/>
        <w:tblW w:type="pct" w:w="5000"/>
        <w:tblLayout w:type="fixed"/>
        <w:tblLook w:firstRow="0" w:lastRow="0" w:firstColumn="0" w:lastColumn="0" w:noHBand="0" w:noVBand="0" w:val="0000"/>
      </w:tblPr>
      <w:tblGrid>
        <w:gridCol w:w="7920"/>
      </w:tblGrid>
      <w:tr>
        <w:tc>
          <w:tcPr/>
          <w:bookmarkStart w:id="23" w:name="tbl-Table1"/>
          <w:p>
            <w:pPr>
              <w:jc w:val="center"/>
            </w:pPr>
            <w:pPr>
              <w:jc w:val="start"/>
              <w:spacing w:before="200"/>
              <w:pStyle w:val="ImageCaption"/>
            </w:pPr>
            <w:r>
              <w:t xml:space="preserve">Table 1: Sources used in compiling the databased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Source</w:t>
                  </w:r>
                </w:p>
              </w:tc>
              <w:tc>
                <w:tcPr/>
                <w:p>
                  <w:pPr>
                    <w:pStyle w:val="Compact"/>
                    <w:jc w:val="left"/>
                    <w:jc w:val="center"/>
                  </w:pPr>
                  <w:r>
                    <w:t xml:space="preserve">Description</w:t>
                  </w:r>
                </w:p>
              </w:tc>
              <w:tc>
                <w:tcPr/>
                <w:p>
                  <w:pPr>
                    <w:pStyle w:val="Compact"/>
                    <w:jc w:val="left"/>
                    <w:jc w:val="center"/>
                  </w:pPr>
                  <w:r>
                    <w:t xml:space="preserve">Citation</w:t>
                  </w:r>
                </w:p>
              </w:tc>
            </w:tr>
            <w:tr>
              <w:tc>
                <w:tcPr/>
                <w:p>
                  <w:pPr>
                    <w:pStyle w:val="Compact"/>
                    <w:jc w:val="left"/>
                    <w:jc w:val="center"/>
                  </w:pPr>
                  <w:r>
                    <w:t xml:space="preserve">GSC</w:t>
                  </w:r>
                </w:p>
              </w:tc>
              <w:tc>
                <w:tcPr/>
                <w:p>
                  <w:pPr>
                    <w:pStyle w:val="Compact"/>
                    <w:jc w:val="left"/>
                    <w:jc w:val="center"/>
                  </w:pPr>
                  <w:r>
                    <w:t xml:space="preserve">GSC open files with embedded well site data for the Mackenzie Delta and Beaufort Sea, primarily sourced from the Canadian Energy Regulator and/or Industry</w:t>
                  </w:r>
                </w:p>
              </w:tc>
              <w:tc>
                <w:tcPr/>
                <w:p>
                  <w:pPr>
                    <w:pStyle w:val="Compact"/>
                    <w:jc w:val="left"/>
                    <w:jc w:val="center"/>
                  </w:pPr>
                  <w:r>
                    <w:t xml:space="preserve">Osadetz et al. (2005)</w:t>
                  </w:r>
                  <w:r>
                    <w:t xml:space="preserve">;</w:t>
                  </w:r>
                  <w:r>
                    <w:t xml:space="preserve"> </w:t>
                  </w:r>
                  <w:r>
                    <w:t xml:space="preserve">Hu et al. (2013)</w:t>
                  </w:r>
                  <w:r>
                    <w:t xml:space="preserve">; hu_overpressure_detection_2021_a</w:t>
                  </w:r>
                </w:p>
              </w:tc>
            </w:tr>
            <w:tr>
              <w:tc>
                <w:tcPr/>
                <w:p>
                  <w:pPr>
                    <w:pStyle w:val="Compact"/>
                    <w:jc w:val="left"/>
                    <w:jc w:val="center"/>
                  </w:pPr>
                  <w:r>
                    <w:t xml:space="preserve">OROGO</w:t>
                  </w:r>
                </w:p>
              </w:tc>
              <w:tc>
                <w:tcPr/>
                <w:p>
                  <w:pPr>
                    <w:pStyle w:val="Compact"/>
                    <w:jc w:val="left"/>
                    <w:jc w:val="center"/>
                  </w:pPr>
                  <w:r>
                    <w:t xml:space="preserve">NWT Office of the Regulator of Oil and Gas Operation (OROGO) maintains a public database of all wells in the NWT</w:t>
                  </w:r>
                  <w:r>
                    <w:t xml:space="preserve"> </w:t>
                  </w:r>
                  <w:r>
                    <w:rPr>
                      <w:i/>
                      <w:iCs/>
                    </w:rPr>
                    <w:t xml:space="preserve">outside of</w:t>
                  </w:r>
                  <w:r>
                    <w:t xml:space="preserve"> </w:t>
                  </w:r>
                  <w:r>
                    <w:t xml:space="preserve">the Inuvialuit Settlement Region</w:t>
                  </w:r>
                </w:p>
              </w:tc>
              <w:tc>
                <w:tcPr/>
                <w:p>
                  <w:pPr>
                    <w:pStyle w:val="Compact"/>
                    <w:jc w:val="left"/>
                    <w:jc w:val="center"/>
                  </w:pPr>
                  <w:r>
                    <w:t xml:space="preserve">OROGO (2026)</w:t>
                  </w:r>
                </w:p>
              </w:tc>
            </w:tr>
            <w:tr>
              <w:tc>
                <w:tcPr/>
                <w:p>
                  <w:pPr>
                    <w:pStyle w:val="Compact"/>
                    <w:jc w:val="left"/>
                    <w:jc w:val="center"/>
                  </w:pPr>
                  <w:r>
                    <w:t xml:space="preserve">Basin</w:t>
                  </w:r>
                </w:p>
              </w:tc>
              <w:tc>
                <w:tcPr/>
                <w:p>
                  <w:pPr>
                    <w:pStyle w:val="Compact"/>
                    <w:jc w:val="left"/>
                    <w:jc w:val="center"/>
                  </w:pPr>
                  <w:r>
                    <w:t xml:space="preserve">Database maintained by the Canadian Energy Regulator (CER) covering the central and eastern Arctic</w:t>
                  </w:r>
                </w:p>
              </w:tc>
              <w:tc>
                <w:tcPr/>
                <w:p>
                  <w:pPr>
                    <w:pStyle w:val="Compact"/>
                    <w:jc w:val="left"/>
                    <w:jc w:val="center"/>
                  </w:pPr>
                  <w:r>
                    <w:t xml:space="preserve">Natural Resources Canada (2021)</w:t>
                  </w:r>
                </w:p>
              </w:tc>
            </w:tr>
            <w:tr>
              <w:tc>
                <w:tcPr/>
                <w:p>
                  <w:pPr>
                    <w:pStyle w:val="Compact"/>
                    <w:jc w:val="left"/>
                    <w:jc w:val="center"/>
                  </w:pPr>
                  <w:r>
                    <w:t xml:space="preserve">GeoYukon</w:t>
                  </w:r>
                </w:p>
              </w:tc>
              <w:tc>
                <w:tcPr/>
                <w:p>
                  <w:pPr>
                    <w:pStyle w:val="Compact"/>
                    <w:jc w:val="left"/>
                    <w:jc w:val="center"/>
                  </w:pPr>
                  <w:r>
                    <w:t xml:space="preserve">Yukon government data portal</w:t>
                  </w:r>
                </w:p>
              </w:tc>
              <w:tc>
                <w:tcPr/>
                <w:p>
                  <w:pPr>
                    <w:pStyle w:val="Compact"/>
                    <w:jc w:val="left"/>
                    <w:jc w:val="center"/>
                  </w:pPr>
                  <w:r>
                    <w:t xml:space="preserve">Yukon (n.d.)</w:t>
                  </w:r>
                </w:p>
              </w:tc>
            </w:tr>
            <w:tr>
              <w:tc>
                <w:tcPr/>
                <w:p>
                  <w:pPr>
                    <w:pStyle w:val="Compact"/>
                    <w:jc w:val="left"/>
                    <w:jc w:val="center"/>
                  </w:pPr>
                  <w:r>
                    <w:t xml:space="preserve">Arktis</w:t>
                  </w:r>
                </w:p>
              </w:tc>
              <w:tc>
                <w:tcPr/>
                <w:p>
                  <w:pPr>
                    <w:pStyle w:val="Compact"/>
                    <w:jc w:val="left"/>
                    <w:jc w:val="center"/>
                  </w:pPr>
                  <w:r>
                    <w:t xml:space="preserve">Consultant report for the Inuvialuit Regional Corporation (IRC) with an embedded table of well site data</w:t>
                  </w:r>
                </w:p>
              </w:tc>
              <w:tc>
                <w:tcPr/>
                <w:p>
                  <w:pPr>
                    <w:pStyle w:val="Compact"/>
                    <w:jc w:val="left"/>
                    <w:jc w:val="center"/>
                  </w:pPr>
                  <w:r>
                    <w:t xml:space="preserve">Van Gulck (2020)</w:t>
                  </w:r>
                </w:p>
              </w:tc>
            </w:tr>
            <w:tr>
              <w:tc>
                <w:tcPr/>
                <w:p>
                  <w:pPr>
                    <w:pStyle w:val="Compact"/>
                    <w:jc w:val="left"/>
                    <w:jc w:val="center"/>
                  </w:pPr>
                  <w:r>
                    <w:t xml:space="preserve">LTLC</w:t>
                  </w:r>
                </w:p>
              </w:tc>
              <w:tc>
                <w:tcPr/>
                <w:p>
                  <w:pPr>
                    <w:pStyle w:val="Compact"/>
                    <w:jc w:val="left"/>
                    <w:jc w:val="center"/>
                  </w:pPr>
                  <w:r>
                    <w:t xml:space="preserve">Consultant report for Aboriginal Affairs and Northern Development Canada with an embedded table of well site data</w:t>
                  </w:r>
                </w:p>
              </w:tc>
              <w:tc>
                <w:tcPr/>
                <w:p>
                  <w:pPr>
                    <w:pStyle w:val="Compact"/>
                    <w:jc w:val="left"/>
                    <w:jc w:val="center"/>
                  </w:pPr>
                  <w:r>
                    <w:t xml:space="preserve">Callow (2013)</w:t>
                  </w:r>
                </w:p>
              </w:tc>
            </w:tr>
          </w:tbl>
          <w:bookmarkEnd w:id="2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 w:name="tbl-Table2"/>
          <w:p>
            <w:pPr>
              <w:jc w:val="center"/>
            </w:pPr>
            <w:pPr>
              <w:jc w:val="start"/>
              <w:spacing w:before="200"/>
              <w:pStyle w:val="ImageCaption"/>
            </w:pPr>
            <w:r>
              <w:t xml:space="preserve">Table 2: Summary of record counts and record completeness within the database by data source(s). Hyphenated sources indicate records that were present in multiple sources. All records from each source included a name, so that column is not shown here.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Data_Source</w:t>
                  </w:r>
                </w:p>
              </w:tc>
              <w:tc>
                <w:tcPr/>
                <w:p>
                  <w:pPr>
                    <w:pStyle w:val="Compact"/>
                    <w:jc w:val="right"/>
                    <w:jc w:val="center"/>
                  </w:pPr>
                  <w:r>
                    <w:t xml:space="preserve">n</w:t>
                  </w:r>
                </w:p>
              </w:tc>
              <w:tc>
                <w:tcPr/>
                <w:p>
                  <w:pPr>
                    <w:pStyle w:val="Compact"/>
                    <w:jc w:val="right"/>
                    <w:jc w:val="center"/>
                  </w:pPr>
                  <w:r>
                    <w:t xml:space="preserve">Lat/Long</w:t>
                  </w:r>
                </w:p>
              </w:tc>
              <w:tc>
                <w:tcPr/>
                <w:p>
                  <w:pPr>
                    <w:pStyle w:val="Compact"/>
                    <w:jc w:val="right"/>
                    <w:jc w:val="center"/>
                  </w:pPr>
                  <w:r>
                    <w:t xml:space="preserve">Depth</w:t>
                  </w:r>
                </w:p>
              </w:tc>
              <w:tc>
                <w:tcPr/>
                <w:p>
                  <w:pPr>
                    <w:pStyle w:val="Compact"/>
                    <w:jc w:val="right"/>
                    <w:jc w:val="center"/>
                  </w:pPr>
                  <w:r>
                    <w:t xml:space="preserve">Status</w:t>
                  </w:r>
                </w:p>
              </w:tc>
              <w:tc>
                <w:tcPr/>
                <w:p>
                  <w:pPr>
                    <w:pStyle w:val="Compact"/>
                    <w:jc w:val="right"/>
                    <w:jc w:val="center"/>
                  </w:pPr>
                  <w:r>
                    <w:t xml:space="preserve">Operator</w:t>
                  </w:r>
                </w:p>
              </w:tc>
              <w:tc>
                <w:tcPr/>
                <w:p>
                  <w:pPr>
                    <w:pStyle w:val="Compact"/>
                    <w:jc w:val="right"/>
                    <w:jc w:val="center"/>
                  </w:pPr>
                  <w:r>
                    <w:t xml:space="preserve">Spud_Date</w:t>
                  </w:r>
                </w:p>
              </w:tc>
              <w:tc>
                <w:tcPr/>
                <w:p>
                  <w:pPr>
                    <w:pStyle w:val="Compact"/>
                    <w:jc w:val="right"/>
                    <w:jc w:val="center"/>
                  </w:pPr>
                  <w:r>
                    <w:t xml:space="preserve">Geologic_Formation</w:t>
                  </w:r>
                </w:p>
              </w:tc>
            </w:tr>
            <w:tr>
              <w:tc>
                <w:tcPr/>
                <w:p>
                  <w:pPr>
                    <w:pStyle w:val="Compact"/>
                    <w:jc w:val="left"/>
                    <w:jc w:val="center"/>
                  </w:pPr>
                  <w:r>
                    <w:t xml:space="preserve">OROGO</w:t>
                  </w:r>
                </w:p>
              </w:tc>
              <w:tc>
                <w:tcPr/>
                <w:p>
                  <w:pPr>
                    <w:pStyle w:val="Compact"/>
                    <w:jc w:val="right"/>
                    <w:jc w:val="center"/>
                  </w:pPr>
                  <w:r>
                    <w:t xml:space="preserve">682</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left"/>
                    <w:jc w:val="center"/>
                  </w:pPr>
                  <w:r>
                    <w:t xml:space="preserve">GSC-Arktis</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93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97.7</w:t>
                  </w:r>
                </w:p>
              </w:tc>
            </w:tr>
            <w:tr>
              <w:tc>
                <w:tcPr/>
                <w:p>
                  <w:pPr>
                    <w:pStyle w:val="Compact"/>
                    <w:jc w:val="left"/>
                    <w:jc w:val="center"/>
                  </w:pPr>
                  <w:r>
                    <w:t xml:space="preserve">Basin</w:t>
                  </w:r>
                </w:p>
              </w:tc>
              <w:tc>
                <w:tcPr/>
                <w:p>
                  <w:pPr>
                    <w:pStyle w:val="Compact"/>
                    <w:jc w:val="right"/>
                    <w:jc w:val="center"/>
                  </w:pPr>
                  <w:r>
                    <w:t xml:space="preserve">148</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95.3</w:t>
                  </w:r>
                </w:p>
              </w:tc>
            </w:tr>
            <w:tr>
              <w:tc>
                <w:tcPr/>
                <w:p>
                  <w:pPr>
                    <w:pStyle w:val="Compact"/>
                    <w:jc w:val="left"/>
                    <w:jc w:val="center"/>
                  </w:pPr>
                  <w:r>
                    <w:t xml:space="preserve">GSC-LTLC</w:t>
                  </w:r>
                </w:p>
              </w:tc>
              <w:tc>
                <w:tcPr/>
                <w:p>
                  <w:pPr>
                    <w:pStyle w:val="Compact"/>
                    <w:jc w:val="right"/>
                    <w:jc w:val="center"/>
                  </w:pPr>
                  <w:r>
                    <w:t xml:space="preserve">89</w:t>
                  </w:r>
                </w:p>
              </w:tc>
              <w:tc>
                <w:tcPr/>
                <w:p>
                  <w:pPr>
                    <w:pStyle w:val="Compact"/>
                    <w:jc w:val="right"/>
                    <w:jc w:val="center"/>
                  </w:pPr>
                  <w:r>
                    <w:t xml:space="preserve">100</w:t>
                  </w:r>
                </w:p>
              </w:tc>
              <w:tc>
                <w:tcPr/>
                <w:p>
                  <w:pPr>
                    <w:pStyle w:val="Compact"/>
                    <w:jc w:val="right"/>
                    <w:jc w:val="center"/>
                  </w:pPr>
                  <w:r>
                    <w:t xml:space="preserve">95.5</w:t>
                  </w:r>
                </w:p>
              </w:tc>
              <w:tc>
                <w:tcPr/>
                <w:p>
                  <w:pPr>
                    <w:pStyle w:val="Compact"/>
                    <w:jc w:val="right"/>
                    <w:jc w:val="center"/>
                  </w:pPr>
                  <w:r>
                    <w:t xml:space="preserve">96.6</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94.4</w:t>
                  </w:r>
                </w:p>
              </w:tc>
            </w:tr>
            <w:tr>
              <w:tc>
                <w:tcPr/>
                <w:p>
                  <w:pPr>
                    <w:pStyle w:val="Compact"/>
                    <w:jc w:val="left"/>
                    <w:jc w:val="center"/>
                  </w:pPr>
                  <w:r>
                    <w:t xml:space="preserve">GeoYukon</w:t>
                  </w:r>
                </w:p>
              </w:tc>
              <w:tc>
                <w:tcPr/>
                <w:p>
                  <w:pPr>
                    <w:pStyle w:val="Compact"/>
                    <w:jc w:val="right"/>
                    <w:jc w:val="center"/>
                  </w:pPr>
                  <w:r>
                    <w:t xml:space="preserve">73</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71.2</w:t>
                  </w:r>
                </w:p>
              </w:tc>
              <w:tc>
                <w:tcPr/>
                <w:p>
                  <w:pPr>
                    <w:pStyle w:val="Compact"/>
                    <w:jc w:val="right"/>
                    <w:jc w:val="center"/>
                  </w:pPr>
                  <w:r>
                    <w:t xml:space="preserve">6.8</w:t>
                  </w:r>
                </w:p>
              </w:tc>
              <w:tc>
                <w:tcPr/>
                <w:p>
                  <w:pPr>
                    <w:pStyle w:val="Compact"/>
                    <w:jc w:val="right"/>
                    <w:jc w:val="center"/>
                  </w:pPr>
                  <w:r>
                    <w:t xml:space="preserve">98.6</w:t>
                  </w:r>
                </w:p>
              </w:tc>
            </w:tr>
            <w:tr>
              <w:tc>
                <w:tcPr/>
                <w:p>
                  <w:pPr>
                    <w:pStyle w:val="Compact"/>
                    <w:jc w:val="left"/>
                    <w:jc w:val="center"/>
                  </w:pPr>
                  <w:r>
                    <w:t xml:space="preserve">Basin-Arktis</w:t>
                  </w:r>
                </w:p>
              </w:tc>
              <w:tc>
                <w:tcPr/>
                <w:p>
                  <w:pPr>
                    <w:pStyle w:val="Compact"/>
                    <w:jc w:val="right"/>
                    <w:jc w:val="center"/>
                  </w:pPr>
                  <w:r>
                    <w:t xml:space="preserve">31</w:t>
                  </w:r>
                </w:p>
              </w:tc>
              <w:tc>
                <w:tcPr/>
                <w:p>
                  <w:pPr>
                    <w:pStyle w:val="Compact"/>
                    <w:jc w:val="right"/>
                    <w:jc w:val="center"/>
                  </w:pPr>
                  <w:r>
                    <w:t xml:space="preserve">100</w:t>
                  </w:r>
                </w:p>
              </w:tc>
              <w:tc>
                <w:tcPr/>
                <w:p>
                  <w:pPr>
                    <w:pStyle w:val="Compact"/>
                    <w:jc w:val="right"/>
                    <w:jc w:val="center"/>
                  </w:pPr>
                  <w:r>
                    <w:t xml:space="preserve">3.2</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r>
            <w:tr>
              <w:tc>
                <w:tcPr/>
                <w:p>
                  <w:pPr>
                    <w:pStyle w:val="Compact"/>
                    <w:jc w:val="left"/>
                    <w:jc w:val="center"/>
                  </w:pPr>
                  <w:r>
                    <w:t xml:space="preserve">Arktis</w:t>
                  </w:r>
                </w:p>
              </w:tc>
              <w:tc>
                <w:tcPr/>
                <w:p>
                  <w:pPr>
                    <w:pStyle w:val="Compact"/>
                    <w:jc w:val="right"/>
                    <w:jc w:val="center"/>
                  </w:pPr>
                  <w:r>
                    <w:t xml:space="preserve">21</w:t>
                  </w:r>
                </w:p>
              </w:tc>
              <w:tc>
                <w:tcPr/>
                <w:p>
                  <w:pPr>
                    <w:pStyle w:val="Compact"/>
                    <w:jc w:val="right"/>
                    <w:jc w:val="center"/>
                  </w:pPr>
                  <w:r>
                    <w:t xml:space="preserve">100</w:t>
                  </w:r>
                </w:p>
              </w:tc>
              <w:tc>
                <w:tcPr/>
                <w:p>
                  <w:pPr>
                    <w:pStyle w:val="Compact"/>
                    <w:jc w:val="right"/>
                    <w:jc w:val="center"/>
                  </w:pPr>
                  <w:r>
                    <w:t xml:space="preserve">23.8</w:t>
                  </w:r>
                </w:p>
              </w:tc>
              <w:tc>
                <w:tcPr/>
                <w:p>
                  <w:pPr>
                    <w:pStyle w:val="Compact"/>
                    <w:jc w:val="right"/>
                    <w:jc w:val="center"/>
                  </w:pPr>
                  <w:r>
                    <w:t xml:space="preserve">95.2</w:t>
                  </w:r>
                </w:p>
              </w:tc>
              <w:tc>
                <w:tcPr/>
                <w:p>
                  <w:pPr>
                    <w:pStyle w:val="Compact"/>
                    <w:jc w:val="right"/>
                    <w:jc w:val="center"/>
                  </w:pPr>
                  <w:r>
                    <w:t xml:space="preserve">100</w:t>
                  </w:r>
                </w:p>
              </w:tc>
              <w:tc>
                <w:tcPr/>
                <w:p>
                  <w:pPr>
                    <w:pStyle w:val="Compact"/>
                    <w:jc w:val="right"/>
                    <w:jc w:val="center"/>
                  </w:pPr>
                  <w:r>
                    <w:t xml:space="preserve">95.2</w:t>
                  </w:r>
                </w:p>
              </w:tc>
              <w:tc>
                <w:tcPr/>
                <w:p>
                  <w:pPr>
                    <w:pStyle w:val="Compact"/>
                    <w:jc w:val="right"/>
                    <w:jc w:val="center"/>
                  </w:pPr>
                  <w:r>
                    <w:t xml:space="preserve">0</w:t>
                  </w:r>
                </w:p>
              </w:tc>
            </w:tr>
            <w:tr>
              <w:tc>
                <w:tcPr/>
                <w:p>
                  <w:pPr>
                    <w:pStyle w:val="Compact"/>
                    <w:jc w:val="left"/>
                    <w:jc w:val="center"/>
                  </w:pPr>
                  <w:r>
                    <w:t xml:space="preserve">GSC</w:t>
                  </w:r>
                </w:p>
              </w:tc>
              <w:tc>
                <w:tcPr/>
                <w:p>
                  <w:pPr>
                    <w:pStyle w:val="Compact"/>
                    <w:jc w:val="right"/>
                    <w:jc w:val="center"/>
                  </w:pPr>
                  <w:r>
                    <w:t xml:space="preserve">5</w:t>
                  </w:r>
                </w:p>
              </w:tc>
              <w:tc>
                <w:tcPr/>
                <w:p>
                  <w:pPr>
                    <w:pStyle w:val="Compact"/>
                    <w:jc w:val="right"/>
                    <w:jc w:val="center"/>
                  </w:pPr>
                  <w:r>
                    <w:t xml:space="preserve">100</w:t>
                  </w:r>
                </w:p>
              </w:tc>
              <w:tc>
                <w:tcPr/>
                <w:p>
                  <w:pPr>
                    <w:pStyle w:val="Compact"/>
                    <w:jc w:val="right"/>
                    <w:jc w:val="center"/>
                  </w:pPr>
                  <w:r>
                    <w:t xml:space="preserve">60</w:t>
                  </w:r>
                </w:p>
              </w:tc>
              <w:tc>
                <w:tcPr/>
                <w:p>
                  <w:pPr>
                    <w:pStyle w:val="Compact"/>
                    <w:jc w:val="right"/>
                    <w:jc w:val="center"/>
                  </w:pPr>
                  <w:r>
                    <w:t xml:space="preserve">100</w:t>
                  </w:r>
                </w:p>
              </w:tc>
              <w:tc>
                <w:tcPr/>
                <w:p>
                  <w:pPr>
                    <w:pStyle w:val="Compact"/>
                    <w:jc w:val="right"/>
                    <w:jc w:val="center"/>
                  </w:pPr>
                  <w:r>
                    <w:t xml:space="preserve">60</w:t>
                  </w:r>
                </w:p>
              </w:tc>
              <w:tc>
                <w:tcPr/>
                <w:p>
                  <w:pPr>
                    <w:pStyle w:val="Compact"/>
                    <w:jc w:val="right"/>
                    <w:jc w:val="center"/>
                  </w:pPr>
                  <w:r>
                    <w:t xml:space="preserve">0</w:t>
                  </w:r>
                </w:p>
              </w:tc>
              <w:tc>
                <w:tcPr/>
                <w:p>
                  <w:pPr>
                    <w:pStyle w:val="Compact"/>
                    <w:jc w:val="right"/>
                    <w:jc w:val="center"/>
                  </w:pPr>
                  <w:r>
                    <w:t xml:space="preserve">100</w:t>
                  </w:r>
                </w:p>
              </w:tc>
            </w:tr>
            <w:tr>
              <w:tc>
                <w:tcPr/>
                <w:p>
                  <w:pPr>
                    <w:pStyle w:val="Compact"/>
                    <w:jc w:val="left"/>
                    <w:jc w:val="center"/>
                  </w:pPr>
                  <w:r>
                    <w:t xml:space="preserve">GSC-OROGO</w:t>
                  </w:r>
                </w:p>
              </w:tc>
              <w:tc>
                <w:tcPr/>
                <w:p>
                  <w:pPr>
                    <w:pStyle w:val="Compact"/>
                    <w:jc w:val="right"/>
                    <w:jc w:val="center"/>
                  </w:pPr>
                  <w:r>
                    <w:t xml:space="preserve">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r>
            <w:tr>
              <w:tc>
                <w:tcPr/>
                <w:p>
                  <w:pPr>
                    <w:pStyle w:val="Compact"/>
                    <w:jc w:val="left"/>
                    <w:jc w:val="center"/>
                  </w:pPr>
                  <w:r>
                    <w:t xml:space="preserve">GSC-GeoYukon-Arktis</w:t>
                  </w:r>
                </w:p>
              </w:tc>
              <w:tc>
                <w:tcPr/>
                <w:p>
                  <w:pPr>
                    <w:pStyle w:val="Compact"/>
                    <w:jc w:val="right"/>
                    <w:jc w:val="center"/>
                  </w:pPr>
                  <w:r>
                    <w:t xml:space="preserve">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r>
            <w:tr>
              <w:tc>
                <w:tcPr/>
                <w:p>
                  <w:pPr>
                    <w:pStyle w:val="Compact"/>
                    <w:jc w:val="left"/>
                    <w:jc w:val="center"/>
                  </w:pPr>
                  <w:r>
                    <w:t xml:space="preserve">LTLC</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left"/>
                    <w:jc w:val="center"/>
                  </w:pPr>
                  <w:r>
                    <w:t xml:space="preserve">GSC-Arktis-LTLC</w:t>
                  </w:r>
                </w:p>
              </w:tc>
              <w:tc>
                <w:tcPr/>
                <w:p>
                  <w:pPr>
                    <w:pStyle w:val="Compact"/>
                    <w:jc w:val="right"/>
                    <w:jc w:val="center"/>
                  </w:pPr>
                  <w:r>
                    <w:t xml:space="preserve">1</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r>
          </w:tbl>
          <w:bookmarkEnd w:id="24"/>
          <w:p/>
        </w:tc>
      </w:tr>
    </w:tbl>
    <w:tbl>
      <w:tblPr>
        <w:tblStyle w:val="Table"/>
        <w:tblW w:type="pct" w:w="5000"/>
        <w:tblLayout w:type="fixed"/>
        <w:tblLook w:firstRow="0" w:lastRow="0" w:firstColumn="0" w:lastColumn="0" w:noHBand="0" w:noVBand="0" w:val="0000"/>
      </w:tblPr>
      <w:tblGrid>
        <w:gridCol w:w="7920"/>
      </w:tblGrid>
      <w:tr>
        <w:tc>
          <w:tcPr/>
          <w:bookmarkStart w:id="28" w:name="fig-map1"/>
          <w:p>
            <w:pPr>
              <w:pStyle w:val="Compact"/>
              <w:jc w:val="center"/>
            </w:pPr>
            <w:r>
              <w:drawing>
                <wp:inline>
                  <wp:extent cx="5334000" cy="5438862"/>
                  <wp:effectExtent b="0" l="0" r="0" t="0"/>
                  <wp:docPr descr="" title="" id="26" name="Picture"/>
                  <a:graphic>
                    <a:graphicData uri="http://schemas.openxmlformats.org/drawingml/2006/picture">
                      <pic:pic>
                        <pic:nvPicPr>
                          <pic:cNvPr descr="NorthernWellSites_files/figure-docx/fig-map1-output-1.png" id="27" name="Picture"/>
                          <pic:cNvPicPr>
                            <a:picLocks noChangeArrowheads="1" noChangeAspect="1"/>
                          </pic:cNvPicPr>
                        </pic:nvPicPr>
                        <pic:blipFill>
                          <a:blip r:embed="rId25"/>
                          <a:stretch>
                            <a:fillRect/>
                          </a:stretch>
                        </pic:blipFill>
                        <pic:spPr bwMode="auto">
                          <a:xfrm>
                            <a:off x="0" y="0"/>
                            <a:ext cx="5334000" cy="54388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Map of well sites in Canada north of 60 degrees Latitude.</w:t>
            </w:r>
          </w:p>
          <w:bookmarkEnd w:id="28"/>
        </w:tc>
      </w:tr>
    </w:tbl>
    <w:bookmarkStart w:id="41" w:name="refs"/>
    <w:bookmarkStart w:id="30" w:name="ref-callow_oil_gas_2013_a"/>
    <w:p>
      <w:pPr>
        <w:pStyle w:val="Bibliography"/>
      </w:pPr>
      <w:r>
        <w:t xml:space="preserve">Callow, Lin. 2013.</w:t>
      </w:r>
      <w:r>
        <w:t xml:space="preserve"> </w:t>
      </w:r>
      <w:r>
        <w:t xml:space="preserve">“Oil and Gas Exploration &amp; Development Activity Forecast Canadian Beaufort Sea 2013 – 2028.”</w:t>
      </w:r>
      <w:r>
        <w:t xml:space="preserve"> </w:t>
      </w:r>
      <w:r>
        <w:t xml:space="preserve">LTLC Consulting.</w:t>
      </w:r>
      <w:r>
        <w:t xml:space="preserve"> </w:t>
      </w:r>
      <w:hyperlink r:id="rId29">
        <w:r>
          <w:rPr>
            <w:rStyle w:val="Hyperlink"/>
          </w:rPr>
          <w:t xml:space="preserve">https://beaufortrea.ca/working-groups/climate-change/</w:t>
        </w:r>
      </w:hyperlink>
      <w:r>
        <w:t xml:space="preserve">.</w:t>
      </w:r>
    </w:p>
    <w:bookmarkEnd w:id="30"/>
    <w:bookmarkStart w:id="32" w:name="ref-hu_permafrost_investigation_2013_a"/>
    <w:p>
      <w:pPr>
        <w:pStyle w:val="Bibliography"/>
      </w:pPr>
      <w:r>
        <w:t xml:space="preserve">Hu, K., D. R. Issler, Z. Chen, and T. A. Brent. 2013.</w:t>
      </w:r>
      <w:r>
        <w:t xml:space="preserve"> </w:t>
      </w:r>
      <w:r>
        <w:t xml:space="preserve">“Permafrost investigation by well logs, and seismic velocity and repeated shallow temperature surveys, Beaufort-Mackenzie Basin,”</w:t>
      </w:r>
      <w:r>
        <w:t xml:space="preserve"> </w:t>
      </w:r>
      <w:r>
        <w:t xml:space="preserve">November.</w:t>
      </w:r>
      <w:r>
        <w:t xml:space="preserve"> </w:t>
      </w:r>
      <w:hyperlink r:id="rId31">
        <w:r>
          <w:rPr>
            <w:rStyle w:val="Hyperlink"/>
          </w:rPr>
          <w:t xml:space="preserve">https://ostrnrcan-dostrncan.canada.ca/handle/1845/159674</w:t>
        </w:r>
      </w:hyperlink>
      <w:r>
        <w:t xml:space="preserve">.</w:t>
      </w:r>
    </w:p>
    <w:bookmarkEnd w:id="32"/>
    <w:bookmarkStart w:id="34" w:name="X0f3561843d080722f266538dc7dc3073efd6dae"/>
    <w:p>
      <w:pPr>
        <w:pStyle w:val="Bibliography"/>
      </w:pPr>
      <w:r>
        <w:t xml:space="preserve">Natural Resources Canada, Geological Survey of Canada. 2021.</w:t>
      </w:r>
      <w:r>
        <w:t xml:space="preserve"> </w:t>
      </w:r>
      <w:r>
        <w:t xml:space="preserve">“BASIN contains a wealth of geological, geophysical and engineering information related to many years of petroleum exploration.”</w:t>
      </w:r>
      <w:r>
        <w:t xml:space="preserve"> </w:t>
      </w:r>
      <w:r>
        <w:t xml:space="preserve">October 7, 2021.</w:t>
      </w:r>
      <w:r>
        <w:t xml:space="preserve"> </w:t>
      </w:r>
      <w:hyperlink r:id="rId33">
        <w:r>
          <w:rPr>
            <w:rStyle w:val="Hyperlink"/>
          </w:rPr>
          <w:t xml:space="preserve">https://basin.marine-geo.canada.ca/wells/basin.gdr.nrcan.gc.ca</w:t>
        </w:r>
      </w:hyperlink>
      <w:r>
        <w:t xml:space="preserve">.</w:t>
      </w:r>
    </w:p>
    <w:bookmarkEnd w:id="34"/>
    <w:bookmarkStart w:id="35" w:name="ref-orogo_orogo_well_2026_a"/>
    <w:p>
      <w:pPr>
        <w:pStyle w:val="Bibliography"/>
      </w:pPr>
      <w:r>
        <w:t xml:space="preserve">OROGO. 2026.</w:t>
      </w:r>
      <w:r>
        <w:t xml:space="preserve"> </w:t>
      </w:r>
      <w:r>
        <w:t xml:space="preserve">“OROGO Well Status | Office of the Regulator of Oil and Gas Operations.”</w:t>
      </w:r>
      <w:r>
        <w:t xml:space="preserve"> </w:t>
      </w:r>
      <w:r>
        <w:t xml:space="preserve">April 10, 2026.</w:t>
      </w:r>
      <w:r>
        <w:t xml:space="preserve"> </w:t>
      </w:r>
      <w:hyperlink r:id="rId20">
        <w:r>
          <w:rPr>
            <w:rStyle w:val="Hyperlink"/>
          </w:rPr>
          <w:t xml:space="preserve">https://www.orogo.gov.nt.ca/en/orogo-well-status</w:t>
        </w:r>
      </w:hyperlink>
      <w:r>
        <w:t xml:space="preserve">.</w:t>
      </w:r>
    </w:p>
    <w:bookmarkEnd w:id="35"/>
    <w:bookmarkStart w:id="36" w:name="ref-osadetz_review_mackenzie_2005_a"/>
    <w:p>
      <w:pPr>
        <w:pStyle w:val="Bibliography"/>
      </w:pPr>
      <w:r>
        <w:t xml:space="preserve">Osadetz, Kirk, Jim Dixon, J.R. Dietrich, Lloyd Snowdon, Scott Dallimore, and Jacek Majorowicz. 2005.</w:t>
      </w:r>
      <w:r>
        <w:t xml:space="preserve"> </w:t>
      </w:r>
      <w:r>
        <w:rPr>
          <w:i/>
          <w:iCs/>
        </w:rPr>
        <w:t xml:space="preserve">A Review of Mackenzie Delta-Beaufort Sea Petroleum Province Conventional and Non-Conventional (Gas Hydrate) Petroleum Reserves and Undiscovered Resources: A Contribution to the Resource Assessment of the Proposed Mackenzie Delta-Beaufort Sea Marine Protected Area</w:t>
      </w:r>
      <w:r>
        <w:t xml:space="preserve">.</w:t>
      </w:r>
    </w:p>
    <w:bookmarkEnd w:id="36"/>
    <w:bookmarkStart w:id="38" w:name="Xd4c832c49d5dae37f5222fa3874478e43e70960"/>
    <w:p>
      <w:pPr>
        <w:pStyle w:val="Bibliography"/>
      </w:pPr>
      <w:r>
        <w:t xml:space="preserve">Van Gulck, Jamie. 2020.</w:t>
      </w:r>
      <w:r>
        <w:t xml:space="preserve"> </w:t>
      </w:r>
      <w:r>
        <w:t xml:space="preserve">“Inuvialuit Settlement Region; Drilling Sumps Failure and Climate Change Report.”</w:t>
      </w:r>
      <w:r>
        <w:t xml:space="preserve"> </w:t>
      </w:r>
      <w:r>
        <w:t xml:space="preserve">Arktis Solutions.</w:t>
      </w:r>
      <w:r>
        <w:t xml:space="preserve"> </w:t>
      </w:r>
      <w:hyperlink r:id="rId37">
        <w:r>
          <w:rPr>
            <w:rStyle w:val="Hyperlink"/>
          </w:rPr>
          <w:t xml:space="preserve">https://www.google.com/url?sa=t&amp;rct=j&amp;q=&amp;esrc=s&amp;source=web&amp;cd=&amp;cad=rja&amp;uact=8&amp;ved=2ahUKEwiT35ezmLKWAxVyoisGHbwrKCEQFnoECA0QAQ&amp;url=https://irc.inuvialuit.com/wp-content/uploads/2023/10/IRC_Drilling-Sumps-Failure-and-Climate-Change-Report.pdf&amp;usg=AOvVaw0j_-_UcZ_u18z3As721IPS&amp;opi=89978449</w:t>
        </w:r>
      </w:hyperlink>
      <w:r>
        <w:t xml:space="preserve">.</w:t>
      </w:r>
    </w:p>
    <w:bookmarkEnd w:id="38"/>
    <w:bookmarkStart w:id="40" w:name="ref-yukon_geocortex_viewer_2026_a"/>
    <w:p>
      <w:pPr>
        <w:pStyle w:val="Bibliography"/>
      </w:pPr>
      <w:r>
        <w:t xml:space="preserve">Yukon, Government. n.d.</w:t>
      </w:r>
      <w:r>
        <w:t xml:space="preserve"> </w:t>
      </w:r>
      <w:r>
        <w:t xml:space="preserve">“Geocortex Viewer for HTML5.”</w:t>
      </w:r>
      <w:r>
        <w:t xml:space="preserve"> </w:t>
      </w:r>
      <w:r>
        <w:t xml:space="preserve">Accessed August 24, 2026.</w:t>
      </w:r>
      <w:r>
        <w:t xml:space="preserve"> </w:t>
      </w:r>
      <w:hyperlink r:id="rId39">
        <w:r>
          <w:rPr>
            <w:rStyle w:val="Hyperlink"/>
          </w:rPr>
          <w:t xml:space="preserve">https://mapservices.gov.yk.ca/GeoYukon/index.html?layerTheme=9</w:t>
        </w:r>
      </w:hyperlink>
      <w:r>
        <w:t xml:space="preserv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1" Target="https://basin.marine-geo.canada.ca/index_e.php" TargetMode="External" /><Relationship Type="http://schemas.openxmlformats.org/officeDocument/2006/relationships/hyperlink" Id="rId33" Target="https://basin.marine-geo.canada.ca/wells/basin.gdr.nrcan.gc.ca" TargetMode="External" /><Relationship Type="http://schemas.openxmlformats.org/officeDocument/2006/relationships/hyperlink" Id="rId29" Target="https://beaufortrea.ca/working-groups/climate-change/" TargetMode="External" /><Relationship Type="http://schemas.openxmlformats.org/officeDocument/2006/relationships/hyperlink" Id="rId39" Target="https://mapservices.gov.yk.ca/GeoYukon/index.html?layerTheme=9" TargetMode="External" /><Relationship Type="http://schemas.openxmlformats.org/officeDocument/2006/relationships/hyperlink" Id="rId31" Target="https://ostrnrcan-dostrncan.canada.ca/handle/1845/159674" TargetMode="External" /><Relationship Type="http://schemas.openxmlformats.org/officeDocument/2006/relationships/hyperlink" Id="rId37" Target="https://www.google.com/url?sa=t&amp;rct=j&amp;q=&amp;esrc=s&amp;source=web&amp;cd=&amp;cad=rja&amp;uact=8&amp;ved=2ahUKEwiT35ezmLKWAxVyoisGHbwrKCEQFnoECA0QAQ&amp;url=https://irc.inuvialuit.com/wp-content/uploads/2023/10/IRC_Drilling-Sumps-Failure-and-Climate-Change-Report.pdf&amp;usg=AOvVaw0j_-_UcZ_u18z3As721IPS&amp;opi=89978449" TargetMode="External" /><Relationship Type="http://schemas.openxmlformats.org/officeDocument/2006/relationships/hyperlink" Id="rId20" Target="https://www.orogo.gov.nt.ca/en/orogo-well-status" TargetMode="External" /></Relationships>
</file>

<file path=word/_rels/footnotes.xml.rels><?xml version="1.0" encoding="UTF-8"?><Relationships xmlns="http://schemas.openxmlformats.org/package/2006/relationships"><Relationship Type="http://schemas.openxmlformats.org/officeDocument/2006/relationships/hyperlink" Id="rId21" Target="https://basin.marine-geo.canada.ca/index_e.php" TargetMode="External" /><Relationship Type="http://schemas.openxmlformats.org/officeDocument/2006/relationships/hyperlink" Id="rId33" Target="https://basin.marine-geo.canada.ca/wells/basin.gdr.nrcan.gc.ca" TargetMode="External" /><Relationship Type="http://schemas.openxmlformats.org/officeDocument/2006/relationships/hyperlink" Id="rId29" Target="https://beaufortrea.ca/working-groups/climate-change/" TargetMode="External" /><Relationship Type="http://schemas.openxmlformats.org/officeDocument/2006/relationships/hyperlink" Id="rId39" Target="https://mapservices.gov.yk.ca/GeoYukon/index.html?layerTheme=9" TargetMode="External" /><Relationship Type="http://schemas.openxmlformats.org/officeDocument/2006/relationships/hyperlink" Id="rId31" Target="https://ostrnrcan-dostrncan.canada.ca/handle/1845/159674" TargetMode="External" /><Relationship Type="http://schemas.openxmlformats.org/officeDocument/2006/relationships/hyperlink" Id="rId37" Target="https://www.google.com/url?sa=t&amp;rct=j&amp;q=&amp;esrc=s&amp;source=web&amp;cd=&amp;cad=rja&amp;uact=8&amp;ved=2ahUKEwiT35ezmLKWAxVyoisGHbwrKCEQFnoECA0QAQ&amp;url=https://irc.inuvialuit.com/wp-content/uploads/2023/10/IRC_Drilling-Sumps-Failure-and-Climate-Change-Report.pdf&amp;usg=AOvVaw0j_-_UcZ_u18z3As721IPS&amp;opi=89978449" TargetMode="External" /><Relationship Type="http://schemas.openxmlformats.org/officeDocument/2006/relationships/hyperlink" Id="rId20" Target="https://www.orogo.gov.nt.ca/en/orogo-well-sta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Oil and Gas Well Site Database</dc:title>
  <dc:creator/>
  <cp:keywords/>
  <dcterms:created xsi:type="dcterms:W3CDTF">2026-08-26T23:05:14Z</dcterms:created>
  <dcterms:modified xsi:type="dcterms:W3CDTF">2026-08-26T23:05:14Z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citations/WellSites_autofmt.json</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ython3">
    <vt:lpwstr>jupyter</vt:lpwstr>
  </property>
  <property fmtid="{D5CDD505-2E9C-101B-9397-08002B2CF9AE}" pid="11" name="toc-title">
    <vt:lpwstr>Table of contents</vt:lpwstr>
  </property>
</Properties>
</file>