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left"/>
      </w:pPr>
      <w:r>
        <w:rPr>
          <w:rFonts w:ascii="Arial" w:cs="Arial" w:eastAsia="Arial" w:hAnsi="Arial"/>
          <w:b/>
          <w:bCs/>
          <w:color w:val="1F3864"/>
          <w:sz w:val="36"/>
          <w:szCs w:val="36"/>
        </w:rPr>
        <w:t xml:space="preserve">Development Potential &amp; Land Value Analysis</w:t>
      </w:r>
    </w:p>
    <w:p>
      <w:pPr>
        <w:spacing w:before="0" w:after="40"/>
      </w:pPr>
      <w:r>
        <w:rPr>
          <w:rFonts w:ascii="Arial" w:cs="Arial" w:eastAsia="Arial" w:hAnsi="Arial"/>
          <w:b/>
          <w:bCs/>
          <w:color w:val="666666"/>
          <w:sz w:val="20"/>
          <w:szCs w:val="20"/>
        </w:rPr>
        <w:t xml:space="preserve">ZONING CAPACITY, DENSITY BONUS, AND ECONOMIC REALITY</w:t>
      </w:r>
    </w:p>
    <w:p>
      <w:pPr>
        <w:spacing w:before="0" w:after="200"/>
      </w:pPr>
      <w:r>
        <w:rPr>
          <w:rFonts w:ascii="Arial" w:cs="Arial" w:eastAsia="Arial" w:hAnsi="Arial"/>
          <w:color w:val="666666"/>
          <w:sz w:val="20"/>
          <w:szCs w:val="20"/>
        </w:rPr>
        <w:t xml:space="preserve">420-428 W Stocker Street, Glendale, CA 91202</w:t>
      </w:r>
    </w:p>
    <w:p>
      <w:pPr>
        <w:spacing w:before="80" w:after="80"/>
        <w:jc w:val="left"/>
      </w:pPr>
      <w:r>
        <w:rPr>
          <w:rFonts w:ascii="Arial" w:cs="Arial" w:eastAsia="Arial" w:hAnsi="Arial"/>
          <w:b w:val="false"/>
          <w:bCs w:val="false"/>
          <w:i w:val="false"/>
          <w:iCs w:val="false"/>
          <w:color w:val="333333"/>
          <w:sz w:val="20"/>
          <w:szCs w:val="20"/>
        </w:rPr>
        <w:t xml:space="preserve">The subject property consists of two side-by-side parcels totaling 1.11 acres (48,353 SF) in Glendale's R-1250 High Density Residential zone. Each parcel has approximately 80 feet of street frontage on W Stocker Street for a combined total of approximately 160 feet. This section analyzes the theoretical maximum development potential under current zoning and density bonus law, then examines whether ground-up redevelopment is economically viable. Critically, this analysis evaluates the impact of Glendale's 90-foot lot width threshold on development capacity, both for the individual parcels and for the combined site.</w:t>
      </w:r>
    </w:p>
    <w:p>
      <w:pPr>
        <w:pStyle w:val="Heading1"/>
        <w:spacing w:before="360" w:after="120"/>
      </w:pPr>
      <w:r>
        <w:rPr>
          <w:rFonts w:ascii="Arial" w:cs="Arial" w:eastAsia="Arial" w:hAnsi="Arial"/>
          <w:b/>
          <w:bCs/>
          <w:color w:val="1F3864"/>
          <w:sz w:val="28"/>
          <w:szCs w:val="28"/>
        </w:rPr>
        <w:t xml:space="preserve">Part A: What Can Be Built Under Current Zoning</w:t>
      </w:r>
    </w:p>
    <w:p>
      <w:pPr>
        <w:spacing w:before="80" w:after="80"/>
        <w:jc w:val="left"/>
      </w:pPr>
      <w:r>
        <w:rPr>
          <w:rFonts w:ascii="Arial" w:cs="Arial" w:eastAsia="Arial" w:hAnsi="Arial"/>
          <w:b w:val="false"/>
          <w:bCs w:val="false"/>
          <w:i w:val="false"/>
          <w:iCs w:val="false"/>
          <w:color w:val="333333"/>
          <w:sz w:val="20"/>
          <w:szCs w:val="20"/>
        </w:rPr>
        <w:t xml:space="preserve">The R-1250 zone permits 1 dwelling unit per 1,250 SF of lot area. For the combined 48,353 SF site, this yields a base maximum of 38 units (48,353 / 1,250 = 38.7, rounded down). Key development standards under Glendale Municipal Code §30.11.030: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c>
          <w:tcPr>
            <w:tcW w:type="dxa" w:w="2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STANDARD</w:t>
            </w:r>
          </w:p>
        </w:tc>
        <w:tc>
          <w:tcPr>
            <w:tcW w:type="dxa" w:w="2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R-1250 LIMIT</w:t>
            </w:r>
          </w:p>
        </w:tc>
        <w:tc>
          <w:tcPr>
            <w:tcW w:type="dxa" w:w="27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CURRENT (AS-IS)</w:t>
            </w:r>
          </w:p>
        </w:tc>
        <w:tc>
          <w:tcPr>
            <w:tcW w:type="dxa" w:w="2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Maximum Density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 DU / 1,250 SF = 38 units</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27 units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GMC §30.11.030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Maximum Height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 stories / 26 ft (lots ≤90 ft wide)</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 stories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GMC §30.11.030, Table 30.11-B</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Maximum FAR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1.2 (58,024 SF)</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0.47 (22,674 SF)</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GMC §30.11.030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Maximum Lot Coverage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50%</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~30% estimated</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GMC §30.11.030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Min Open Space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25% permanently landscaped</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TBD</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GMC §30.11.030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Common Outdoor Space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200 SF/unit (first 25), 150 SF/unit (next 25)</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GMC §30.11.050(C)</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Min Unit Size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600 SF (1BR), 800 SF (2BR), 1,000 SF (3BR)</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GMC §30.11.050(A)</w:t>
            </w:r>
          </w:p>
        </w:tc>
      </w:tr>
    </w:tbl>
    <w:p>
      <w:pPr>
        <w:pStyle w:val="Heading2"/>
        <w:spacing w:before="240" w:after="120"/>
      </w:pPr>
      <w:r>
        <w:rPr>
          <w:rFonts w:ascii="Arial" w:cs="Arial" w:eastAsia="Arial" w:hAnsi="Arial"/>
          <w:b/>
          <w:bCs/>
          <w:color w:val="1F3864"/>
          <w:sz w:val="24"/>
          <w:szCs w:val="24"/>
        </w:rPr>
        <w:t xml:space="preserve">The 90-Foot Lot Width Threshold: The Critical Variable</w:t>
      </w:r>
    </w:p>
    <w:p>
      <w:pPr>
        <w:spacing w:before="80" w:after="80"/>
        <w:jc w:val="left"/>
      </w:pPr>
      <w:r>
        <w:rPr>
          <w:rFonts w:ascii="Arial" w:cs="Arial" w:eastAsia="Arial" w:hAnsi="Arial"/>
          <w:b w:val="false"/>
          <w:bCs w:val="false"/>
          <w:i w:val="false"/>
          <w:iCs w:val="false"/>
          <w:color w:val="333333"/>
          <w:sz w:val="20"/>
          <w:szCs w:val="20"/>
        </w:rPr>
        <w:t xml:space="preserve">Glendale's zoning code creates a two-tier system for multifamily development in the R-2250, R-1650, and R-1250 zones based on lot width. Per GMC §30.11.030 (Table 30.11-B):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STANDARD</w:t>
            </w:r>
          </w:p>
        </w:tc>
        <w:tc>
          <w:tcPr>
            <w:tcW w:type="dxa" w:w="312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LOT WIDTH &lt; 90 FT</w:t>
            </w:r>
          </w:p>
        </w:tc>
        <w:tc>
          <w:tcPr>
            <w:tcW w:type="dxa" w:w="312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LOT WIDTH ≥ 90 FT</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Max Height</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 stories / 26 ft</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3 stories / 36 ft</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Max Density</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Standard (1 DU/1,250 SF)</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Enhanced density permitted</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Building Envelope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More restrictive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Larger buildable volume</w:t>
            </w:r>
          </w:p>
        </w:tc>
      </w:tr>
    </w:tbl>
    <w:p>
      <w:pPr>
        <w:spacing w:before="40" w:after="120"/>
        <w:jc w:val="left"/>
      </w:pPr>
      <w:r>
        <w:rPr>
          <w:rFonts w:ascii="Arial" w:cs="Arial" w:eastAsia="Arial" w:hAnsi="Arial"/>
          <w:b w:val="false"/>
          <w:bCs w:val="false"/>
          <w:i/>
          <w:iCs/>
          <w:color w:val="666666"/>
          <w:sz w:val="16"/>
          <w:szCs w:val="16"/>
        </w:rPr>
        <w:t xml:space="preserve">Sources: GMC §30.11.030, Table 30.11-B; Let's Go LA Zoning Analysis (Oct. 2016); Glendale Environmental Review records.</w:t>
      </w:r>
    </w:p>
    <w:p>
      <w:pPr>
        <w:spacing w:before="80" w:after="80"/>
        <w:jc w:val="left"/>
      </w:pPr>
      <w:r>
        <w:rPr>
          <w:rFonts w:ascii="Arial" w:cs="Arial" w:eastAsia="Arial" w:hAnsi="Arial"/>
          <w:b/>
          <w:bCs/>
          <w:i w:val="false"/>
          <w:iCs w:val="false"/>
          <w:color w:val="333333"/>
          <w:sz w:val="20"/>
          <w:szCs w:val="20"/>
        </w:rPr>
        <w:t xml:space="preserve">Each parcel at 420-428 W Stocker has approximately 80 feet of frontage</w:t>
      </w:r>
      <w:r>
        <w:rPr>
          <w:rFonts w:ascii="Arial" w:cs="Arial" w:eastAsia="Arial" w:hAnsi="Arial"/>
          <w:b w:val="false"/>
          <w:bCs w:val="false"/>
          <w:i w:val="false"/>
          <w:iCs w:val="false"/>
          <w:color w:val="333333"/>
          <w:sz w:val="20"/>
          <w:szCs w:val="20"/>
        </w:rPr>
        <w:t xml:space="preserve">, which falls below the 90-foot threshold. Under Glendale's zoning code, "lot width" is defined as the dimension at the front property line (GMC §30.70). At 80 feet, each individual parcel is capped at </w:t>
      </w:r>
      <w:r>
        <w:rPr>
          <w:rFonts w:ascii="Arial" w:cs="Arial" w:eastAsia="Arial" w:hAnsi="Arial"/>
          <w:b/>
          <w:bCs/>
          <w:i w:val="false"/>
          <w:iCs w:val="false"/>
          <w:color w:val="333333"/>
          <w:sz w:val="20"/>
          <w:szCs w:val="20"/>
        </w:rPr>
        <w:t xml:space="preserve">2 stories and 26 feet of height</w:t>
      </w:r>
      <w:r>
        <w:rPr>
          <w:rFonts w:ascii="Arial" w:cs="Arial" w:eastAsia="Arial" w:hAnsi="Arial"/>
          <w:b w:val="false"/>
          <w:bCs w:val="false"/>
          <w:i w:val="false"/>
          <w:iCs w:val="false"/>
          <w:color w:val="333333"/>
          <w:sz w:val="20"/>
          <w:szCs w:val="20"/>
        </w:rPr>
        <w:t xml:space="preserve">. This is the single most restrictive constraint on the property's development potential.</w:t>
      </w:r>
    </w:p>
    <w:p>
      <w:pPr>
        <w:spacing w:before="80" w:after="80"/>
        <w:jc w:val="left"/>
      </w:pPr>
      <w:r>
        <w:rPr>
          <w:rFonts w:ascii="Arial" w:cs="Arial" w:eastAsia="Arial" w:hAnsi="Arial"/>
          <w:b w:val="false"/>
          <w:bCs w:val="false"/>
          <w:i w:val="false"/>
          <w:iCs w:val="false"/>
          <w:color w:val="333333"/>
          <w:sz w:val="20"/>
          <w:szCs w:val="20"/>
        </w:rPr>
        <w:t xml:space="preserve">The practical impact: a developer working with the two parcels individually would tear down 27 existing units to build a maximum of approximately 38 units in a 2-story configuration, a net gain of only 11 units. The FAR limit of 1.2 (58,024 SF) is generous relative to the height cap, meaning the 2-story envelope, not the FAR, is the binding constraint.</w:t>
      </w:r>
    </w:p>
    <w:p>
      <w:pPr>
        <w:pStyle w:val="Heading2"/>
        <w:spacing w:before="240" w:after="120"/>
      </w:pPr>
      <w:r>
        <w:rPr>
          <w:rFonts w:ascii="Arial" w:cs="Arial" w:eastAsia="Arial" w:hAnsi="Arial"/>
          <w:b/>
          <w:bCs/>
          <w:color w:val="1F3864"/>
          <w:sz w:val="24"/>
          <w:szCs w:val="24"/>
        </w:rPr>
        <w:t xml:space="preserve">Lot Merger Scenario: Unlocking the Third Story</w:t>
      </w:r>
    </w:p>
    <w:p>
      <w:pPr>
        <w:spacing w:before="80" w:after="80"/>
        <w:jc w:val="left"/>
      </w:pPr>
      <w:r>
        <w:rPr>
          <w:rFonts w:ascii="Arial" w:cs="Arial" w:eastAsia="Arial" w:hAnsi="Arial"/>
          <w:b w:val="false"/>
          <w:bCs w:val="false"/>
          <w:i w:val="false"/>
          <w:iCs w:val="false"/>
          <w:color w:val="333333"/>
          <w:sz w:val="20"/>
          <w:szCs w:val="20"/>
        </w:rPr>
        <w:t xml:space="preserve">If both parcels are merged into a single legal lot through a lot line adjustment (per GMC Title 16, Chapter 16.36), the combined lot would have approximately 160 feet of frontage</w:t>
      </w:r>
      <w:r>
        <w:rPr>
          <w:rFonts w:ascii="Arial" w:cs="Arial" w:eastAsia="Arial" w:hAnsi="Arial"/>
          <w:b/>
          <w:bCs/>
          <w:i w:val="false"/>
          <w:iCs w:val="false"/>
          <w:color w:val="333333"/>
          <w:sz w:val="20"/>
          <w:szCs w:val="20"/>
        </w:rPr>
        <w:t xml:space="preserve">, nearly double the 90-foot threshold.</w:t>
      </w:r>
      <w:r>
        <w:rPr>
          <w:rFonts w:ascii="Arial" w:cs="Arial" w:eastAsia="Arial" w:hAnsi="Arial"/>
          <w:b w:val="false"/>
          <w:bCs w:val="false"/>
          <w:i w:val="false"/>
          <w:iCs w:val="false"/>
          <w:color w:val="333333"/>
          <w:sz w:val="20"/>
          <w:szCs w:val="20"/>
        </w:rPr>
        <w:t xml:space="preserve"> This would unlock the enhanced development standards for lots 90+ feet wide, including:</w:t>
      </w:r>
    </w:p>
    <w:p>
      <w:pPr>
        <w:spacing w:before="80" w:after="80"/>
        <w:jc w:val="left"/>
      </w:pPr>
      <w:r>
        <w:rPr>
          <w:rFonts w:ascii="Arial" w:cs="Arial" w:eastAsia="Arial" w:hAnsi="Arial"/>
          <w:b/>
          <w:bCs/>
          <w:i w:val="false"/>
          <w:iCs w:val="false"/>
          <w:color w:val="333333"/>
          <w:sz w:val="20"/>
          <w:szCs w:val="20"/>
        </w:rPr>
        <w:t xml:space="preserve">1. Height increase from 2 stories / 26 ft to 3 stories / 36 ft. </w:t>
      </w:r>
      <w:r>
        <w:rPr>
          <w:rFonts w:ascii="Arial" w:cs="Arial" w:eastAsia="Arial" w:hAnsi="Arial"/>
          <w:b w:val="false"/>
          <w:bCs w:val="false"/>
          <w:i w:val="false"/>
          <w:iCs w:val="false"/>
          <w:color w:val="333333"/>
          <w:sz w:val="20"/>
          <w:szCs w:val="20"/>
        </w:rPr>
        <w:t xml:space="preserve">An additional full story of buildable area across a 48,353 SF lot is a significant increase to the building envelope.</w:t>
      </w:r>
    </w:p>
    <w:p>
      <w:pPr>
        <w:spacing w:before="80" w:after="80"/>
        <w:jc w:val="left"/>
      </w:pPr>
      <w:r>
        <w:rPr>
          <w:rFonts w:ascii="Arial" w:cs="Arial" w:eastAsia="Arial" w:hAnsi="Arial"/>
          <w:b/>
          <w:bCs/>
          <w:i w:val="false"/>
          <w:iCs w:val="false"/>
          <w:color w:val="333333"/>
          <w:sz w:val="20"/>
          <w:szCs w:val="20"/>
        </w:rPr>
        <w:t xml:space="preserve">2. Enhanced density. </w:t>
      </w:r>
      <w:r>
        <w:rPr>
          <w:rFonts w:ascii="Arial" w:cs="Arial" w:eastAsia="Arial" w:hAnsi="Arial"/>
          <w:b w:val="false"/>
          <w:bCs w:val="false"/>
          <w:i w:val="false"/>
          <w:iCs w:val="false"/>
          <w:color w:val="333333"/>
          <w:sz w:val="20"/>
          <w:szCs w:val="20"/>
        </w:rPr>
        <w:t xml:space="preserve">The code permits additional dwelling units per acre on lots exceeding 90 feet in width. This enhanced density also serves as the base density for purposes of State Density Bonus calculations per GMC §30.36.030 and §30.35.030, both of which state: "The maximum density for a housing development on a lot that qualifies for additional density based on lot width, as provided in Section 30.11.030, shall be the highest allowable density."</w:t>
      </w:r>
    </w:p>
    <w:p>
      <w:pPr>
        <w:spacing w:before="80" w:after="80"/>
        <w:jc w:val="left"/>
      </w:pPr>
      <w:r>
        <w:rPr>
          <w:rFonts w:ascii="Arial" w:cs="Arial" w:eastAsia="Arial" w:hAnsi="Arial"/>
          <w:b/>
          <w:bCs/>
          <w:i w:val="false"/>
          <w:iCs w:val="false"/>
          <w:color w:val="333333"/>
          <w:sz w:val="20"/>
          <w:szCs w:val="20"/>
        </w:rPr>
        <w:t xml:space="preserve">3. Additional open space tradeoff. </w:t>
      </w:r>
      <w:r>
        <w:rPr>
          <w:rFonts w:ascii="Arial" w:cs="Arial" w:eastAsia="Arial" w:hAnsi="Arial"/>
          <w:b w:val="false"/>
          <w:bCs w:val="false"/>
          <w:i w:val="false"/>
          <w:iCs w:val="false"/>
          <w:color w:val="333333"/>
          <w:sz w:val="20"/>
          <w:szCs w:val="20"/>
        </w:rPr>
        <w:t xml:space="preserve">Per GMC §30.31.020, a lot 90+ feet wide with enhanced density must provide an additional 900 SF of open space contiguous to the street front/side setback, plus 20 SF for each foot of lot width beyond 90 feet. At 160 feet: 900 + (70 x 20) = 2,300 SF of additional open space.</w:t>
      </w:r>
    </w:p>
    <w:p>
      <w:pPr>
        <w:spacing w:before="80" w:after="80"/>
        <w:jc w:val="left"/>
      </w:pPr>
      <w:r>
        <w:rPr>
          <w:rFonts w:ascii="Arial" w:cs="Arial" w:eastAsia="Arial" w:hAnsi="Arial"/>
          <w:b w:val="false"/>
          <w:bCs w:val="false"/>
          <w:i w:val="false"/>
          <w:iCs w:val="false"/>
          <w:color w:val="333333"/>
          <w:sz w:val="20"/>
          <w:szCs w:val="20"/>
        </w:rPr>
        <w:t xml:space="preserve">The lot merger process in Glendale is administrative (not discretionary), handled by the Director of Community Development. The merged parcel must comply with area, width, frontage, and yard requirements of the R-1250 zone. Since the merger creates a larger conforming lot rather than a substandard one, approval is straightforward.</w:t>
      </w:r>
    </w:p>
    <w:p>
      <w:pPr>
        <w:spacing w:before="40" w:after="120"/>
        <w:jc w:val="left"/>
      </w:pPr>
      <w:r>
        <w:rPr>
          <w:rFonts w:ascii="Arial" w:cs="Arial" w:eastAsia="Arial" w:hAnsi="Arial"/>
          <w:b w:val="false"/>
          <w:bCs w:val="false"/>
          <w:i/>
          <w:iCs/>
          <w:color w:val="666666"/>
          <w:sz w:val="16"/>
          <w:szCs w:val="16"/>
        </w:rPr>
        <w:t xml:space="preserve">Sources: GMC Title 16, Ch. 16.36 (Lot Line Adjustments); GMC §30.70 (Definitions); GMC §30.31.020 (Landscaping/Open Space).</w:t>
      </w:r>
    </w:p>
    <w:p>
      <w:pPr>
        <w:pStyle w:val="Heading2"/>
        <w:spacing w:before="240" w:after="120"/>
      </w:pPr>
      <w:r>
        <w:rPr>
          <w:rFonts w:ascii="Arial" w:cs="Arial" w:eastAsia="Arial" w:hAnsi="Arial"/>
          <w:b/>
          <w:bCs/>
          <w:color w:val="1F3864"/>
          <w:sz w:val="24"/>
          <w:szCs w:val="24"/>
        </w:rPr>
        <w:t xml:space="preserve">Development Capacity Comparison: Separate vs. Combined Parcels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SCENARIO</w:t>
            </w:r>
          </w:p>
        </w:tc>
        <w:tc>
          <w:tcPr>
            <w:tcW w:type="dxa" w:w="2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PARCEL A (80 ft)</w:t>
            </w:r>
          </w:p>
        </w:tc>
        <w:tc>
          <w:tcPr>
            <w:tcW w:type="dxa" w:w="2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PARCEL B (80 ft)</w:t>
            </w:r>
          </w:p>
        </w:tc>
        <w:tc>
          <w:tcPr>
            <w:tcW w:type="dxa" w:w="21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MERGED (160 ft)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Lot Width</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~80 ft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~80 ft</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~160 ft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90-ft Threshold</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CC0000"/>
                <w:sz w:val="18"/>
                <w:szCs w:val="18"/>
              </w:rPr>
              <w:t xml:space="preserve">Below</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CC0000"/>
                <w:sz w:val="18"/>
                <w:szCs w:val="18"/>
              </w:rPr>
              <w:t xml:space="preserve">Below</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006600"/>
                <w:sz w:val="18"/>
                <w:szCs w:val="18"/>
              </w:rPr>
              <w:t xml:space="preserve">Above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Max Height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 stories / 26 ft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 stories / 26 ft</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3 stories / 36 ft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Max Units (By-Right)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~19 units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~19 units</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38+ units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Max FAR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1.2</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1.2</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1.2</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Max Floor Area</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~29,000 SF</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~29,000 SF</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58,024 SF</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Effective Constraint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Height (2-story)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Height (2-story)</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FAR (1.2)</w:t>
            </w:r>
          </w:p>
        </w:tc>
      </w:tr>
    </w:tbl>
    <w:p>
      <w:pPr>
        <w:spacing w:before="80" w:after="80"/>
        <w:jc w:val="left"/>
      </w:pPr>
      <w:r>
        <w:rPr>
          <w:rFonts w:ascii="Arial" w:cs="Arial" w:eastAsia="Arial" w:hAnsi="Arial"/>
          <w:b/>
          <w:bCs/>
          <w:i w:val="false"/>
          <w:iCs w:val="false"/>
          <w:color w:val="333333"/>
          <w:sz w:val="20"/>
          <w:szCs w:val="20"/>
        </w:rPr>
        <w:t xml:space="preserve">Key insight: </w:t>
      </w:r>
      <w:r>
        <w:rPr>
          <w:rFonts w:ascii="Arial" w:cs="Arial" w:eastAsia="Arial" w:hAnsi="Arial"/>
          <w:b w:val="false"/>
          <w:bCs w:val="false"/>
          <w:i w:val="false"/>
          <w:iCs w:val="false"/>
          <w:color w:val="333333"/>
          <w:sz w:val="20"/>
          <w:szCs w:val="20"/>
        </w:rPr>
        <w:t xml:space="preserve">When the parcels are separate, the height cap (2 stories / 26 ft) is the binding constraint, making it physically impossible to use the full 1.2 FAR. When merged, the third story unlocks enough building volume that FAR (not height) becomes the binding constraint. This means the merged lot can actually utilize a greater share of its zoned capacity. The shift from a height-constrained envelope to a FAR-constrained envelope represents a meaningful increase in the site's practical development capacity.</w:t>
      </w:r>
    </w:p>
    <w:p>
      <w:pPr>
        <w:spacing w:before="80" w:after="80"/>
        <w:jc w:val="left"/>
      </w:pPr>
      <w:r>
        <w:rPr>
          <w:rFonts w:ascii="Arial" w:cs="Arial" w:eastAsia="Arial" w:hAnsi="Arial"/>
          <w:b/>
          <w:bCs/>
          <w:i w:val="false"/>
          <w:iCs w:val="false"/>
          <w:color w:val="333333"/>
          <w:sz w:val="20"/>
          <w:szCs w:val="20"/>
        </w:rPr>
        <w:t xml:space="preserve">Important nuance on density: </w:t>
      </w:r>
      <w:r>
        <w:rPr>
          <w:rFonts w:ascii="Arial" w:cs="Arial" w:eastAsia="Arial" w:hAnsi="Arial"/>
          <w:b w:val="false"/>
          <w:bCs w:val="false"/>
          <w:i w:val="false"/>
          <w:iCs w:val="false"/>
          <w:color w:val="333333"/>
          <w:sz w:val="20"/>
          <w:szCs w:val="20"/>
        </w:rPr>
        <w:t xml:space="preserve">While the merged lot enables 3-story construction, independent analysis by Let's Go LA noted that in Glendale, "because density is increased but FAR is not" proportionally for wider lots, "the average unit size is actually driven down, despite being allowed to make the building one story taller." In practice, "many [multi-lot projects] have not maxed out the density, electing to build fewer, but larger units." The parking requirement of 2 subterranean spaces per unit may also cap practical unit count based on achievable garage capacity.</w:t>
      </w:r>
    </w:p>
    <w:p>
      <w:pPr>
        <w:spacing w:before="40" w:after="120"/>
        <w:jc w:val="left"/>
      </w:pPr>
      <w:r>
        <w:rPr>
          <w:rFonts w:ascii="Arial" w:cs="Arial" w:eastAsia="Arial" w:hAnsi="Arial"/>
          <w:b w:val="false"/>
          <w:bCs w:val="false"/>
          <w:i/>
          <w:iCs/>
          <w:color w:val="666666"/>
          <w:sz w:val="16"/>
          <w:szCs w:val="16"/>
        </w:rPr>
        <w:t xml:space="preserve">Source: Let's Go LA, "Zoning Constraints &amp; Housing Types" (Oct. 30, 2016).</w:t>
      </w:r>
    </w:p>
    <w:p>
      <w:pPr>
        <w:pStyle w:val="Heading1"/>
        <w:spacing w:before="360" w:after="120"/>
      </w:pPr>
      <w:r>
        <w:rPr>
          <w:rFonts w:ascii="Arial" w:cs="Arial" w:eastAsia="Arial" w:hAnsi="Arial"/>
          <w:b/>
          <w:bCs/>
          <w:color w:val="1F3864"/>
          <w:sz w:val="28"/>
          <w:szCs w:val="28"/>
        </w:rPr>
        <w:t xml:space="preserve">Part B: State Density Bonus Law</w:t>
      </w:r>
    </w:p>
    <w:p>
      <w:pPr>
        <w:spacing w:before="80" w:after="80"/>
        <w:jc w:val="left"/>
      </w:pPr>
      <w:r>
        <w:rPr>
          <w:rFonts w:ascii="Arial" w:cs="Arial" w:eastAsia="Arial" w:hAnsi="Arial"/>
          <w:b w:val="false"/>
          <w:bCs w:val="false"/>
          <w:i w:val="false"/>
          <w:iCs w:val="false"/>
          <w:color w:val="333333"/>
          <w:sz w:val="20"/>
          <w:szCs w:val="20"/>
        </w:rPr>
        <w:t xml:space="preserve">Under California's Density Bonus Law (Gov. Code §65915), a developer who includes affordable units can receive up to a 50% density bonus above the base zoning allowance: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AFFORDABILITY SET-ASIDE</w:t>
            </w:r>
          </w:p>
        </w:tc>
        <w:tc>
          <w:tcPr>
            <w:tcW w:type="dxa" w:w="208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DENSITY BONUS</w:t>
            </w:r>
          </w:p>
        </w:tc>
        <w:tc>
          <w:tcPr>
            <w:tcW w:type="dxa" w:w="208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MAX UNITS (BASE 38)</w:t>
            </w:r>
          </w:p>
        </w:tc>
        <w:tc>
          <w:tcPr>
            <w:tcW w:type="dxa" w:w="208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MAX UNITS (ENHANCED BASE)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5% Very Low Income</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46</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Potentially higher</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10% Low Income</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46</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Potentially higher</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15% Very Low Income</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50%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57</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Potentially higher</w:t>
            </w:r>
          </w:p>
        </w:tc>
      </w:tr>
    </w:tbl>
    <w:p>
      <w:pPr>
        <w:spacing w:before="80" w:after="80"/>
        <w:jc w:val="left"/>
      </w:pPr>
      <w:r>
        <w:rPr>
          <w:rFonts w:ascii="Arial" w:cs="Arial" w:eastAsia="Arial" w:hAnsi="Arial"/>
          <w:b/>
          <w:bCs/>
          <w:i w:val="false"/>
          <w:iCs w:val="false"/>
          <w:color w:val="333333"/>
          <w:sz w:val="20"/>
          <w:szCs w:val="20"/>
        </w:rPr>
        <w:t xml:space="preserve">Critical interaction with lot width: </w:t>
      </w:r>
      <w:r>
        <w:rPr>
          <w:rFonts w:ascii="Arial" w:cs="Arial" w:eastAsia="Arial" w:hAnsi="Arial"/>
          <w:b w:val="false"/>
          <w:bCs w:val="false"/>
          <w:i w:val="false"/>
          <w:iCs w:val="false"/>
          <w:color w:val="333333"/>
          <w:sz w:val="20"/>
          <w:szCs w:val="20"/>
        </w:rPr>
        <w:t xml:space="preserve">Glendale's code (GMC §30.36.030 and §30.35.030) explicitly provides that the "maximum density for a housing development on a lot that qualifies for additional density based on lot width, as provided in Section 30.11.030, shall be the highest allowable density." This means a merged 160-foot lot's enhanced density would serve as the base for density bonus calculations, compounding the benefit. The density bonus percentage is applied to the higher base, not the standard base.</w:t>
      </w:r>
    </w:p>
    <w:p>
      <w:pPr>
        <w:spacing w:before="80" w:after="80"/>
        <w:jc w:val="left"/>
      </w:pPr>
      <w:r>
        <w:rPr>
          <w:rFonts w:ascii="Arial" w:cs="Arial" w:eastAsia="Arial" w:hAnsi="Arial"/>
          <w:b w:val="false"/>
          <w:bCs w:val="false"/>
          <w:i w:val="false"/>
          <w:iCs w:val="false"/>
          <w:color w:val="333333"/>
          <w:sz w:val="20"/>
          <w:szCs w:val="20"/>
        </w:rPr>
        <w:t xml:space="preserve">Even with a density bonus, the height limit remains a practical constraint for the individual 80-foot parcels (2 stories / 26 ft). For the merged lot, the 3-story / 36-ft envelope provides significantly more room to accommodate bonus units. Density bonus concessions can also include additional height waivers in certain circumstances, potentially pushing the merged project to 4+ stories.</w:t>
      </w:r>
    </w:p>
    <w:p>
      <w:pPr>
        <w:spacing w:before="80" w:after="80"/>
        <w:jc w:val="left"/>
      </w:pPr>
      <w:r>
        <w:rPr>
          <w:rFonts w:ascii="Arial" w:cs="Arial" w:eastAsia="Arial" w:hAnsi="Arial"/>
          <w:b/>
          <w:bCs/>
          <w:i w:val="false"/>
          <w:iCs w:val="false"/>
          <w:color w:val="333333"/>
          <w:sz w:val="20"/>
          <w:szCs w:val="20"/>
        </w:rPr>
        <w:t xml:space="preserve">Real-world precedent: </w:t>
      </w:r>
      <w:r>
        <w:rPr>
          <w:rFonts w:ascii="Arial" w:cs="Arial" w:eastAsia="Arial" w:hAnsi="Arial"/>
          <w:b w:val="false"/>
          <w:bCs w:val="false"/>
          <w:i w:val="false"/>
          <w:iCs w:val="false"/>
          <w:color w:val="333333"/>
          <w:sz w:val="20"/>
          <w:szCs w:val="20"/>
        </w:rPr>
        <w:t xml:space="preserve">Glendale has approved density bonus projects in the R-1250 zone with significant concessions. The 515 Pioneer Drive project received height increases from 36 feet (the R-3050 base for lots 90+ feet wide) to 69 feet via automatic density bonus height increases, illustrating how the lot width threshold directly interfaces with state law to enable larger projects.</w:t>
      </w:r>
    </w:p>
    <w:p>
      <w:pPr>
        <w:spacing w:before="40" w:after="120"/>
        <w:jc w:val="left"/>
      </w:pPr>
      <w:r>
        <w:rPr>
          <w:rFonts w:ascii="Arial" w:cs="Arial" w:eastAsia="Arial" w:hAnsi="Arial"/>
          <w:b w:val="false"/>
          <w:bCs w:val="false"/>
          <w:i/>
          <w:iCs/>
          <w:color w:val="666666"/>
          <w:sz w:val="16"/>
          <w:szCs w:val="16"/>
        </w:rPr>
        <w:t xml:space="preserve">Sources: Cal. Gov. Code §65915; GMC §30.36.030; GMC §30.35.030; 515 Pioneer Drive Notice of Exemption (2021).</w:t>
      </w:r>
    </w:p>
    <w:p>
      <w:pPr>
        <w:pStyle w:val="Heading1"/>
        <w:spacing w:before="360" w:after="120"/>
      </w:pPr>
      <w:r>
        <w:rPr>
          <w:rFonts w:ascii="Arial" w:cs="Arial" w:eastAsia="Arial" w:hAnsi="Arial"/>
          <w:b/>
          <w:bCs/>
          <w:color w:val="1F3864"/>
          <w:sz w:val="28"/>
          <w:szCs w:val="28"/>
        </w:rPr>
        <w:t xml:space="preserve">Part C: Why Ground-Up Redevelopment Does Not Pencil</w:t>
      </w:r>
    </w:p>
    <w:p>
      <w:pPr>
        <w:spacing w:before="80" w:after="80"/>
        <w:jc w:val="left"/>
      </w:pPr>
      <w:r>
        <w:rPr>
          <w:rFonts w:ascii="Arial" w:cs="Arial" w:eastAsia="Arial" w:hAnsi="Arial"/>
          <w:b w:val="false"/>
          <w:bCs w:val="false"/>
          <w:i w:val="false"/>
          <w:iCs w:val="false"/>
          <w:color w:val="333333"/>
          <w:sz w:val="20"/>
          <w:szCs w:val="20"/>
        </w:rPr>
        <w:t xml:space="preserve">Even under the most favorable assumptions, including a merged lot with 3-story capacity and a 38-unit base project, the economics of demolition and rebuild produce a significant loss. The analysis below uses the most optimistic by-right scenario (38 units on the merged 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c>
          <w:tcPr>
            <w:tcW w:type="dxa" w:w="35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COST COMPONENT</w:t>
            </w:r>
          </w:p>
        </w:tc>
        <w:tc>
          <w:tcPr>
            <w:tcW w:type="dxa" w:w="2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AMOUNT</w:t>
            </w:r>
          </w:p>
        </w:tc>
        <w:tc>
          <w:tcPr>
            <w:tcW w:type="dxa" w:w="36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Land basis (at apartment value)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$9,000,000</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Income analysis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Demolition (27 units, 22,674 SF, 5 buildings)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~$200,000</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Industry estimate ($8-10/SF)</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Hard construction (38 units x $430,000)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$16,340,000</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RAND Corp. RR-A3743-1 (April 2025)</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Soft costs (architecture, engineering, permits at 25%)</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$4,085,000</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RAND 2025: soft costs 25-30%</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Municipal development/impact fees (38 x $29,000)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$1,102,000</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RAND 2025: CA avg ~$29K/unit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Tenant relocation (27 units x 3 months' rent)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~$186,000</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Glendale Ord. 5922</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Lost rental income (4 years x $449,791 NOI)</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$1,799,164</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Current normalized NOI</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Financing/carry costs (~5% of hard x 3 years)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~$2,450,000</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Estimated construction loan</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TOTAL ALL-IN DEVELOPMENT COST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~$35,160,000</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
            </w:r>
          </w:p>
        </w:tc>
      </w:tr>
    </w:tbl>
    <w:p>
      <w:pPr>
        <w:spacing w:before="40" w:after="120"/>
        <w:jc w:val="left"/>
      </w:pPr>
      <w:r>
        <w:rPr>
          <w:rFonts w:ascii="Arial" w:cs="Arial" w:eastAsia="Arial" w:hAnsi="Arial"/>
          <w:b w:val="false"/>
          <w:bCs w:val="false"/>
          <w:i/>
          <w:iCs/>
          <w:color w:val="666666"/>
          <w:sz w:val="16"/>
          <w:szCs w:val="16"/>
        </w:rPr>
        <w:t xml:space="preserve">Primary source: Ward, Jason M. &amp; Schlake, Luke, "The High Cost of Producing Multifamily Housing in California," RAND Corporation, RR-A3743-1, April 2025. Key finding: California's average market-rate multifamily production cost is approximately $430,000 per unit, 2.5x Texas (~$150K) and nearly 2x Colorado (~$240K). Los Angeles metro is among the most expensive submarkets in California. Municipal development fees average approximately $29,000 per unit statewide.</w:t>
      </w:r>
    </w:p>
    <w:p>
      <w:pPr>
        <w:spacing w:before="80" w:after="80"/>
        <w:jc w:val="left"/>
      </w:pPr>
      <w:r>
        <w:rPr>
          <w:rFonts w:ascii="Arial" w:cs="Arial" w:eastAsia="Arial" w:hAnsi="Arial"/>
          <w:b w:val="false"/>
          <w:bCs w:val="false"/>
          <w:i w:val="false"/>
          <w:iCs w:val="false"/>
          <w:color w:val="333333"/>
          <w:sz w:val="20"/>
          <w:szCs w:val="20"/>
        </w:rPr>
        <w:t xml:space="preserve">The completed value of a new 38-unit building, assuming Class A new-construction rents of $3,250/month per unit, 5% vacancy, and 35% operating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312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CALCULATION</w:t>
            </w:r>
          </w:p>
        </w:tc>
        <w:tc>
          <w:tcPr>
            <w:tcW w:type="dxa" w:w="312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VALUE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Gross rent (38 units x $3,250/mo x 12)</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$1,482,000</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Less: Vacancy (5%)</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($74,100)</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Less: Operating expenses (35%)</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($518,700)</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Stabilized NOI</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$889,200</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Value at 4.5% cap</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$889,200 / 0.045</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$19,760,000</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Value at 4.0% cap</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$889,200 / 0.040</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$22,230,000</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CC0000"/>
                <w:sz w:val="18"/>
                <w:szCs w:val="18"/>
              </w:rPr>
              <w:t xml:space="preserve">Loss at 4.5% cap</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$19.76M - $35.16M</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CC0000"/>
                <w:sz w:val="18"/>
                <w:szCs w:val="18"/>
              </w:rPr>
              <w:t xml:space="preserve">($15,400,000)</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CC0000"/>
                <w:sz w:val="18"/>
                <w:szCs w:val="18"/>
              </w:rPr>
              <w:t xml:space="preserve">Loss at 4.0% cap</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$22.23M - $35.16M</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CC0000"/>
                <w:sz w:val="18"/>
                <w:szCs w:val="18"/>
              </w:rPr>
              <w:t xml:space="preserve">($12,930,000)</w:t>
            </w:r>
          </w:p>
        </w:tc>
      </w:tr>
    </w:tbl>
    <w:p>
      <w:pPr>
        <w:spacing w:before="80" w:after="80"/>
        <w:jc w:val="left"/>
      </w:pPr>
      <w:r>
        <w:rPr>
          <w:rFonts w:ascii="Arial" w:cs="Arial" w:eastAsia="Arial" w:hAnsi="Arial"/>
          <w:b w:val="false"/>
          <w:bCs w:val="false"/>
          <w:i w:val="false"/>
          <w:iCs w:val="false"/>
          <w:color w:val="333333"/>
          <w:sz w:val="20"/>
          <w:szCs w:val="20"/>
        </w:rPr>
        <w:t xml:space="preserve">A developer would spend approximately $35.2M to create a property worth $19.8M-$22.2M. Under no reasonable cap rate assumption does this project produce a positive return. Even if the merged lot and third story enabled a more efficient 45-unit project (reducing per-unit costs through economies of scale), the gap between all-in cost and stabilized value remains prohibitive.</w:t>
      </w:r>
    </w:p>
    <w:p>
      <w:pPr>
        <w:pStyle w:val="Heading1"/>
        <w:spacing w:before="360" w:after="120"/>
      </w:pPr>
      <w:r>
        <w:rPr>
          <w:rFonts w:ascii="Arial" w:cs="Arial" w:eastAsia="Arial" w:hAnsi="Arial"/>
          <w:b/>
          <w:bCs/>
          <w:color w:val="1F3864"/>
          <w:sz w:val="28"/>
          <w:szCs w:val="28"/>
        </w:rPr>
        <w:t xml:space="preserve">Part D: Legal &amp; Regulatory Barriers to Demolition</w:t>
      </w:r>
    </w:p>
    <w:p>
      <w:pPr>
        <w:spacing w:before="80" w:after="80"/>
        <w:jc w:val="left"/>
      </w:pPr>
      <w:r>
        <w:rPr>
          <w:rFonts w:ascii="Arial" w:cs="Arial" w:eastAsia="Arial" w:hAnsi="Arial"/>
          <w:b/>
          <w:bCs/>
          <w:i w:val="false"/>
          <w:iCs w:val="false"/>
          <w:color w:val="333333"/>
          <w:sz w:val="20"/>
          <w:szCs w:val="20"/>
        </w:rPr>
        <w:t xml:space="preserve">1. SB 330: Housing Crisis Act (Gov. Code §66300 et seq.). </w:t>
      </w:r>
      <w:r>
        <w:rPr>
          <w:rFonts w:ascii="Arial" w:cs="Arial" w:eastAsia="Arial" w:hAnsi="Arial"/>
          <w:b w:val="false"/>
          <w:bCs w:val="false"/>
          <w:i w:val="false"/>
          <w:iCs w:val="false"/>
          <w:color w:val="333333"/>
          <w:sz w:val="20"/>
          <w:szCs w:val="20"/>
        </w:rPr>
        <w:t xml:space="preserve">Prohibits net loss of residential units. All 27 demolished units must be replaced in the new project at the same affordability level. If current tenants are lower-income (likely, given rents of $900-$2,050 for several units), replacement units must be deed-restricted affordable. No demolition permit can be issued until replacement and relocation agreements are executed and recorded with the city.</w:t>
      </w:r>
    </w:p>
    <w:p>
      <w:pPr>
        <w:spacing w:before="80" w:after="80"/>
        <w:jc w:val="left"/>
      </w:pPr>
      <w:r>
        <w:rPr>
          <w:rFonts w:ascii="Arial" w:cs="Arial" w:eastAsia="Arial" w:hAnsi="Arial"/>
          <w:b/>
          <w:bCs/>
          <w:i w:val="false"/>
          <w:iCs w:val="false"/>
          <w:color w:val="333333"/>
          <w:sz w:val="20"/>
          <w:szCs w:val="20"/>
        </w:rPr>
        <w:t xml:space="preserve">2. Ellis Act / AB 1399 (Gov. Code §7060 et seq.). </w:t>
      </w:r>
      <w:r>
        <w:rPr>
          <w:rFonts w:ascii="Arial" w:cs="Arial" w:eastAsia="Arial" w:hAnsi="Arial"/>
          <w:b w:val="false"/>
          <w:bCs w:val="false"/>
          <w:i w:val="false"/>
          <w:iCs w:val="false"/>
          <w:color w:val="333333"/>
          <w:sz w:val="20"/>
          <w:szCs w:val="20"/>
        </w:rPr>
        <w:t xml:space="preserve">If the owner uses the Ellis Act to withdraw the property from the rental market, the withdrawal date is the latest termination date of any unit. All 27 units must be simultaneously vacated. If any unit is re-rented during the constraint period, the entire property must be returned to the rental market at prior rents.</w:t>
      </w:r>
    </w:p>
    <w:p>
      <w:pPr>
        <w:spacing w:before="80" w:after="80"/>
        <w:jc w:val="left"/>
      </w:pPr>
      <w:r>
        <w:rPr>
          <w:rFonts w:ascii="Arial" w:cs="Arial" w:eastAsia="Arial" w:hAnsi="Arial"/>
          <w:b/>
          <w:bCs/>
          <w:i w:val="false"/>
          <w:iCs w:val="false"/>
          <w:color w:val="333333"/>
          <w:sz w:val="20"/>
          <w:szCs w:val="20"/>
        </w:rPr>
        <w:t xml:space="preserve">3. Glendale Tenant Protections (Ordinance 5922). </w:t>
      </w:r>
      <w:r>
        <w:rPr>
          <w:rFonts w:ascii="Arial" w:cs="Arial" w:eastAsia="Arial" w:hAnsi="Arial"/>
          <w:b w:val="false"/>
          <w:bCs w:val="false"/>
          <w:i w:val="false"/>
          <w:iCs w:val="false"/>
          <w:color w:val="333333"/>
          <w:sz w:val="20"/>
          <w:szCs w:val="20"/>
        </w:rPr>
        <w:t xml:space="preserve">Just cause eviction is required for all covered units (built before Feb 1, 1995). Relocation assistance of 3 months' rent is payable to each displaced tenant (~$186,000 total for 27 units). Demolition qualifies as just cause only when work costs exceed 8x monthly rent per unit and renders the unit uninhabitable for more than 30 days.</w:t>
      </w:r>
    </w:p>
    <w:p>
      <w:pPr>
        <w:spacing w:before="80" w:after="80"/>
        <w:jc w:val="left"/>
      </w:pPr>
      <w:r>
        <w:rPr>
          <w:rFonts w:ascii="Arial" w:cs="Arial" w:eastAsia="Arial" w:hAnsi="Arial"/>
          <w:b/>
          <w:bCs/>
          <w:i w:val="false"/>
          <w:iCs w:val="false"/>
          <w:color w:val="333333"/>
          <w:sz w:val="20"/>
          <w:szCs w:val="20"/>
        </w:rPr>
        <w:t xml:space="preserve">4. CEQA. </w:t>
      </w:r>
      <w:r>
        <w:rPr>
          <w:rFonts w:ascii="Arial" w:cs="Arial" w:eastAsia="Arial" w:hAnsi="Arial"/>
          <w:b w:val="false"/>
          <w:bCs w:val="false"/>
          <w:i w:val="false"/>
          <w:iCs w:val="false"/>
          <w:color w:val="333333"/>
          <w:sz w:val="20"/>
          <w:szCs w:val="20"/>
        </w:rPr>
        <w:t xml:space="preserve">A 38-unit ground-up project in Glendale would likely require environmental review under the California Environmental Quality Act unless it qualifies for a categorical exemption or streamlined review. Glendale's Design Review process (GMC Chapter 30.47) adds discretionary review, additional time, and the risk of public opposition.</w:t>
      </w:r>
    </w:p>
    <w:p>
      <w:pPr>
        <w:spacing w:before="80" w:after="80"/>
        <w:jc w:val="left"/>
      </w:pPr>
      <w:r>
        <w:rPr>
          <w:rFonts w:ascii="Arial" w:cs="Arial" w:eastAsia="Arial" w:hAnsi="Arial"/>
          <w:b/>
          <w:bCs/>
          <w:i w:val="false"/>
          <w:iCs w:val="false"/>
          <w:color w:val="333333"/>
          <w:sz w:val="20"/>
          <w:szCs w:val="20"/>
        </w:rPr>
        <w:t xml:space="preserve">5. SB 423 Limitations. </w:t>
      </w:r>
      <w:r>
        <w:rPr>
          <w:rFonts w:ascii="Arial" w:cs="Arial" w:eastAsia="Arial" w:hAnsi="Arial"/>
          <w:b w:val="false"/>
          <w:bCs w:val="false"/>
          <w:i w:val="false"/>
          <w:iCs w:val="false"/>
          <w:color w:val="333333"/>
          <w:sz w:val="20"/>
          <w:szCs w:val="20"/>
        </w:rPr>
        <w:t xml:space="preserve">Even SB 423's ministerial approval path requires affordable housing set-asides (below-market units with 55-year deed restrictions). While this could bypass CEQA and design review, the underlying economic gap ($13-15M loss) remains.</w:t>
      </w:r>
    </w:p>
    <w:p>
      <w:pPr>
        <w:pStyle w:val="Heading1"/>
        <w:spacing w:before="360" w:after="120"/>
      </w:pPr>
      <w:r>
        <w:rPr>
          <w:rFonts w:ascii="Arial" w:cs="Arial" w:eastAsia="Arial" w:hAnsi="Arial"/>
          <w:b/>
          <w:bCs/>
          <w:color w:val="1F3864"/>
          <w:sz w:val="28"/>
          <w:szCs w:val="28"/>
        </w:rPr>
        <w:t xml:space="preserve">Conclusion</w:t>
      </w:r>
    </w:p>
    <w:p>
      <w:pPr>
        <w:spacing w:before="80" w:after="80"/>
        <w:jc w:val="left"/>
      </w:pPr>
      <w:r>
        <w:rPr>
          <w:rFonts w:ascii="Arial" w:cs="Arial" w:eastAsia="Arial" w:hAnsi="Arial"/>
          <w:b w:val="false"/>
          <w:bCs w:val="false"/>
          <w:i w:val="false"/>
          <w:iCs w:val="false"/>
          <w:color w:val="333333"/>
          <w:sz w:val="20"/>
          <w:szCs w:val="20"/>
        </w:rPr>
        <w:t xml:space="preserve">The combined 160-foot frontage created by merging the two parcels does exceed Glendale's 90-foot lot width threshold, which unlocks a third story (36 ft) and enhanced density under GMC §30.11.030.</w:t>
      </w:r>
      <w:r>
        <w:rPr>
          <w:rFonts w:ascii="Arial" w:cs="Arial" w:eastAsia="Arial" w:hAnsi="Arial"/>
          <w:b/>
          <w:bCs/>
          <w:i w:val="false"/>
          <w:iCs w:val="false"/>
          <w:color w:val="333333"/>
          <w:sz w:val="20"/>
          <w:szCs w:val="20"/>
        </w:rPr>
        <w:t xml:space="preserve"> This is a meaningful increase in development capacity compared to the individual 80-foot parcels, which are capped at 2 stories / 26 feet.</w:t>
      </w:r>
    </w:p>
    <w:p>
      <w:pPr>
        <w:spacing w:before="80" w:after="80"/>
        <w:jc w:val="left"/>
      </w:pPr>
      <w:r>
        <w:rPr>
          <w:rFonts w:ascii="Arial" w:cs="Arial" w:eastAsia="Arial" w:hAnsi="Arial"/>
          <w:b w:val="false"/>
          <w:bCs w:val="false"/>
          <w:i w:val="false"/>
          <w:iCs w:val="false"/>
          <w:color w:val="333333"/>
          <w:sz w:val="20"/>
          <w:szCs w:val="20"/>
        </w:rPr>
        <w:t xml:space="preserve">However, this enhanced capacity does not change the fundamental economic conclusion. The combination of $430,000+ per-unit construction costs (RAND 2025), SB 330 replacement requirements, Ellis Act constraints, Glendale's tenant protections, CEQA review, and the gap between development cost (~$35.2M) and stabilized value ($19.8M-$22.2M) make ground-up redevelopment economically irrational under current market conditions.</w:t>
      </w:r>
    </w:p>
    <w:p>
      <w:pPr>
        <w:spacing w:before="80" w:after="80"/>
        <w:jc w:val="left"/>
      </w:pPr>
      <w:r>
        <w:rPr>
          <w:rFonts w:ascii="Arial" w:cs="Arial" w:eastAsia="Arial" w:hAnsi="Arial"/>
          <w:b/>
          <w:bCs/>
          <w:i w:val="false"/>
          <w:iCs w:val="false"/>
          <w:color w:val="333333"/>
          <w:sz w:val="20"/>
          <w:szCs w:val="20"/>
        </w:rPr>
        <w:t xml:space="preserve">The value of the lot merger is as a long-term optionality play, not a near-term development catalyst.</w:t>
      </w:r>
      <w:r>
        <w:rPr>
          <w:rFonts w:ascii="Arial" w:cs="Arial" w:eastAsia="Arial" w:hAnsi="Arial"/>
          <w:b w:val="false"/>
          <w:bCs w:val="false"/>
          <w:i w:val="false"/>
          <w:iCs w:val="false"/>
          <w:color w:val="333333"/>
          <w:sz w:val="20"/>
          <w:szCs w:val="20"/>
        </w:rPr>
        <w:t xml:space="preserve"> A buyer acquiring both parcels together controls 160 feet of continuous R-1250 frontage with 3-story capacity, positioning the site for future development when construction costs moderate, cap rates compress, or state housing incentives increase. In the meantime, the practical path to value creation is ADU infill construction in the existing rear parking area, which requires no tenant displacement, no CEQA review, and no discretionary approval.</w:t>
      </w:r>
    </w:p>
    <w:p>
      <w:pPr>
        <w:spacing w:before="240" w:after="0"/>
      </w:pPr>
    </w:p>
    <w:p>
      <w:pPr>
        <w:pBdr>
          <w:top w:val="single" w:color="1F3864" w:sz="4"/>
        </w:pBdr>
        <w:spacing w:before="0" w:after="0"/>
      </w:pPr>
    </w:p>
    <w:p>
      <w:pPr>
        <w:spacing w:before="80" w:after="80"/>
        <w:jc w:val="left"/>
      </w:pPr>
      <w:r>
        <w:rPr>
          <w:rFonts w:ascii="Arial" w:cs="Arial" w:eastAsia="Arial" w:hAnsi="Arial"/>
          <w:b w:val="false"/>
          <w:bCs w:val="false"/>
          <w:i/>
          <w:iCs/>
          <w:color w:val="666666"/>
          <w:sz w:val="18"/>
          <w:szCs w:val="18"/>
        </w:rPr>
        <w:t xml:space="preserve">Note: This analysis should be verified with the Glendale Planning Department (818-548-3200) to confirm the specific development standards in Table 30.11-B as applied to the subject parcels, and to confirm the precise lot widths per the recorded surveys. The 90-foot threshold and its implications for height/stories are well-documented in the code, but the exact enhanced density figures for the R-1250 zone should be confirmed at the counter prior to any formal development feasibility study.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2026-02-13T02:30:15.456Z</dcterms:created>
  <dcterms:modified xsi:type="dcterms:W3CDTF">2026-02-13T02:30:15.457Z</dcterms:modified>
</cp:coreProperties>
</file>

<file path=docProps/custom.xml><?xml version="1.0" encoding="utf-8"?>
<Properties xmlns="http://schemas.openxmlformats.org/officeDocument/2006/custom-properties" xmlns:vt="http://schemas.openxmlformats.org/officeDocument/2006/docPropsVTypes"/>
</file>