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Fund Accounting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claim sheet side of Fund Accounting is already settled — we've worked through the workflow, the Board approval and denial process, the sheet layout, and the 15-invoice limit. None of that is repeated here.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What follows covers everything we haven't discussed: funds, revenue, budget and amendments, purchase orders, reconciling with the Clerk's office, journal entries, and year end.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funds does the department deal with?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Road, Bridge, Equipment or Sinking, anything else.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each fund have its own budget and account codes, or is it one set across all?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ever transfer money between funds? Who authorises that?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any fund restricted to particular uses?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claim sheet change depending on which fund is paying?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The example sheet is headed ROAD FUND.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are your revenue sources?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Property tax, highway allocation, motor vehicle fees, permits, equipment sales, township billing, FEMA reimbursement, interest.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actually records revenue — you, the Clerk, or the Treasurer?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revenue recorded when the money arrives, or when it's earned?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to track money owed to you but not yet received?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Township billing, FEMA claims in progress.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does a FEMA reimbursement get recorded when it finally lands?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sell surplus equipment? Where does that money go?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other departments or entities owe you money regularly?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Ties to the shop fuelling question on the Equipment form.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is the budget prepared, and when is it adopted?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prepares it — you, the Board, the Clerk's office?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budget set line by line, or by broader category?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actually happens when a line goes over budget?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does a budget amendment work, and who has to approve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do amendments happen in a normal year?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encumbrances?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Committing budget when an order is placed rather than when the invoice is paid — so you can see what's already spoken for.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PURCHASE ORDERS &amp; BIDDING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issue purchase orders? When is one required?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dollar threshold above which a PO is needed?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are the bid thresholds you work to, and where do they come from?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approves a purchase before it's made?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keep quotes on file for purchases that don't need a formal bid?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CLAIM CYCLE TIMING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the cycle: first and third Tuesday of each month?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What's the cutoff for getting an invoice onto a given cycle?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to an invoice that misses the cutoff?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form says all claims must be filed within 90 days — 90 days from what, and what happens if that's missed?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Roughly how many claims go on a typical cycle?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busiest time of year?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RECONCILING WITH THE CLERK &amp; TREASURER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reconcile your records against the Clerk's or Treasurer's? How often?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 you do when the two don't agree?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get a report back from the Clerk's office after claims are entered?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so, in what form — paper, spreadsheet, portal?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check numbers? Where do they come from and when do you learn them?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The claim sheet has a CHECK NUMBER line at the bottom.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Would it help to record when a claim was actually paid?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JOURNAL ENTRIES &amp; CORRECTIONS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do you need a journal entry?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Who's allowed to make one, and does anyone approve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What's the most common reason for one?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 claim was coded to the wrong expenditure line and already approved, how is that fixed?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corrections be visible in history, or should the record just show the corrected version?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YEAR END &amp; AUDIT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in fund accounting specifically at year end?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there claims that straddle the year boundary? How are they handled?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auditor ask for, and how long does gathering it take?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 you file with the state, and when?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department part of a wider county budget document? Who assembles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an audit ever raised something the system should have prevented?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 Accounting — Setup Questions</dc:title>
  <dc:creator>Pinpoint</dc:creator>
  <cp:lastModifiedBy>Un-named</cp:lastModifiedBy>
  <cp:revision>1</cp:revision>
  <dcterms:created xsi:type="dcterms:W3CDTF">2026-08-07T09:27:05.053Z</dcterms:created>
  <dcterms:modified xsi:type="dcterms:W3CDTF">2026-08-07T09:27:05.058Z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