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ARPL Electrical Routing Research Baseline — Version 3</w:t>
      </w:r>
    </w:p>
    <w:p>
      <w:r>
        <w:rPr>
          <w:b/>
          <w:color w:val="505050"/>
          <w:sz w:val="28"/>
        </w:rPr>
        <w:t>AI-driven electrical planning, routing, execution, and verification directly in Revit</w:t>
      </w:r>
    </w:p>
    <w:p>
      <w:r>
        <w:rPr>
          <w:i/>
        </w:rPr>
        <w:t>Starting point for ARPL electrical workflow research</w:t>
        <w:br/>
        <w:t>Updated after Mistral and Grok review convergence</w:t>
        <w:br/>
        <w:t>October 2026</w:t>
      </w:r>
      <w:r/>
    </w:p>
    <w:p>
      <w:r>
        <w:rPr>
          <w:color w:val="A0A0A0"/>
        </w:rPr>
        <w:t>────────────────────────────────────────────────────────────────────────</w:t>
      </w:r>
    </w:p>
    <w:p>
      <w:pPr>
        <w:pStyle w:val="ExecutiveSummary"/>
      </w:pPr>
      <w:r>
        <w:t>This Version 3 establishes the starting baseline for ARPL electrical workflow research in Revit. The thought experiment began by comparing Revit with mature EPLAN electrical concepts, then progressively removed preplanning, cable definition, and connection representation from the list of fundamental Revit gaps. Two difficult routing problems remain: selecting routes through existing containment and generating new coordinated containment. External review by Mistral and Grok converged on four prerequisites that must be proven before production routing is credible: persistent connector identity, reliable containment-graph normalization, route-induced engineering revalidation, and coordination against linked multidisciplinary geometry. Version 3 converts those risks into explicit contracts, pass criteria, and a prototype sequence.</w:t>
      </w:r>
    </w:p>
    <w:p>
      <w:pPr>
        <w:pStyle w:val="KeyPoint"/>
      </w:pPr>
      <w:r>
        <w:t>V3 baseline: no EPLAN dependency. The authoritative chain is Engineer -&gt; versioned electrical contract -&gt; AI in Revit -&gt; deterministic routing/execution kernels -&gt; ARPL soft production preferences -&gt; deterministic verification. Excel is a human-facing view of the contract, not the long-term source of truth.</w:t>
      </w:r>
    </w:p>
    <w:p>
      <w:r/>
    </w:p>
    <w:p>
      <w:pPr>
        <w:pStyle w:val="Heading1"/>
      </w:pPr>
      <w:r>
        <w:t>1. Purpose and Question</w:t>
      </w:r>
    </w:p>
    <w:p>
      <w:r>
        <w:t>The central question is deliberately narrow:</w:t>
      </w:r>
    </w:p>
    <w:p>
      <w:pPr>
        <w:pStyle w:val="KeyPoint"/>
      </w:pPr>
      <w:r>
        <w:t>How far can an electrical design and production workflow be executed directly in Autodesk Revit if an AI has direct access to the Revit model, the Revit API, an engineer-approved planning interface, and ARPL as a repository of learned Revit workflow logic?</w:t>
      </w:r>
    </w:p>
    <w:p>
      <w:r>
        <w:t>The objective is not Revit–EPLAN interoperability and not an EPLAN clone. The exercise uses EPLAN only to benchmark mature electrical concepts such as connection objects, cable identity, routing topology, and route calculation. The final proposed system contains no EPLAN component.</w:t>
      </w:r>
    </w:p>
    <w:p>
      <w:pPr>
        <w:pStyle w:val="Heading1"/>
      </w:pPr>
      <w:r>
        <w:t>2. Proposed System Boundary</w:t>
      </w:r>
    </w:p>
    <w:p>
      <w:pPr>
        <w:pStyle w:val="CodeBlock"/>
        <w:shd w:fill="F3F3F3"/>
      </w:pPr>
      <w:r>
        <w:t>ELECTRICAL ENGINEER</w:t>
        <w:br/>
        <w:t xml:space="preserve">        &lt;-&gt;</w:t>
        <w:br/>
        <w:t>EXCEL HUMAN INTERFACE</w:t>
        <w:br/>
        <w:t xml:space="preserve">        &lt;-&gt;</w:t>
        <w:br/>
        <w:t>VERSIONED ELECTRICAL CONTRACT</w:t>
        <w:br/>
        <w:t xml:space="preserve">        v</w:t>
        <w:br/>
        <w:t>approved electrical intent</w:t>
        <w:br/>
        <w:t xml:space="preserve">        v</w:t>
        <w:br/>
        <w:t>AI OPERATING INSIDE REVIT</w:t>
        <w:br/>
        <w:t xml:space="preserve">        v</w:t>
        <w:br/>
        <w:t>ARPL — Revit workflow knowledge / soft production preferences</w:t>
        <w:br/>
        <w:t xml:space="preserve">        v</w:t>
        <w:br/>
        <w:t>DETERMINISTIC REVIT EXECUTION + ROUTING KERNELS</w:t>
        <w:br/>
        <w:t xml:space="preserve">        v</w:t>
        <w:br/>
        <w:t>REVIT API</w:t>
        <w:br/>
        <w:t xml:space="preserve">        v</w:t>
        <w:br/>
        <w:t>Revit electrical/BIM model</w:t>
        <w:br/>
        <w:t xml:space="preserve">        v</w:t>
        <w:br/>
        <w:t>READ-BACK + VERIFICATION</w:t>
        <w:br/>
        <w:t xml:space="preserve">        v</w:t>
        <w:br/>
        <w:t>Engineer review where required</w:t>
      </w:r>
    </w:p>
    <w:p>
      <w:pPr>
        <w:pStyle w:val="Heading2"/>
      </w:pPr>
      <w:r>
        <w:t>2.1 Responsibility split</w:t>
      </w:r>
    </w:p>
    <w:p>
      <w:r>
        <w:rPr>
          <w:b/>
        </w:rPr>
        <w:t xml:space="preserve">Electrical engineer: </w:t>
      </w:r>
      <w:r>
        <w:t>Owns design authority, code interpretation, engineering approvals, and decisions requiring professional judgment.</w:t>
      </w:r>
    </w:p>
    <w:p>
      <w:r>
        <w:rPr>
          <w:b/>
        </w:rPr>
        <w:t>Versioned electrical contract: The authoritative machine-readable planning and approval record. It carries endpoints, loads, source, circuit intent, cable intent, routing requirements, authority state, model revision, and execution/verification status. Excel may be used as the engineer-facing view/editor, but not as the immutable source of truth.</w:t>
      </w:r>
      <w:r/>
    </w:p>
    <w:p>
      <w:r>
        <w:rPr>
          <w:b/>
        </w:rPr>
        <w:t>AI: Interprets approved planning data, inspects host and linked Revit geometry, invokes deterministic kernels, selects only among kernel-valid candidates, applies relevant ARPL production preferences, explains its proposal, executes through the API when authorized, and checks the result.</w:t>
      </w:r>
      <w:r/>
    </w:p>
    <w:p>
      <w:r>
        <w:rPr>
          <w:b/>
        </w:rPr>
        <w:t>ARPL: Stores learned Revit production knowledge, soft preferences, project/office conventions, known failure patterns, and validated heuristic weights. ARPL does not own electrical code, hard feasibility constraints, routing geometry algorithms, or engineering calculations.</w:t>
      </w:r>
      <w:r/>
    </w:p>
    <w:p>
      <w:r>
        <w:rPr>
          <w:b/>
        </w:rPr>
        <w:t xml:space="preserve">Revit: </w:t>
      </w:r>
      <w:r>
        <w:t>Provides the coordinated BIM environment, production objects, spatial context, geometry, documentation surface, and API read-back.</w:t>
      </w:r>
    </w:p>
    <w:p>
      <w:pPr>
        <w:pStyle w:val="Heading1"/>
      </w:pPr>
      <w:r>
        <w:t>3. Initial Electrical Planning Pipeline</w:t>
      </w:r>
    </w:p>
    <w:p>
      <w:pPr>
        <w:pStyle w:val="CodeBlock"/>
        <w:shd w:fill="F3F3F3"/>
      </w:pPr>
      <w:r>
        <w:t>ENDPOINTS</w:t>
        <w:br/>
        <w:t xml:space="preserve">    v</w:t>
        <w:br/>
        <w:t>ELECTRICAL REQUIREMENTS</w:t>
        <w:br/>
        <w:t xml:space="preserve">    v</w:t>
        <w:br/>
        <w:t>STANDARDS / PROJECT RULES</w:t>
        <w:br/>
        <w:t xml:space="preserve">    v</w:t>
        <w:br/>
        <w:t>CIRCUIT DESIGN</w:t>
        <w:br/>
        <w:t xml:space="preserve">    v</w:t>
        <w:br/>
        <w:t>PROTECTION</w:t>
        <w:br/>
        <w:t xml:space="preserve">    v</w:t>
        <w:br/>
        <w:t>CONDUCTORS / CABLES</w:t>
        <w:br/>
        <w:t xml:space="preserve">    v</w:t>
        <w:br/>
        <w:t>DISTRIBUTION</w:t>
        <w:br/>
        <w:t xml:space="preserve">    v</w:t>
        <w:br/>
        <w:t>ROUTING</w:t>
        <w:br/>
        <w:t xml:space="preserve">    v</w:t>
        <w:br/>
        <w:t>REVIT EXECUTION</w:t>
        <w:br/>
        <w:t xml:space="preserve">    v</w:t>
        <w:br/>
        <w:t>VERIFICATION</w:t>
      </w:r>
    </w:p>
    <w:p>
      <w:r>
        <w:t>IEC 60364 was selected as the neutral international baseline for the thought experiment. The important architectural point is not to encode one national electrical code into ARPL, but to keep standards and engineering logic upstream of the Revit workflow layer.</w:t>
      </w:r>
    </w:p>
    <w:p>
      <w:pPr>
        <w:pStyle w:val="Heading1"/>
      </w:pPr>
      <w:r>
        <w:t>4. Residential Test Case</w:t>
      </w:r>
    </w:p>
    <w:p>
      <w:r>
        <w:t>A deliberately simple single-family house was used to expose the workflow. The assumed distribution topology was:</w:t>
      </w:r>
    </w:p>
    <w:p>
      <w:pPr>
        <w:pStyle w:val="CodeBlock"/>
        <w:shd w:fill="F3F3F3"/>
      </w:pPr>
      <w:r>
        <w:t>UTILITY / GRID</w:t>
        <w:br/>
        <w:t xml:space="preserve">      v</w:t>
        <w:br/>
        <w:t>MDB-01 — Exterior Main Distribution Board</w:t>
        <w:br/>
        <w:t xml:space="preserve">      │</w:t>
        <w:br/>
        <w:t xml:space="preserve">      ├── C01 EV Charger</w:t>
        <w:br/>
        <w:t xml:space="preserve">      ├── C02 Workbench Receptacle</w:t>
        <w:br/>
        <w:t xml:space="preserve">      ├── C03 Exterior Receptacles</w:t>
        <w:br/>
        <w:t xml:space="preserve">      ├── C04 Exterior Lighting</w:t>
        <w:br/>
        <w:t xml:space="preserve">      │</w:t>
        <w:br/>
        <w:t xml:space="preserve">      └── F01 House Feeder</w:t>
        <w:br/>
        <w:t xml:space="preserve">              v</w:t>
        <w:br/>
        <w:t xml:space="preserve">            SDB-01</w:t>
        <w:br/>
        <w:t xml:space="preserve">       Interior Distribution Board</w:t>
        <w:br/>
        <w:t xml:space="preserve">              v</w:t>
        <w:br/>
        <w:t xml:space="preserve">       INSIDE CONSUMERS</w:t>
      </w:r>
    </w:p>
    <w:p>
      <w:r>
        <w:t>The exterior loads were intentionally simple: one EV charging station, one dedicated workbench receptacle, four exterior receptacles, and exterior wall lighting. Interior loads were initially aggregated as “Inside Consumers.” The goal was not a construction-ready design, but to identify decision points and assign each decision to engineering, AI reasoning, ARPL, or Revit execution.</w:t>
      </w:r>
    </w:p>
    <w:p>
      <w:pPr>
        <w:pStyle w:val="Heading1"/>
      </w:pPr>
      <w:r>
        <w:t>5. IEC Reasoning Used in the Exercise</w:t>
      </w:r>
    </w:p>
    <w:p>
      <w:r>
        <w:t>For the example we assumed a 400/230 V AC, 3-phase + neutral, TN-S, 50 Hz supply. For feeder F01, an illustrative diversified demand of 18 kW was assumed, producing approximately 26 A per phase. A provisional 32 A protective device was then considered.</w:t>
      </w:r>
    </w:p>
    <w:p>
      <w:pPr>
        <w:pStyle w:val="CodeBlock"/>
        <w:shd w:fill="F3F3F3"/>
      </w:pPr>
      <w:r>
        <w:t>downstream demand</w:t>
        <w:br/>
        <w:t xml:space="preserve">      v</w:t>
        <w:br/>
        <w:t>design current Ib</w:t>
        <w:br/>
        <w:t xml:space="preserve">      v</w:t>
        <w:br/>
        <w:t>protective device In</w:t>
        <w:br/>
        <w:t xml:space="preserve">      v</w:t>
        <w:br/>
        <w:t>installation conditions</w:t>
        <w:br/>
        <w:t xml:space="preserve">      v</w:t>
        <w:br/>
        <w:t>required conductor capacity Iz</w:t>
        <w:br/>
        <w:t xml:space="preserve">      v</w:t>
        <w:br/>
        <w:t>voltage-drop check</w:t>
        <w:br/>
        <w:t xml:space="preserve">      v</w:t>
        <w:br/>
        <w:t>fault / disconnection check</w:t>
        <w:br/>
        <w:t xml:space="preserve">      v</w:t>
        <w:br/>
        <w:t>approved design</w:t>
      </w:r>
    </w:p>
    <w:p>
      <w:r>
        <w:t>The lesson was not the selected ampacity or cable size. The lesson was dependency: a cable choice must be the result of engineering decisions and installation conditions. ARPL should therefore not learn fixed answers such as “EV charger -&gt; cable X.” ARPL should receive the engineer-approved electrical intent and know how to produce and verify it in Revit.</w:t>
      </w:r>
    </w:p>
    <w:p>
      <w:pPr>
        <w:pStyle w:val="Heading1"/>
      </w:pPr>
      <w:r>
        <w:t>6. What Revit Already Provides</w:t>
      </w:r>
    </w:p>
    <w:p>
      <w:r>
        <w:t>Once electrical intent is known, Revit is considerably stronger than it initially appears. The current Revit API provides the core production objects needed for most of the workflow.</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456"/>
            <w:vAlign w:val="top"/>
            <w:shd w:fill="E7E7E7"/>
          </w:tcPr>
          <w:p>
            <w:r>
              <w:rPr>
                <w:b/>
                <w:sz w:val="18"/>
              </w:rPr>
              <w:t>Capability</w:t>
            </w:r>
          </w:p>
        </w:tc>
        <w:tc>
          <w:tcPr>
            <w:tcW w:type="dxa" w:w="6768"/>
            <w:vAlign w:val="top"/>
            <w:shd w:fill="E7E7E7"/>
          </w:tcPr>
          <w:p>
            <w:r>
              <w:rPr>
                <w:b/>
                <w:sz w:val="18"/>
              </w:rPr>
              <w:t>Assessment in this thought experiment</w:t>
            </w:r>
          </w:p>
        </w:tc>
      </w:tr>
      <w:tr>
        <w:trPr>
          <w:cantSplit/>
        </w:trPr>
        <w:tc>
          <w:tcPr>
            <w:tcW w:type="dxa" w:w="3456"/>
            <w:vAlign w:val="top"/>
          </w:tcPr>
          <w:p>
            <w:pPr>
              <w:spacing w:after="0"/>
            </w:pPr>
            <w:r>
              <w:rPr>
                <w:sz w:val="17"/>
              </w:rPr>
              <w:t>Family / equipment placement</w:t>
            </w:r>
          </w:p>
        </w:tc>
        <w:tc>
          <w:tcPr>
            <w:tcW w:type="dxa" w:w="6768"/>
            <w:vAlign w:val="top"/>
          </w:tcPr>
          <w:p>
            <w:pPr>
              <w:spacing w:after="0"/>
            </w:pPr>
            <w:r>
              <w:rPr>
                <w:sz w:val="17"/>
              </w:rPr>
              <w:t>Strong</w:t>
            </w:r>
          </w:p>
        </w:tc>
      </w:tr>
      <w:tr>
        <w:trPr>
          <w:cantSplit/>
        </w:trPr>
        <w:tc>
          <w:tcPr>
            <w:tcW w:type="dxa" w:w="3456"/>
            <w:vAlign w:val="top"/>
          </w:tcPr>
          <w:p>
            <w:pPr>
              <w:spacing w:after="0"/>
            </w:pPr>
            <w:r>
              <w:rPr>
                <w:sz w:val="17"/>
              </w:rPr>
              <w:t>Electrical connectors</w:t>
            </w:r>
          </w:p>
        </w:tc>
        <w:tc>
          <w:tcPr>
            <w:tcW w:type="dxa" w:w="6768"/>
            <w:vAlign w:val="top"/>
          </w:tcPr>
          <w:p>
            <w:pPr>
              <w:spacing w:after="0"/>
            </w:pPr>
            <w:r>
              <w:rPr>
                <w:sz w:val="17"/>
              </w:rPr>
              <w:t>Strong</w:t>
            </w:r>
          </w:p>
        </w:tc>
      </w:tr>
      <w:tr>
        <w:trPr>
          <w:cantSplit/>
        </w:trPr>
        <w:tc>
          <w:tcPr>
            <w:tcW w:type="dxa" w:w="3456"/>
            <w:vAlign w:val="top"/>
          </w:tcPr>
          <w:p>
            <w:pPr>
              <w:spacing w:after="0"/>
            </w:pPr>
            <w:r>
              <w:rPr>
                <w:sz w:val="17"/>
              </w:rPr>
              <w:t>Circuit / ElectricalSystem creation</w:t>
            </w:r>
          </w:p>
        </w:tc>
        <w:tc>
          <w:tcPr>
            <w:tcW w:type="dxa" w:w="6768"/>
            <w:vAlign w:val="top"/>
          </w:tcPr>
          <w:p>
            <w:pPr>
              <w:spacing w:after="0"/>
            </w:pPr>
            <w:r>
              <w:rPr>
                <w:sz w:val="17"/>
              </w:rPr>
              <w:t>Strong</w:t>
            </w:r>
          </w:p>
        </w:tc>
      </w:tr>
      <w:tr>
        <w:trPr>
          <w:cantSplit/>
        </w:trPr>
        <w:tc>
          <w:tcPr>
            <w:tcW w:type="dxa" w:w="3456"/>
            <w:vAlign w:val="top"/>
          </w:tcPr>
          <w:p>
            <w:pPr>
              <w:spacing w:after="0"/>
            </w:pPr>
            <w:r>
              <w:rPr>
                <w:sz w:val="17"/>
              </w:rPr>
              <w:t>Panel assignment</w:t>
            </w:r>
          </w:p>
        </w:tc>
        <w:tc>
          <w:tcPr>
            <w:tcW w:type="dxa" w:w="6768"/>
            <w:vAlign w:val="top"/>
          </w:tcPr>
          <w:p>
            <w:pPr>
              <w:spacing w:after="0"/>
            </w:pPr>
            <w:r>
              <w:rPr>
                <w:sz w:val="17"/>
              </w:rPr>
              <w:t>Strong</w:t>
            </w:r>
          </w:p>
        </w:tc>
      </w:tr>
      <w:tr>
        <w:trPr>
          <w:cantSplit/>
        </w:trPr>
        <w:tc>
          <w:tcPr>
            <w:tcW w:type="dxa" w:w="3456"/>
            <w:vAlign w:val="top"/>
          </w:tcPr>
          <w:p>
            <w:pPr>
              <w:spacing w:after="0"/>
            </w:pPr>
            <w:r>
              <w:rPr>
                <w:sz w:val="17"/>
              </w:rPr>
              <w:t>Loads and circuit data</w:t>
            </w:r>
          </w:p>
        </w:tc>
        <w:tc>
          <w:tcPr>
            <w:tcW w:type="dxa" w:w="6768"/>
            <w:vAlign w:val="top"/>
          </w:tcPr>
          <w:p>
            <w:pPr>
              <w:spacing w:after="0"/>
            </w:pPr>
            <w:r>
              <w:rPr>
                <w:sz w:val="17"/>
              </w:rPr>
              <w:t>Strong</w:t>
            </w:r>
          </w:p>
        </w:tc>
      </w:tr>
      <w:tr>
        <w:trPr>
          <w:cantSplit/>
        </w:trPr>
        <w:tc>
          <w:tcPr>
            <w:tcW w:type="dxa" w:w="3456"/>
            <w:vAlign w:val="top"/>
          </w:tcPr>
          <w:p>
            <w:pPr>
              <w:spacing w:after="0"/>
            </w:pPr>
            <w:r>
              <w:rPr>
                <w:sz w:val="17"/>
              </w:rPr>
              <w:t>CableType / CableSize / conductor information</w:t>
            </w:r>
          </w:p>
        </w:tc>
        <w:tc>
          <w:tcPr>
            <w:tcW w:type="dxa" w:w="6768"/>
            <w:vAlign w:val="top"/>
          </w:tcPr>
          <w:p>
            <w:pPr>
              <w:spacing w:after="0"/>
            </w:pPr>
            <w:r>
              <w:rPr>
                <w:sz w:val="17"/>
              </w:rPr>
              <w:t>Strongly improved in Revit 2026</w:t>
            </w:r>
          </w:p>
        </w:tc>
      </w:tr>
      <w:tr>
        <w:trPr>
          <w:cantSplit/>
        </w:trPr>
        <w:tc>
          <w:tcPr>
            <w:tcW w:type="dxa" w:w="3456"/>
            <w:vAlign w:val="top"/>
          </w:tcPr>
          <w:p>
            <w:pPr>
              <w:spacing w:after="0"/>
            </w:pPr>
            <w:r>
              <w:rPr>
                <w:sz w:val="17"/>
              </w:rPr>
              <w:t>Circuit path</w:t>
            </w:r>
          </w:p>
        </w:tc>
        <w:tc>
          <w:tcPr>
            <w:tcW w:type="dxa" w:w="6768"/>
            <w:vAlign w:val="top"/>
          </w:tcPr>
          <w:p>
            <w:pPr>
              <w:spacing w:after="0"/>
            </w:pPr>
            <w:r>
              <w:rPr>
                <w:sz w:val="17"/>
              </w:rPr>
              <w:t>Available, but not a route-selection engine</w:t>
            </w:r>
          </w:p>
        </w:tc>
      </w:tr>
      <w:tr>
        <w:trPr>
          <w:cantSplit/>
        </w:trPr>
        <w:tc>
          <w:tcPr>
            <w:tcW w:type="dxa" w:w="3456"/>
            <w:vAlign w:val="top"/>
          </w:tcPr>
          <w:p>
            <w:pPr>
              <w:spacing w:after="0"/>
            </w:pPr>
            <w:r>
              <w:rPr>
                <w:sz w:val="17"/>
              </w:rPr>
              <w:t>Wire graphics</w:t>
            </w:r>
          </w:p>
        </w:tc>
        <w:tc>
          <w:tcPr>
            <w:tcW w:type="dxa" w:w="6768"/>
            <w:vAlign w:val="top"/>
          </w:tcPr>
          <w:p>
            <w:pPr>
              <w:spacing w:after="0"/>
            </w:pPr>
            <w:r>
              <w:rPr>
                <w:sz w:val="17"/>
              </w:rPr>
              <w:t>Available; primarily representation</w:t>
            </w:r>
          </w:p>
        </w:tc>
      </w:tr>
      <w:tr>
        <w:trPr>
          <w:cantSplit/>
        </w:trPr>
        <w:tc>
          <w:tcPr>
            <w:tcW w:type="dxa" w:w="3456"/>
            <w:vAlign w:val="top"/>
          </w:tcPr>
          <w:p>
            <w:pPr>
              <w:spacing w:after="0"/>
            </w:pPr>
            <w:r>
              <w:rPr>
                <w:sz w:val="17"/>
              </w:rPr>
              <w:t>Conduit</w:t>
            </w:r>
          </w:p>
        </w:tc>
        <w:tc>
          <w:tcPr>
            <w:tcW w:type="dxa" w:w="6768"/>
            <w:vAlign w:val="top"/>
          </w:tcPr>
          <w:p>
            <w:pPr>
              <w:spacing w:after="0"/>
            </w:pPr>
            <w:r>
              <w:rPr>
                <w:sz w:val="17"/>
              </w:rPr>
              <w:t>Strong physical BIM geometry</w:t>
            </w:r>
          </w:p>
        </w:tc>
      </w:tr>
      <w:tr>
        <w:trPr>
          <w:cantSplit/>
        </w:trPr>
        <w:tc>
          <w:tcPr>
            <w:tcW w:type="dxa" w:w="3456"/>
            <w:vAlign w:val="top"/>
          </w:tcPr>
          <w:p>
            <w:pPr>
              <w:spacing w:after="0"/>
            </w:pPr>
            <w:r>
              <w:rPr>
                <w:sz w:val="17"/>
              </w:rPr>
              <w:t>Cable tray</w:t>
            </w:r>
          </w:p>
        </w:tc>
        <w:tc>
          <w:tcPr>
            <w:tcW w:type="dxa" w:w="6768"/>
            <w:vAlign w:val="top"/>
          </w:tcPr>
          <w:p>
            <w:pPr>
              <w:spacing w:after="0"/>
            </w:pPr>
            <w:r>
              <w:rPr>
                <w:sz w:val="17"/>
              </w:rPr>
              <w:t>Strong physical BIM geometry</w:t>
            </w:r>
          </w:p>
        </w:tc>
      </w:tr>
      <w:tr>
        <w:trPr>
          <w:cantSplit/>
        </w:trPr>
        <w:tc>
          <w:tcPr>
            <w:tcW w:type="dxa" w:w="3456"/>
            <w:vAlign w:val="top"/>
          </w:tcPr>
          <w:p>
            <w:pPr>
              <w:spacing w:after="0"/>
            </w:pPr>
            <w:r>
              <w:rPr>
                <w:sz w:val="17"/>
              </w:rPr>
              <w:t>Schedules / documentation</w:t>
            </w:r>
          </w:p>
        </w:tc>
        <w:tc>
          <w:tcPr>
            <w:tcW w:type="dxa" w:w="6768"/>
            <w:vAlign w:val="top"/>
          </w:tcPr>
          <w:p>
            <w:pPr>
              <w:spacing w:after="0"/>
            </w:pPr>
            <w:r>
              <w:rPr>
                <w:sz w:val="17"/>
              </w:rPr>
              <w:t>Strong</w:t>
            </w:r>
          </w:p>
        </w:tc>
      </w:tr>
      <w:tr>
        <w:trPr>
          <w:cantSplit/>
        </w:trPr>
        <w:tc>
          <w:tcPr>
            <w:tcW w:type="dxa" w:w="3456"/>
            <w:vAlign w:val="top"/>
          </w:tcPr>
          <w:p>
            <w:pPr>
              <w:spacing w:after="0"/>
            </w:pPr>
            <w:r>
              <w:rPr>
                <w:sz w:val="17"/>
              </w:rPr>
              <w:t>API read-back</w:t>
            </w:r>
          </w:p>
        </w:tc>
        <w:tc>
          <w:tcPr>
            <w:tcW w:type="dxa" w:w="6768"/>
            <w:vAlign w:val="top"/>
          </w:tcPr>
          <w:p>
            <w:pPr>
              <w:spacing w:after="0"/>
            </w:pPr>
            <w:r>
              <w:rPr>
                <w:sz w:val="17"/>
              </w:rPr>
              <w:t>Strong and important for ARPL verification</w:t>
            </w:r>
          </w:p>
        </w:tc>
      </w:tr>
    </w:tbl>
    <w:p/>
    <w:p>
      <w:pPr>
        <w:pStyle w:val="CodeBlock"/>
        <w:shd w:fill="F3F3F3"/>
      </w:pPr>
      <w:r>
        <w:t>family placement</w:t>
        <w:br/>
        <w:t>connectors</w:t>
        <w:br/>
        <w:t>circuits</w:t>
        <w:br/>
        <w:t>panels</w:t>
        <w:br/>
        <w:t>cable definitions</w:t>
        <w:br/>
        <w:t>circuit paths</w:t>
        <w:br/>
        <w:t>wire graphics</w:t>
        <w:br/>
        <w:t>conduit</w:t>
        <w:br/>
        <w:t>cable tray</w:t>
        <w:br/>
        <w:t>building geometry</w:t>
        <w:br/>
        <w:t>schedules</w:t>
        <w:br/>
        <w:t>API read-back</w:t>
      </w:r>
    </w:p>
    <w:p>
      <w:pPr>
        <w:pStyle w:val="Heading1"/>
      </w:pPr>
      <w:r>
        <w:t>7. Circuit Path Is Not the Same as Routing Intelligence</w:t>
      </w:r>
    </w:p>
    <w:p>
      <w:r>
        <w:t>Revit can represent an ElectricalSystem circuit path as an ordered set of points, but the application is being told where the path should go. This is different from a system that decides which route is best.</w:t>
      </w:r>
    </w:p>
    <w:p>
      <w:pPr>
        <w:pStyle w:val="CodeBlock"/>
        <w:shd w:fill="F3F3F3"/>
      </w:pPr>
      <w:r>
        <w:t>PANEL</w:t>
        <w:br/>
        <w:t xml:space="preserve"> v</w:t>
        <w:br/>
        <w:t>node</w:t>
        <w:br/>
        <w:t xml:space="preserve"> v</w:t>
        <w:br/>
        <w:t>node</w:t>
        <w:br/>
        <w:t xml:space="preserve"> v</w:t>
        <w:br/>
        <w:t>node</w:t>
        <w:br/>
        <w:t xml:space="preserve"> v</w:t>
        <w:br/>
        <w:t>ENDPOINT</w:t>
      </w:r>
    </w:p>
    <w:p>
      <w:pPr>
        <w:pStyle w:val="KeyPoint"/>
      </w:pPr>
      <w:r>
        <w:t>Revit can store and use a path; the hard problem is selecting the path.</w:t>
      </w:r>
    </w:p>
    <w:p>
      <w:pPr>
        <w:pStyle w:val="Heading1"/>
      </w:pPr>
      <w:r>
        <w:t>8. Why EPLAN Was Examined</w:t>
      </w:r>
    </w:p>
    <w:p>
      <w:r>
        <w:t>EPLAN was examined only to identify mature electrical abstractions that Revit treats differently. The useful reference chain was:</w:t>
      </w:r>
    </w:p>
    <w:p>
      <w:pPr>
        <w:pStyle w:val="CodeBlock"/>
        <w:shd w:fill="F3F3F3"/>
      </w:pPr>
      <w:r>
        <w:t>DEVICE</w:t>
        <w:br/>
        <w:t xml:space="preserve"> v</w:t>
        <w:br/>
        <w:t>CONNECTION</w:t>
        <w:br/>
        <w:t xml:space="preserve"> v</w:t>
        <w:br/>
        <w:t>CABLE</w:t>
        <w:br/>
        <w:t xml:space="preserve"> v</w:t>
        <w:br/>
        <w:t>ROUTING NETWORK</w:t>
        <w:br/>
        <w:t xml:space="preserve"> v</w:t>
        <w:br/>
        <w:t>ROUTED CONNECTION</w:t>
        <w:br/>
        <w:t xml:space="preserve"> v</w:t>
        <w:br/>
        <w:t>LENGTH / REPORTING</w:t>
      </w:r>
    </w:p>
    <w:p>
      <w:r>
        <w:t>EPLAN explicitly treats terminal-to-terminal connection, cable composition, and routing topology as electrical data. This helped expose which Revit gaps are fundamental and which are simply missing convenience layers.</w:t>
      </w:r>
    </w:p>
    <w:p>
      <w:pPr>
        <w:pStyle w:val="Heading1"/>
      </w:pPr>
      <w:r>
        <w:t>9. Initial Gap Analysis</w:t>
      </w:r>
    </w:p>
    <w:p>
      <w:pPr>
        <w:pStyle w:val="CodeBlock"/>
        <w:shd w:fill="F3F3F3"/>
      </w:pPr>
      <w:r>
        <w:t>1. Preplanning</w:t>
        <w:br/>
        <w:t>2. IEC engineering calculations</w:t>
        <w:br/>
        <w:t>3. Individual terminal/conductor connectivity</w:t>
        <w:br/>
        <w:t>4. Cable/circuit-to-containment relationship</w:t>
        <w:br/>
        <w:t>5. Intelligent routing</w:t>
      </w:r>
    </w:p>
    <w:p>
      <w:r>
        <w:t>Each gap was then challenged against what could be handled outside Revit, what Revit already provides, and what could be added through a lightweight custom layer.</w:t>
      </w:r>
    </w:p>
    <w:p>
      <w:pPr>
        <w:pStyle w:val="Heading1"/>
      </w:pPr>
      <w:r>
        <w:t>10. Preplanning Becomes a Versioned Contract, Not a Revit Problem</w:t>
      </w:r>
    </w:p>
    <w:p>
      <w:r>
        <w:t>The first major simplification was recognizing that electrical preplanning does not need to be modeled as a special Revit object. A versioned structured contract can act as the authoritative interface between electrical engineer, AI, and Revit. Excel remains useful as a human-facing view/editor, but approvals, locks, model revisions, and state transitions should be stored in a versioned JSON/database layer.</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168"/>
            <w:vAlign w:val="top"/>
            <w:shd w:fill="E7E7E7"/>
          </w:tcPr>
          <w:p>
            <w:r>
              <w:rPr>
                <w:b/>
                <w:sz w:val="18"/>
              </w:rPr>
              <w:t>Field group</w:t>
            </w:r>
          </w:p>
        </w:tc>
        <w:tc>
          <w:tcPr>
            <w:tcW w:type="dxa" w:w="7056"/>
            <w:vAlign w:val="top"/>
            <w:shd w:fill="E7E7E7"/>
          </w:tcPr>
          <w:p>
            <w:r>
              <w:rPr>
                <w:b/>
                <w:sz w:val="18"/>
              </w:rPr>
              <w:t>Examples</w:t>
            </w:r>
          </w:p>
        </w:tc>
      </w:tr>
      <w:tr>
        <w:trPr>
          <w:cantSplit/>
        </w:trPr>
        <w:tc>
          <w:tcPr>
            <w:tcW w:type="dxa" w:w="3168"/>
            <w:vAlign w:val="top"/>
          </w:tcPr>
          <w:p>
            <w:pPr>
              <w:spacing w:after="0"/>
            </w:pPr>
            <w:r>
              <w:rPr>
                <w:sz w:val="17"/>
              </w:rPr>
              <w:t>Endpoint identity</w:t>
            </w:r>
          </w:p>
        </w:tc>
        <w:tc>
          <w:tcPr>
            <w:tcW w:type="dxa" w:w="7056"/>
            <w:vAlign w:val="top"/>
          </w:tcPr>
          <w:p>
            <w:pPr>
              <w:spacing w:after="0"/>
            </w:pPr>
            <w:r>
              <w:rPr>
                <w:sz w:val="17"/>
              </w:rPr>
              <w:t>ID, function, category, room/zone</w:t>
            </w:r>
          </w:p>
        </w:tc>
      </w:tr>
      <w:tr>
        <w:trPr>
          <w:cantSplit/>
        </w:trPr>
        <w:tc>
          <w:tcPr>
            <w:tcW w:type="dxa" w:w="3168"/>
            <w:vAlign w:val="top"/>
          </w:tcPr>
          <w:p>
            <w:pPr>
              <w:spacing w:after="0"/>
            </w:pPr>
            <w:r>
              <w:rPr>
                <w:sz w:val="17"/>
              </w:rPr>
              <w:t>Electrical characteristics</w:t>
            </w:r>
          </w:p>
        </w:tc>
        <w:tc>
          <w:tcPr>
            <w:tcW w:type="dxa" w:w="7056"/>
            <w:vAlign w:val="top"/>
          </w:tcPr>
          <w:p>
            <w:pPr>
              <w:spacing w:after="0"/>
            </w:pPr>
            <w:r>
              <w:rPr>
                <w:sz w:val="17"/>
              </w:rPr>
              <w:t>Load, voltage, phase, power factor, duty</w:t>
            </w:r>
          </w:p>
        </w:tc>
      </w:tr>
      <w:tr>
        <w:trPr>
          <w:cantSplit/>
        </w:trPr>
        <w:tc>
          <w:tcPr>
            <w:tcW w:type="dxa" w:w="3168"/>
            <w:vAlign w:val="top"/>
          </w:tcPr>
          <w:p>
            <w:pPr>
              <w:spacing w:after="0"/>
            </w:pPr>
            <w:r>
              <w:rPr>
                <w:sz w:val="17"/>
              </w:rPr>
              <w:t>Circuit intent</w:t>
            </w:r>
          </w:p>
        </w:tc>
        <w:tc>
          <w:tcPr>
            <w:tcW w:type="dxa" w:w="7056"/>
            <w:vAlign w:val="top"/>
          </w:tcPr>
          <w:p>
            <w:pPr>
              <w:spacing w:after="0"/>
            </w:pPr>
            <w:r>
              <w:rPr>
                <w:sz w:val="17"/>
              </w:rPr>
              <w:t>Dedicated/shared, proposed circuit group, source</w:t>
            </w:r>
          </w:p>
        </w:tc>
      </w:tr>
      <w:tr>
        <w:trPr>
          <w:cantSplit/>
        </w:trPr>
        <w:tc>
          <w:tcPr>
            <w:tcW w:type="dxa" w:w="3168"/>
            <w:vAlign w:val="top"/>
          </w:tcPr>
          <w:p>
            <w:pPr>
              <w:spacing w:after="0"/>
            </w:pPr>
            <w:r>
              <w:rPr>
                <w:sz w:val="17"/>
              </w:rPr>
              <w:t>Protection intent</w:t>
            </w:r>
          </w:p>
        </w:tc>
        <w:tc>
          <w:tcPr>
            <w:tcW w:type="dxa" w:w="7056"/>
            <w:vAlign w:val="top"/>
          </w:tcPr>
          <w:p>
            <w:pPr>
              <w:spacing w:after="0"/>
            </w:pPr>
            <w:r>
              <w:rPr>
                <w:sz w:val="17"/>
              </w:rPr>
              <w:t>Breaker/RCD requirement, engineer notes</w:t>
            </w:r>
          </w:p>
        </w:tc>
      </w:tr>
      <w:tr>
        <w:trPr>
          <w:cantSplit/>
        </w:trPr>
        <w:tc>
          <w:tcPr>
            <w:tcW w:type="dxa" w:w="3168"/>
            <w:vAlign w:val="top"/>
          </w:tcPr>
          <w:p>
            <w:pPr>
              <w:spacing w:after="0"/>
            </w:pPr>
            <w:r>
              <w:rPr>
                <w:sz w:val="17"/>
              </w:rPr>
              <w:t>Cable intent</w:t>
            </w:r>
          </w:p>
        </w:tc>
        <w:tc>
          <w:tcPr>
            <w:tcW w:type="dxa" w:w="7056"/>
            <w:vAlign w:val="top"/>
          </w:tcPr>
          <w:p>
            <w:pPr>
              <w:spacing w:after="0"/>
            </w:pPr>
            <w:r>
              <w:rPr>
                <w:sz w:val="17"/>
              </w:rPr>
              <w:t>Cable type, conductor count, preliminary size</w:t>
            </w:r>
          </w:p>
        </w:tc>
      </w:tr>
      <w:tr>
        <w:trPr>
          <w:cantSplit/>
        </w:trPr>
        <w:tc>
          <w:tcPr>
            <w:tcW w:type="dxa" w:w="3168"/>
            <w:vAlign w:val="top"/>
          </w:tcPr>
          <w:p>
            <w:pPr>
              <w:spacing w:after="0"/>
            </w:pPr>
            <w:r>
              <w:rPr>
                <w:sz w:val="17"/>
              </w:rPr>
              <w:t>Routing intent</w:t>
            </w:r>
          </w:p>
        </w:tc>
        <w:tc>
          <w:tcPr>
            <w:tcW w:type="dxa" w:w="7056"/>
            <w:vAlign w:val="top"/>
          </w:tcPr>
          <w:p>
            <w:pPr>
              <w:spacing w:after="0"/>
            </w:pPr>
            <w:r>
              <w:rPr>
                <w:sz w:val="17"/>
              </w:rPr>
              <w:t>Tray/conduit requirement, preferred zone or path</w:t>
            </w:r>
          </w:p>
        </w:tc>
      </w:tr>
      <w:tr>
        <w:trPr>
          <w:cantSplit/>
        </w:trPr>
        <w:tc>
          <w:tcPr>
            <w:tcW w:type="dxa" w:w="3168"/>
            <w:vAlign w:val="top"/>
          </w:tcPr>
          <w:p>
            <w:pPr>
              <w:spacing w:after="0"/>
            </w:pPr>
            <w:r>
              <w:rPr>
                <w:sz w:val="17"/>
              </w:rPr>
              <w:t>Governance</w:t>
            </w:r>
          </w:p>
        </w:tc>
        <w:tc>
          <w:tcPr>
            <w:tcW w:type="dxa" w:w="7056"/>
            <w:vAlign w:val="top"/>
          </w:tcPr>
          <w:p>
            <w:pPr>
              <w:spacing w:after="0"/>
            </w:pPr>
            <w:r>
              <w:rPr>
                <w:sz w:val="17"/>
              </w:rPr>
              <w:t>TBD, AI may propose, engineer review, approved, locked</w:t>
            </w:r>
          </w:p>
        </w:tc>
      </w:tr>
      <w:tr>
        <w:trPr>
          <w:cantSplit/>
        </w:trPr>
        <w:tc>
          <w:tcPr>
            <w:tcW w:type="dxa" w:w="3168"/>
            <w:vAlign w:val="top"/>
          </w:tcPr>
          <w:p>
            <w:pPr>
              <w:spacing w:after="0"/>
            </w:pPr>
            <w:r>
              <w:rPr>
                <w:sz w:val="17"/>
              </w:rPr>
              <w:t>Execution</w:t>
            </w:r>
          </w:p>
        </w:tc>
        <w:tc>
          <w:tcPr>
            <w:tcW w:type="dxa" w:w="7056"/>
            <w:vAlign w:val="top"/>
          </w:tcPr>
          <w:p>
            <w:pPr>
              <w:spacing w:after="0"/>
            </w:pPr>
            <w:r>
              <w:rPr>
                <w:sz w:val="17"/>
              </w:rPr>
              <w:t>Ready, blocked, executed, verified, failed</w:t>
            </w:r>
          </w:p>
        </w:tc>
      </w:tr>
    </w:tbl>
    <w:p/>
    <w:p>
      <w:pPr>
        <w:pStyle w:val="CodeBlock"/>
        <w:shd w:fill="F3F3F3"/>
      </w:pPr>
      <w:r>
        <w:t>ENGINEERING INTENT</w:t>
        <w:br/>
        <w:t xml:space="preserve">        v</w:t>
        <w:br/>
        <w:t>AI PROPOSAL</w:t>
        <w:br/>
        <w:t xml:space="preserve">        v</w:t>
        <w:br/>
        <w:t>ENGINEER DECISION</w:t>
        <w:br/>
        <w:t xml:space="preserve">        v</w:t>
        <w:br/>
        <w:t>APPROVED EXECUTION INPUT</w:t>
        <w:br/>
        <w:t xml:space="preserve">        v</w:t>
        <w:br/>
        <w:t>REVIT</w:t>
      </w:r>
    </w:p>
    <w:p>
      <w:r>
        <w:t>This removes preplanning from the list of fundamental Revit limitations. It also creates an auditable boundary: the engineer approves intent in the contract; the AI may propose changes but cannot silently convert a proposal into approved engineering authority.</w:t>
      </w:r>
    </w:p>
    <w:p>
      <w:pPr>
        <w:pStyle w:val="Heading1"/>
      </w:pPr>
      <w:r>
        <w:t>11. Terminal-to-Terminal Connection Is Buildable</w:t>
      </w:r>
    </w:p>
    <w:p>
      <w:r>
        <w:t>Revit does not expose an EPLAN-style persistent Connection object for every conductor. It does expose connectors. A thin custom record can therefore bridge the difference when terminal-level identity is needed.</w:t>
      </w:r>
    </w:p>
    <w:p>
      <w:pPr>
        <w:pStyle w:val="CodeBlock"/>
        <w:shd w:fill="F3F3F3"/>
      </w:pPr>
      <w:r>
        <w:t>CONNECTION EC-00127</w:t>
        <w:br/>
        <w:br/>
        <w:t>FROM</w:t>
        <w:br/>
        <w:t>Element: MDB-01</w:t>
        <w:br/>
        <w:t>Connector: L1</w:t>
        <w:br/>
        <w:br/>
        <w:t>TO</w:t>
        <w:br/>
        <w:t>Element: EV_CHARGER_01</w:t>
        <w:br/>
        <w:t>Connector: L1</w:t>
        <w:br/>
        <w:br/>
        <w:t>Circuit: C01</w:t>
        <w:br/>
        <w:t>Cable: CBL-017</w:t>
        <w:br/>
        <w:t>Conductor: L1</w:t>
      </w:r>
    </w:p>
    <w:p>
      <w:r>
        <w:t>This record can live in the versioned contract or model-attached application data. Connector identity persistence is a Phase 0 architectural risk: no persistent Connection layer should be committed until connector re-identification survives a defined edit matrix. The connection schema must also allow a cable to be modeled as an ordered core structure (for example L1, L2, L3, N, PE, spare, shield, with color/number semantics), rather than treating every conductor as an unrelated record.</w:t>
      </w:r>
    </w:p>
    <w:p>
      <w:pPr>
        <w:pStyle w:val="Heading1"/>
      </w:pPr>
      <w:r>
        <w:t>12. Cable Representation Is Largely Available</w:t>
      </w:r>
    </w:p>
    <w:p>
      <w:pPr>
        <w:pStyle w:val="CodeBlock"/>
        <w:shd w:fill="F3F3F3"/>
      </w:pPr>
      <w:r>
        <w:t>ElectricalSystem</w:t>
        <w:br/>
        <w:t>CableType</w:t>
        <w:br/>
        <w:t>CableSize</w:t>
        <w:br/>
        <w:t>ConductorSize</w:t>
      </w:r>
    </w:p>
    <w:p>
      <w:r>
        <w:t>Revit 2026 substantially reduces the cable-definition gap. A small additional cable identity layer can supply a stable instance identifier where needed:</w:t>
      </w:r>
    </w:p>
    <w:p>
      <w:pPr>
        <w:pStyle w:val="CodeBlock"/>
        <w:shd w:fill="F3F3F3"/>
      </w:pPr>
      <w:r>
        <w:t>Cable ID: CBL-017</w:t>
        <w:br/>
        <w:t>Circuit: C01</w:t>
        <w:br/>
        <w:t>CableType: ...</w:t>
        <w:br/>
        <w:t>CableSize: ...</w:t>
      </w:r>
    </w:p>
    <w:p>
      <w:pPr>
        <w:pStyle w:val="KeyPoint"/>
      </w:pPr>
      <w:r>
        <w:t>Cable definition is therefore not considered a fundamental blocker.</w:t>
      </w:r>
    </w:p>
    <w:p>
      <w:pPr>
        <w:pStyle w:val="Heading1"/>
      </w:pPr>
      <w:r>
        <w:t>13. Circuit / Cable-to-Containment Association Is Also Buildable</w:t>
      </w:r>
    </w:p>
    <w:p>
      <w:r>
        <w:t>Revit has ElectricalSystem, CircuitPath, CableTray, and Conduit. What it does not natively express strongly is the ordered relationship between a circuit/cable and the exact containment segments carrying it.</w:t>
      </w:r>
    </w:p>
    <w:p>
      <w:pPr>
        <w:pStyle w:val="CodeBlock"/>
        <w:shd w:fill="F3F3F3"/>
      </w:pPr>
      <w:r>
        <w:t>Circuit C01</w:t>
        <w:br/>
        <w:t>uses Cable CBL-017</w:t>
        <w:br/>
        <w:t>which runs through</w:t>
        <w:br/>
        <w:t>Tray-1827</w:t>
        <w:br/>
        <w:t>Tray-1828</w:t>
        <w:br/>
        <w:t>Conduit-2944</w:t>
        <w:br/>
        <w:t>Conduit-2945</w:t>
      </w:r>
    </w:p>
    <w:p>
      <w:r>
        <w:t>That missing relationship can be represented as an ordered list of Revit ElementIds associated with the circuit. The circuit path can then be derived from or reconciled against the containment route.</w:t>
      </w:r>
    </w:p>
    <w:p>
      <w:pPr>
        <w:pStyle w:val="KeyPoint"/>
      </w:pPr>
      <w:r>
        <w:t>This appears to be a thin custom data-layer problem, not a fundamental API barrier.</w:t>
      </w:r>
    </w:p>
    <w:p>
      <w:pPr>
        <w:pStyle w:val="Heading1"/>
      </w:pPr>
      <w:r>
        <w:t>14. Cable Length Becomes Straightforward Once the Route Exists</w:t>
      </w:r>
    </w:p>
    <w:p>
      <w:r>
        <w:t>Once the ordered containment route is known, cable length can be derived from containment geometry, circuit-path geometry, equipment drops, transitions, and project-specific slack/termination allowances. The difficult prerequisite is selecting the route, not measuring it.</w:t>
      </w:r>
    </w:p>
    <w:p>
      <w:pPr>
        <w:pStyle w:val="Heading1"/>
      </w:pPr>
      <w:r>
        <w:t>15. The Two Remaining Hard Problems</w:t>
      </w:r>
    </w:p>
    <w:p>
      <w:pPr>
        <w:pStyle w:val="Heading2"/>
      </w:pPr>
      <w:r>
        <w:t>15.1 Problem A — Route Through Existing Containment</w:t>
      </w:r>
    </w:p>
    <w:p>
      <w:r>
        <w:t>Given a source, destination, cable/circuit requirements, existing trays/conduits, and the actual building model, determine the best available route.</w:t>
      </w:r>
    </w:p>
    <w:p>
      <w:pPr>
        <w:pStyle w:val="CodeBlock"/>
        <w:shd w:fill="F3F3F3"/>
      </w:pPr>
      <w:r>
        <w:t>NODES</w:t>
        <w:br/>
        <w:t>- connectors</w:t>
        <w:br/>
        <w:t>- tray junctions</w:t>
        <w:br/>
        <w:t>- conduit endpoints</w:t>
        <w:br/>
        <w:t>- risers</w:t>
        <w:br/>
        <w:t>- transitions</w:t>
        <w:br/>
        <w:br/>
        <w:t>EDGES</w:t>
        <w:br/>
        <w:t>- tray segments</w:t>
        <w:br/>
        <w:t>- conduit segments</w:t>
        <w:br/>
        <w:t>- fittings</w:t>
        <w:br/>
        <w:t>- permitted transitions</w:t>
      </w:r>
    </w:p>
    <w:p>
      <w:r>
        <w:t>Standard graph algorithms can generate candidate paths, but pure shortest path is not enough. Real production judgment may prefer existing main trays, spare capacity, fewer bends, fewer transitions, established electrical corridors, accessible routes, and project routing hierarchy.</w:t>
      </w:r>
    </w:p>
    <w:p>
      <w:pPr>
        <w:pStyle w:val="Heading2"/>
      </w:pPr>
      <w:r>
        <w:t>15.2 Problem B — Generate New Containment</w:t>
      </w:r>
    </w:p>
    <w:p>
      <w:r>
        <w:t>If no existing containment path is acceptable, the search space becomes the building itself. The AI can inspect actual Revit geometry: walls, floors, ceilings, structure, rooms, shafts, corridors, ductwork, pipework, existing electrical systems, and linked models.</w:t>
      </w:r>
    </w:p>
    <w:p>
      <w:pPr>
        <w:pStyle w:val="CodeBlock"/>
        <w:shd w:fill="F3F3F3"/>
      </w:pPr>
      <w:r>
        <w:t>1. Search for reusable containment.</w:t>
        <w:br/>
        <w:t>2. Determine allowed routing regions.</w:t>
        <w:br/>
        <w:t>3. Identify candidate service corridors/elevations.</w:t>
        <w:br/>
        <w:t>4. Generate possible paths.</w:t>
        <w:br/>
        <w:t>5. Reject geometric conflicts.</w:t>
        <w:br/>
        <w:t>6. Apply electrical/project constraints.</w:t>
        <w:br/>
        <w:t>7. Score candidates.</w:t>
        <w:br/>
        <w:t>8. Select route.</w:t>
        <w:br/>
        <w:t>9. Generate tray/conduit through Revit API.</w:t>
        <w:br/>
        <w:t>10. Create fittings/transitions.</w:t>
        <w:br/>
        <w:t>11. Associate circuit/cable with route.</w:t>
        <w:br/>
        <w:t>12. Update circuit path.</w:t>
        <w:br/>
        <w:t>13. Clash-check.</w:t>
        <w:br/>
        <w:t>14. Read back.</w:t>
        <w:br/>
        <w:t>15. Verify.</w:t>
      </w:r>
    </w:p>
    <w:p>
      <w:pPr>
        <w:pStyle w:val="Heading1"/>
      </w:pPr>
      <w:r>
        <w:t>16. Why AI Working Inside Revit Changes the Routing Problem</w:t>
      </w:r>
    </w:p>
    <w:p>
      <w:r>
        <w:t>The proposed system has a major contextual advantage over a purely electrical topology model: the AI operates inside the coordinated BIM environment. It can evaluate route quality against actual multidisciplinary geometry.</w:t>
      </w:r>
    </w:p>
    <w:p>
      <w:pPr>
        <w:pStyle w:val="CodeBlock"/>
        <w:shd w:fill="F3F3F3"/>
      </w:pPr>
      <w:r>
        <w:t>electrical intent</w:t>
        <w:br/>
        <w:t xml:space="preserve">        +</w:t>
        <w:br/>
        <w:t>complete BIM geometry</w:t>
        <w:br/>
        <w:t xml:space="preserve">        +</w:t>
        <w:br/>
        <w:t>existing MEP geometry</w:t>
        <w:br/>
        <w:t xml:space="preserve">        +</w:t>
        <w:br/>
        <w:t>AI spatial reasoning</w:t>
        <w:br/>
        <w:t xml:space="preserve">        +</w:t>
        <w:br/>
        <w:t>ARPL workflow knowledge</w:t>
        <w:br/>
        <w:t xml:space="preserve">        +</w:t>
        <w:br/>
        <w:t>Revit API</w:t>
        <w:br/>
        <w:t xml:space="preserve">        v</w:t>
        <w:br/>
        <w:t>coordinated electrical route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592"/>
            <w:vAlign w:val="top"/>
            <w:shd w:fill="E7E7E7"/>
          </w:tcPr>
          <w:p>
            <w:r>
              <w:rPr>
                <w:b/>
                <w:sz w:val="18"/>
              </w:rPr>
              <w:t>Candidate route</w:t>
            </w:r>
          </w:p>
        </w:tc>
        <w:tc>
          <w:tcPr>
            <w:tcW w:type="dxa" w:w="7632"/>
            <w:vAlign w:val="top"/>
            <w:shd w:fill="E7E7E7"/>
          </w:tcPr>
          <w:p>
            <w:r>
              <w:rPr>
                <w:b/>
                <w:sz w:val="18"/>
              </w:rPr>
              <w:t>Example evaluation</w:t>
            </w:r>
          </w:p>
        </w:tc>
      </w:tr>
      <w:tr>
        <w:trPr>
          <w:cantSplit/>
        </w:trPr>
        <w:tc>
          <w:tcPr>
            <w:tcW w:type="dxa" w:w="2592"/>
            <w:vAlign w:val="top"/>
          </w:tcPr>
          <w:p>
            <w:pPr>
              <w:spacing w:after="0"/>
            </w:pPr>
            <w:r>
              <w:rPr>
                <w:sz w:val="17"/>
              </w:rPr>
              <w:t>Route A — 18 m</w:t>
            </w:r>
          </w:p>
        </w:tc>
        <w:tc>
          <w:tcPr>
            <w:tcW w:type="dxa" w:w="7632"/>
            <w:vAlign w:val="top"/>
          </w:tcPr>
          <w:p>
            <w:pPr>
              <w:spacing w:after="0"/>
            </w:pPr>
            <w:r>
              <w:rPr>
                <w:sz w:val="17"/>
              </w:rPr>
              <w:t>Shorter, but creates new containment, crosses a mechanical room, requires more bends, conflicts with ductwork.</w:t>
            </w:r>
          </w:p>
        </w:tc>
      </w:tr>
      <w:tr>
        <w:trPr>
          <w:cantSplit/>
        </w:trPr>
        <w:tc>
          <w:tcPr>
            <w:tcW w:type="dxa" w:w="2592"/>
            <w:vAlign w:val="top"/>
          </w:tcPr>
          <w:p>
            <w:pPr>
              <w:spacing w:after="0"/>
            </w:pPr>
            <w:r>
              <w:rPr>
                <w:sz w:val="17"/>
              </w:rPr>
              <w:t>Route B — 22 m</w:t>
            </w:r>
          </w:p>
        </w:tc>
        <w:tc>
          <w:tcPr>
            <w:tcW w:type="dxa" w:w="7632"/>
            <w:vAlign w:val="top"/>
          </w:tcPr>
          <w:p>
            <w:pPr>
              <w:spacing w:after="0"/>
            </w:pPr>
            <w:r>
              <w:rPr>
                <w:sz w:val="17"/>
              </w:rPr>
              <w:t>Longer, but uses existing electrical tray, remains in a service corridor, requires one branch conduit, and is accessible.</w:t>
            </w:r>
          </w:p>
        </w:tc>
      </w:tr>
    </w:tbl>
    <w:p/>
    <w:p>
      <w:r>
        <w:t>A purely mathematical shortest-path solver chooses A. An experienced electrical modeler may choose B. The distinction is precisely where learned production judgment becomes valuable.</w:t>
      </w:r>
    </w:p>
    <w:p>
      <w:pPr>
        <w:pStyle w:val="Heading1"/>
      </w:pPr>
      <w:r>
        <w:t>17. Proposed Role of ARPL</w:t>
      </w:r>
    </w:p>
    <w:p>
      <w:r>
        <w:t>ARPL should not become an electrical code, an IEC database, a routing kernel, or an electrical engineering solver. Its role is to accumulate successful Revit production strategies and failure knowledge that operate only after deterministic feasibility has been established. ARPL may influence ranking among valid candidates; it may not convert an invalid candidate into a valid one.</w:t>
      </w:r>
    </w:p>
    <w:p>
      <w:pPr>
        <w:pStyle w:val="CodeBlock"/>
        <w:shd w:fill="F3F3F3"/>
      </w:pPr>
      <w:r>
        <w:t>IF</w:t>
        <w:br/>
        <w:t>existing electrical containment can carry the required circuit</w:t>
        <w:br/>
        <w:t>AND capacity is sufficient</w:t>
        <w:br/>
        <w:t>AND system/separation constraints are satisfied</w:t>
        <w:br/>
        <w:t>AND route remains within acceptable project limits</w:t>
        <w:br/>
        <w:br/>
        <w:t>THEN</w:t>
        <w:br/>
        <w:t>reuse existing containment</w:t>
        <w:br/>
        <w:br/>
        <w:t>BEFORE</w:t>
        <w:br/>
        <w:t>creating new containment.</w:t>
      </w:r>
    </w:p>
    <w:p>
      <w:r>
        <w:t>Examples of potentially learnable production heuristics include:</w:t>
      </w:r>
    </w:p>
    <w:p>
      <w:pPr>
        <w:pStyle w:val="ListBullet"/>
      </w:pPr>
      <w:r>
        <w:t>Prefer established electrical tray elevations before introducing a new elevation.</w:t>
      </w:r>
    </w:p>
    <w:p>
      <w:pPr>
        <w:pStyle w:val="ListBullet"/>
      </w:pPr>
      <w:r>
        <w:t>Avoid repeated vertical transitions unless geometry or coordination requires them.</w:t>
      </w:r>
    </w:p>
    <w:p>
      <w:pPr>
        <w:pStyle w:val="ListBullet"/>
      </w:pPr>
      <w:r>
        <w:t>Prefer service corridors over occupied architectural space when the route penalty is reasonable.</w:t>
      </w:r>
    </w:p>
    <w:p>
      <w:pPr>
        <w:pStyle w:val="ListBullet"/>
      </w:pPr>
      <w:r>
        <w:t>Reuse existing containment before creating parallel containment.</w:t>
      </w:r>
    </w:p>
    <w:p>
      <w:pPr>
        <w:pStyle w:val="ListBullet"/>
      </w:pPr>
      <w:r>
        <w:t>Choose an accessible route over a marginally shorter but maintenance-hostile route.</w:t>
      </w:r>
    </w:p>
    <w:p>
      <w:pPr>
        <w:pStyle w:val="Heading1"/>
      </w:pPr>
      <w:r>
        <w:t>18. ARPL Learning Loop</w:t>
      </w:r>
    </w:p>
    <w:p>
      <w:pPr>
        <w:pStyle w:val="CodeBlock"/>
        <w:shd w:fill="F3F3F3"/>
      </w:pPr>
      <w:r>
        <w:t>candidate workflow</w:t>
        <w:br/>
        <w:t xml:space="preserve">      v</w:t>
        <w:br/>
        <w:t>used on project</w:t>
        <w:br/>
        <w:t xml:space="preserve">      v</w:t>
        <w:br/>
        <w:t>result observed</w:t>
        <w:br/>
        <w:t xml:space="preserve">      v</w:t>
        <w:br/>
        <w:t>failure / correction / improvement</w:t>
        <w:br/>
        <w:t xml:space="preserve">      v</w:t>
        <w:br/>
        <w:t>reproduced</w:t>
        <w:br/>
        <w:t xml:space="preserve">      v</w:t>
        <w:br/>
        <w:t>verified rule</w:t>
        <w:br/>
        <w:t xml:space="preserve">      v</w:t>
        <w:br/>
        <w:t>available to future AI agents</w:t>
      </w:r>
    </w:p>
    <w:p>
      <w:r>
        <w:t>Example: an AI initially selects the mathematically shortest route, a human corrects it because the route crosses inaccessible ceiling space, and the resulting lesson becomes a candidate rule that accessibility can outrank small distance savings.</w:t>
      </w:r>
    </w:p>
    <w:p>
      <w:pPr>
        <w:pStyle w:val="Heading1"/>
      </w:pPr>
      <w:r>
        <w:t>19. Proposed Routing Decision Hierarchy</w:t>
      </w:r>
    </w:p>
    <w:p>
      <w:pPr>
        <w:pStyle w:val="CodeBlock"/>
        <w:shd w:fill="F3F3F3"/>
      </w:pPr>
      <w:r>
        <w:t>ROUTING REQUEST</w:t>
        <w:br/>
        <w:t xml:space="preserve">      v</w:t>
        <w:br/>
        <w:t>Can existing containment satisfy it?</w:t>
        <w:br/>
        <w:t xml:space="preserve">      │</w:t>
        <w:br/>
        <w:t xml:space="preserve">      ├─ YES</w:t>
        <w:br/>
        <w:t xml:space="preserve">      │    v</w:t>
        <w:br/>
        <w:t xml:space="preserve">      │  build containment graph</w:t>
        <w:br/>
        <w:t xml:space="preserve">      │    v</w:t>
        <w:br/>
        <w:t xml:space="preserve">      │  generate candidate paths</w:t>
        <w:br/>
        <w:t xml:space="preserve">      │    v</w:t>
        <w:br/>
        <w:t xml:space="preserve">      │  apply hard constraints</w:t>
        <w:br/>
        <w:t xml:space="preserve">      │    v</w:t>
        <w:br/>
        <w:t xml:space="preserve">      │  ARPL soft ranking / production preferences</w:t>
        <w:br/>
        <w:t xml:space="preserve">      │    v</w:t>
        <w:br/>
        <w:t xml:space="preserve">      │  select route</w:t>
        <w:br/>
        <w:t xml:space="preserve">      │    v</w:t>
        <w:br/>
        <w:t xml:space="preserve">      │  associate circuit/cable</w:t>
        <w:br/>
        <w:t xml:space="preserve">      │    v</w:t>
        <w:br/>
        <w:t xml:space="preserve">      │  verify</w:t>
        <w:br/>
        <w:t xml:space="preserve">      │</w:t>
        <w:br/>
        <w:t xml:space="preserve">      └─ NO</w:t>
        <w:br/>
        <w:t xml:space="preserve">           v</w:t>
        <w:br/>
        <w:t xml:space="preserve">         identify permissible routing field</w:t>
        <w:br/>
        <w:t xml:space="preserve">           v</w:t>
        <w:br/>
        <w:t xml:space="preserve">         inspect full building geometry</w:t>
        <w:br/>
        <w:t xml:space="preserve">           v</w:t>
        <w:br/>
        <w:t xml:space="preserve">         generate candidate containment routes</w:t>
        <w:br/>
        <w:t xml:space="preserve">           v</w:t>
        <w:br/>
        <w:t xml:space="preserve">         apply hard constraints</w:t>
        <w:br/>
        <w:t xml:space="preserve">           v</w:t>
        <w:br/>
        <w:t xml:space="preserve">         ARPL soft ranking / production preferences</w:t>
        <w:br/>
        <w:t xml:space="preserve">           v</w:t>
        <w:br/>
        <w:t xml:space="preserve">         create containment</w:t>
        <w:br/>
        <w:t xml:space="preserve">           v</w:t>
        <w:br/>
        <w:t xml:space="preserve">         route circuit</w:t>
        <w:br/>
        <w:t xml:space="preserve">           v</w:t>
        <w:br/>
        <w:t xml:space="preserve">         clash-check</w:t>
        <w:br/>
        <w:t xml:space="preserve">           v</w:t>
        <w:br/>
        <w:t xml:space="preserve">         verify</w:t>
      </w:r>
    </w:p>
    <w:p>
      <w:pPr>
        <w:pStyle w:val="KeyPoint"/>
      </w:pPr>
      <w:r>
        <w:t>Reuse hierarchy: USE EXISTING -&gt; MODIFY EXISTING -&gt; CREATE NEW.</w:t>
      </w:r>
    </w:p>
    <w:p>
      <w:pPr>
        <w:pStyle w:val="Heading1"/>
      </w:pPr>
      <w:r>
        <w:t>20. Proposed Architecture</w:t>
      </w:r>
    </w:p>
    <w:p>
      <w:pPr/>
      <w:r>
        <w:t>Version 3 makes four layers explicit: connector/geometry normalization before routing, deterministic feasibility and candidate generation in a routing kernel, ARPL/AI ranking only among valid candidates, and engineering revalidation after the actual route conditions are known.</w:t>
      </w:r>
    </w:p>
    <w:p>
      <w:pPr>
        <w:pStyle w:val="CodeBlock"/>
        <w:shd w:fill="F3F3F3"/>
      </w:pPr>
      <w:r>
        <w:t>ELECTRICAL ENGINEER</w:t>
        <w:br/>
        <w:t xml:space="preserve">        &lt;-&gt;</w:t>
        <w:br/>
        <w:t>EXCEL HUMAN INTERFACE</w:t>
        <w:br/>
        <w:t xml:space="preserve">        &lt;-&gt;</w:t>
        <w:br/>
        <w:t>VERSIONED ELECTRICAL CONTRACT</w:t>
        <w:br/>
        <w:t xml:space="preserve">        v</w:t>
        <w:br/>
        <w:t>approved design intent</w:t>
        <w:br/>
        <w:t xml:space="preserve">        v</w:t>
        <w:br/>
        <w:t>AI OPERATING IN REVIT</w:t>
        <w:br/>
        <w:t xml:space="preserve">        v</w:t>
        <w:br/>
        <w:t>MODEL + LINKED-GEOMETRY INSPECTION</w:t>
        <w:br/>
        <w:t xml:space="preserve">        v</w:t>
        <w:br/>
        <w:t>CONNECTOR / CONTAINMENT NORMALIZATION</w:t>
        <w:br/>
        <w:t xml:space="preserve">        v</w:t>
        <w:br/>
        <w:t>DETERMINISTIC ROUTING KERNEL</w:t>
        <w:br/>
        <w:t xml:space="preserve">        v</w:t>
        <w:br/>
        <w:t>valid candidate routes</w:t>
        <w:br/>
        <w:t xml:space="preserve">        v</w:t>
        <w:br/>
        <w:t>ARPL SOFT RANKING + AI EXPLANATION</w:t>
        <w:br/>
        <w:t xml:space="preserve">        v</w:t>
        <w:br/>
        <w:t>ENGINEERING REVALIDATION</w:t>
        <w:br/>
        <w:t xml:space="preserve">        v</w:t>
        <w:br/>
        <w:t>REVIT API COMMIT</w:t>
        <w:br/>
        <w:t xml:space="preserve">        v</w:t>
        <w:br/>
        <w:t>READ-BACK + DETERMINISTIC VALIDATION</w:t>
        <w:br/>
        <w:t xml:space="preserve">        v</w:t>
        <w:br/>
        <w:t>PASS / REVIEW / FAIL</w:t>
      </w:r>
    </w:p>
    <w:p>
      <w:r>
        <w:t>No EPLAN component is required in this architecture.</w:t>
      </w:r>
    </w:p>
    <w:p>
      <w:pPr>
        <w:pStyle w:val="Heading1"/>
      </w:pPr>
      <w:r>
        <w:t>21. Revised Gap Assessment</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600"/>
            <w:vAlign w:val="top"/>
            <w:shd w:fill="E7E7E7"/>
          </w:tcPr>
          <w:p>
            <w:r>
              <w:rPr>
                <w:b/>
                <w:sz w:val="18"/>
              </w:rPr>
              <w:t>Capability</w:t>
            </w:r>
          </w:p>
        </w:tc>
        <w:tc>
          <w:tcPr>
            <w:tcW w:type="dxa" w:w="6624"/>
            <w:vAlign w:val="top"/>
            <w:shd w:fill="E7E7E7"/>
          </w:tcPr>
          <w:p>
            <w:r>
              <w:rPr>
                <w:b/>
                <w:sz w:val="18"/>
              </w:rPr>
              <w:t>Current conclusion</w:t>
            </w:r>
          </w:p>
        </w:tc>
      </w:tr>
      <w:tr>
        <w:trPr>
          <w:cantSplit/>
        </w:trPr>
        <w:tc>
          <w:tcPr>
            <w:tcW w:type="dxa" w:w="3600"/>
            <w:vAlign w:val="top"/>
          </w:tcPr>
          <w:p>
            <w:pPr>
              <w:spacing w:after="0"/>
            </w:pPr>
            <w:r>
              <w:rPr>
                <w:sz w:val="17"/>
              </w:rPr>
              <w:t>Preplanning</w:t>
            </w:r>
          </w:p>
        </w:tc>
        <w:tc>
          <w:tcPr>
            <w:tcW w:type="dxa" w:w="6624"/>
            <w:vAlign w:val="top"/>
          </w:tcPr>
          <w:p>
            <w:r>
              <w:t>Versioned contract solves it; Excel is the human-facing view</w:t>
            </w:r>
          </w:p>
        </w:tc>
      </w:tr>
      <w:tr>
        <w:trPr>
          <w:cantSplit/>
        </w:trPr>
        <w:tc>
          <w:tcPr>
            <w:tcW w:type="dxa" w:w="3600"/>
            <w:vAlign w:val="top"/>
          </w:tcPr>
          <w:p>
            <w:pPr>
              <w:spacing w:after="0"/>
            </w:pPr>
            <w:r>
              <w:rPr>
                <w:sz w:val="17"/>
              </w:rPr>
              <w:t>Family/equipment creation</w:t>
            </w:r>
          </w:p>
        </w:tc>
        <w:tc>
          <w:tcPr>
            <w:tcW w:type="dxa" w:w="6624"/>
            <w:vAlign w:val="top"/>
          </w:tcPr>
          <w:p>
            <w:pPr>
              <w:spacing w:after="0"/>
            </w:pPr>
            <w:r>
              <w:rPr>
                <w:sz w:val="17"/>
              </w:rPr>
              <w:t>Revit already strong</w:t>
            </w:r>
          </w:p>
        </w:tc>
      </w:tr>
      <w:tr>
        <w:trPr>
          <w:cantSplit/>
        </w:trPr>
        <w:tc>
          <w:tcPr>
            <w:tcW w:type="dxa" w:w="3600"/>
            <w:vAlign w:val="top"/>
          </w:tcPr>
          <w:p>
            <w:pPr>
              <w:spacing w:after="0"/>
            </w:pPr>
            <w:r>
              <w:rPr>
                <w:sz w:val="17"/>
              </w:rPr>
              <w:t>Connector model</w:t>
            </w:r>
          </w:p>
        </w:tc>
        <w:tc>
          <w:tcPr>
            <w:tcW w:type="dxa" w:w="6624"/>
            <w:vAlign w:val="top"/>
          </w:tcPr>
          <w:p>
            <w:pPr>
              <w:spacing w:after="0"/>
            </w:pPr>
            <w:r>
              <w:rPr>
                <w:sz w:val="17"/>
              </w:rPr>
              <w:t>Revit already strong</w:t>
            </w:r>
          </w:p>
        </w:tc>
      </w:tr>
      <w:tr>
        <w:trPr>
          <w:cantSplit/>
        </w:trPr>
        <w:tc>
          <w:tcPr>
            <w:tcW w:type="dxa" w:w="3600"/>
            <w:vAlign w:val="top"/>
          </w:tcPr>
          <w:p>
            <w:pPr>
              <w:spacing w:after="0"/>
            </w:pPr>
            <w:r>
              <w:rPr>
                <w:sz w:val="17"/>
              </w:rPr>
              <w:t>Circuit creation</w:t>
            </w:r>
          </w:p>
        </w:tc>
        <w:tc>
          <w:tcPr>
            <w:tcW w:type="dxa" w:w="6624"/>
            <w:vAlign w:val="top"/>
          </w:tcPr>
          <w:p>
            <w:pPr>
              <w:spacing w:after="0"/>
            </w:pPr>
            <w:r>
              <w:rPr>
                <w:sz w:val="17"/>
              </w:rPr>
              <w:t>Revit already strong</w:t>
            </w:r>
          </w:p>
        </w:tc>
      </w:tr>
      <w:tr>
        <w:trPr>
          <w:cantSplit/>
        </w:trPr>
        <w:tc>
          <w:tcPr>
            <w:tcW w:type="dxa" w:w="3600"/>
            <w:vAlign w:val="top"/>
          </w:tcPr>
          <w:p>
            <w:pPr>
              <w:spacing w:after="0"/>
            </w:pPr>
            <w:r>
              <w:rPr>
                <w:sz w:val="17"/>
              </w:rPr>
              <w:t>Panel assignment</w:t>
            </w:r>
          </w:p>
        </w:tc>
        <w:tc>
          <w:tcPr>
            <w:tcW w:type="dxa" w:w="6624"/>
            <w:vAlign w:val="top"/>
          </w:tcPr>
          <w:p>
            <w:pPr>
              <w:spacing w:after="0"/>
            </w:pPr>
            <w:r>
              <w:rPr>
                <w:sz w:val="17"/>
              </w:rPr>
              <w:t>Revit already strong</w:t>
            </w:r>
          </w:p>
        </w:tc>
      </w:tr>
      <w:tr>
        <w:trPr>
          <w:cantSplit/>
        </w:trPr>
        <w:tc>
          <w:tcPr>
            <w:tcW w:type="dxa" w:w="3600"/>
            <w:vAlign w:val="top"/>
          </w:tcPr>
          <w:p>
            <w:pPr>
              <w:spacing w:after="0"/>
            </w:pPr>
            <w:r>
              <w:rPr>
                <w:sz w:val="17"/>
              </w:rPr>
              <w:t>Cable type/size</w:t>
            </w:r>
          </w:p>
        </w:tc>
        <w:tc>
          <w:tcPr>
            <w:tcW w:type="dxa" w:w="6624"/>
            <w:vAlign w:val="top"/>
          </w:tcPr>
          <w:p>
            <w:pPr>
              <w:spacing w:after="0"/>
            </w:pPr>
            <w:r>
              <w:rPr>
                <w:sz w:val="17"/>
              </w:rPr>
              <w:t>Revit 2026 substantially covers it</w:t>
            </w:r>
          </w:p>
        </w:tc>
      </w:tr>
      <w:tr>
        <w:trPr>
          <w:cantSplit/>
        </w:trPr>
        <w:tc>
          <w:tcPr>
            <w:tcW w:type="dxa" w:w="3600"/>
            <w:vAlign w:val="top"/>
          </w:tcPr>
          <w:p>
            <w:pPr>
              <w:spacing w:after="0"/>
            </w:pPr>
            <w:r>
              <w:rPr>
                <w:sz w:val="17"/>
              </w:rPr>
              <w:t>Cable identity</w:t>
            </w:r>
          </w:p>
        </w:tc>
        <w:tc>
          <w:tcPr>
            <w:tcW w:type="dxa" w:w="6624"/>
            <w:vAlign w:val="top"/>
          </w:tcPr>
          <w:p>
            <w:pPr>
              <w:spacing w:after="0"/>
            </w:pPr>
            <w:r>
              <w:rPr>
                <w:sz w:val="17"/>
              </w:rPr>
              <w:t>Small custom extension</w:t>
            </w:r>
          </w:p>
        </w:tc>
      </w:tr>
      <w:tr>
        <w:trPr>
          <w:cantSplit/>
        </w:trPr>
        <w:tc>
          <w:tcPr>
            <w:tcW w:type="dxa" w:w="3600"/>
            <w:vAlign w:val="top"/>
          </w:tcPr>
          <w:p>
            <w:pPr>
              <w:spacing w:after="0"/>
            </w:pPr>
            <w:r>
              <w:rPr>
                <w:sz w:val="17"/>
              </w:rPr>
              <w:t>Terminal connection record</w:t>
            </w:r>
          </w:p>
        </w:tc>
        <w:tc>
          <w:tcPr>
            <w:tcW w:type="dxa" w:w="6624"/>
            <w:vAlign w:val="top"/>
          </w:tcPr>
          <w:p>
            <w:pPr>
              <w:spacing w:after="0"/>
            </w:pPr>
            <w:r>
              <w:rPr>
                <w:sz w:val="17"/>
              </w:rPr>
              <w:t>Custom but feasible</w:t>
            </w:r>
          </w:p>
        </w:tc>
      </w:tr>
      <w:tr>
        <w:trPr>
          <w:cantSplit/>
        </w:trPr>
        <w:tc>
          <w:tcPr>
            <w:tcW w:type="dxa" w:w="3600"/>
            <w:vAlign w:val="top"/>
          </w:tcPr>
          <w:p>
            <w:pPr>
              <w:spacing w:after="0"/>
            </w:pPr>
            <w:r>
              <w:rPr>
                <w:sz w:val="17"/>
              </w:rPr>
              <w:t>Wire representation</w:t>
            </w:r>
          </w:p>
        </w:tc>
        <w:tc>
          <w:tcPr>
            <w:tcW w:type="dxa" w:w="6624"/>
            <w:vAlign w:val="top"/>
          </w:tcPr>
          <w:p>
            <w:pPr>
              <w:spacing w:after="0"/>
            </w:pPr>
            <w:r>
              <w:rPr>
                <w:sz w:val="17"/>
              </w:rPr>
              <w:t>Revit already supports it</w:t>
            </w:r>
          </w:p>
        </w:tc>
      </w:tr>
      <w:tr>
        <w:trPr>
          <w:cantSplit/>
        </w:trPr>
        <w:tc>
          <w:tcPr>
            <w:tcW w:type="dxa" w:w="3600"/>
            <w:vAlign w:val="top"/>
          </w:tcPr>
          <w:p>
            <w:pPr>
              <w:spacing w:after="0"/>
            </w:pPr>
            <w:r>
              <w:rPr>
                <w:sz w:val="17"/>
              </w:rPr>
              <w:t>Cable tray / conduit</w:t>
            </w:r>
          </w:p>
        </w:tc>
        <w:tc>
          <w:tcPr>
            <w:tcW w:type="dxa" w:w="6624"/>
            <w:vAlign w:val="top"/>
          </w:tcPr>
          <w:p>
            <w:pPr>
              <w:spacing w:after="0"/>
            </w:pPr>
            <w:r>
              <w:rPr>
                <w:sz w:val="17"/>
              </w:rPr>
              <w:t>Revit already supports both</w:t>
            </w:r>
          </w:p>
        </w:tc>
      </w:tr>
      <w:tr>
        <w:trPr>
          <w:cantSplit/>
        </w:trPr>
        <w:tc>
          <w:tcPr>
            <w:tcW w:type="dxa" w:w="3600"/>
            <w:vAlign w:val="top"/>
          </w:tcPr>
          <w:p>
            <w:pPr>
              <w:spacing w:after="0"/>
            </w:pPr>
            <w:r>
              <w:rPr>
                <w:sz w:val="17"/>
              </w:rPr>
              <w:t>Circuit path</w:t>
            </w:r>
          </w:p>
        </w:tc>
        <w:tc>
          <w:tcPr>
            <w:tcW w:type="dxa" w:w="6624"/>
            <w:vAlign w:val="top"/>
          </w:tcPr>
          <w:p>
            <w:pPr>
              <w:spacing w:after="0"/>
            </w:pPr>
            <w:r>
              <w:rPr>
                <w:sz w:val="17"/>
              </w:rPr>
              <w:t>Revit supports representation</w:t>
            </w:r>
          </w:p>
        </w:tc>
      </w:tr>
      <w:tr>
        <w:trPr>
          <w:cantSplit/>
        </w:trPr>
        <w:tc>
          <w:tcPr>
            <w:tcW w:type="dxa" w:w="3600"/>
            <w:vAlign w:val="top"/>
          </w:tcPr>
          <w:p>
            <w:pPr>
              <w:spacing w:after="0"/>
            </w:pPr>
            <w:r>
              <w:rPr>
                <w:sz w:val="17"/>
              </w:rPr>
              <w:t>Cable &lt;-&gt; exact containment route</w:t>
            </w:r>
          </w:p>
        </w:tc>
        <w:tc>
          <w:tcPr>
            <w:tcW w:type="dxa" w:w="6624"/>
            <w:vAlign w:val="top"/>
          </w:tcPr>
          <w:p>
            <w:pPr>
              <w:spacing w:after="0"/>
            </w:pPr>
            <w:r>
              <w:rPr>
                <w:sz w:val="17"/>
              </w:rPr>
              <w:t>Custom relationship, feasible</w:t>
            </w:r>
          </w:p>
        </w:tc>
      </w:tr>
      <w:tr>
        <w:trPr>
          <w:cantSplit/>
        </w:trPr>
        <w:tc>
          <w:tcPr>
            <w:tcW w:type="dxa" w:w="3600"/>
            <w:vAlign w:val="top"/>
          </w:tcPr>
          <w:p>
            <w:pPr>
              <w:spacing w:after="0"/>
            </w:pPr>
            <w:r>
              <w:rPr>
                <w:sz w:val="17"/>
              </w:rPr>
              <w:t>Cable length</w:t>
            </w:r>
          </w:p>
        </w:tc>
        <w:tc>
          <w:tcPr>
            <w:tcW w:type="dxa" w:w="6624"/>
            <w:vAlign w:val="top"/>
          </w:tcPr>
          <w:p>
            <w:pPr>
              <w:spacing w:after="0"/>
            </w:pPr>
            <w:r>
              <w:rPr>
                <w:sz w:val="17"/>
              </w:rPr>
              <w:t>Derivable once route is known</w:t>
            </w:r>
          </w:p>
        </w:tc>
      </w:tr>
      <w:tr>
        <w:trPr>
          <w:cantSplit/>
        </w:trPr>
        <w:tc>
          <w:tcPr>
            <w:tcW w:type="dxa" w:w="3600"/>
            <w:vAlign w:val="top"/>
          </w:tcPr>
          <w:p>
            <w:pPr>
              <w:spacing w:after="0"/>
            </w:pPr>
            <w:r>
              <w:rPr>
                <w:sz w:val="17"/>
              </w:rPr>
              <w:t>Existing-containment routing</w:t>
            </w:r>
          </w:p>
        </w:tc>
        <w:tc>
          <w:tcPr>
            <w:tcW w:type="dxa" w:w="6624"/>
            <w:vAlign w:val="top"/>
          </w:tcPr>
          <w:p>
            <w:pPr>
              <w:spacing w:after="0"/>
            </w:pPr>
            <w:r>
              <w:rPr>
                <w:sz w:val="17"/>
              </w:rPr>
              <w:t>Significant decision-logic problem</w:t>
            </w:r>
          </w:p>
        </w:tc>
      </w:tr>
      <w:tr>
        <w:trPr>
          <w:cantSplit/>
        </w:trPr>
        <w:tc>
          <w:tcPr>
            <w:tcW w:type="dxa" w:w="3600"/>
            <w:vAlign w:val="top"/>
          </w:tcPr>
          <w:p>
            <w:pPr>
              <w:spacing w:after="0"/>
            </w:pPr>
            <w:r>
              <w:rPr>
                <w:sz w:val="17"/>
              </w:rPr>
              <w:t>New-containment generation</w:t>
            </w:r>
          </w:p>
        </w:tc>
        <w:tc>
          <w:tcPr>
            <w:tcW w:type="dxa" w:w="6624"/>
            <w:vAlign w:val="top"/>
          </w:tcPr>
          <w:p>
            <w:pPr>
              <w:spacing w:after="0"/>
            </w:pPr>
            <w:r>
              <w:rPr>
                <w:sz w:val="17"/>
              </w:rPr>
              <w:t>Major spatial-reasoning / workflow problem</w:t>
            </w:r>
          </w:p>
        </w:tc>
      </w:tr>
      <w:tr>
        <w:trPr>
          <w:cantSplit/>
        </w:trPr>
        <w:tc>
          <w:tcPr>
            <w:tcW w:type="dxa" w:w="3600"/>
            <w:vAlign w:val="top"/>
          </w:tcPr>
          <w:p>
            <w:pPr>
              <w:spacing w:after="0"/>
            </w:pPr>
            <w:r>
              <w:rPr>
                <w:sz w:val="17"/>
              </w:rPr>
              <w:t>Full IEC engineering solver</w:t>
            </w:r>
          </w:p>
        </w:tc>
        <w:tc>
          <w:tcPr>
            <w:tcW w:type="dxa" w:w="6624"/>
            <w:vAlign w:val="top"/>
          </w:tcPr>
          <w:p>
            <w:pPr>
              <w:spacing w:after="0"/>
            </w:pPr>
            <w:r>
              <w:rPr>
                <w:sz w:val="17"/>
              </w:rPr>
              <w:t>Separate engineering problem; should not initially belong to ARPL</w:t>
            </w:r>
          </w:p>
        </w:tc>
      </w:tr>
    </w:tbl>
    <w:p/>
    <w:p>
      <w:pPr>
        <w:pStyle w:val="Heading1"/>
      </w:pPr>
      <w:r>
        <w:t>22. Suggested Development Sequence</w:t>
      </w:r>
    </w:p>
    <w:p>
      <w:pPr>
        <w:pStyle w:val="Heading2"/>
      </w:pPr>
      <w:r>
        <w:t>1. Versioned engineer/AI planning contract</w:t>
      </w:r>
    </w:p>
    <w:p>
      <w:pPr>
        <w:pStyle w:val="ListBullet"/>
      </w:pPr>
      <w:r>
        <w:t>Define the authoritative versioned contract schema; expose Excel only as the engineer-facing view/editor</w:t>
      </w:r>
    </w:p>
    <w:p>
      <w:pPr>
        <w:pStyle w:val="ListBullet"/>
      </w:pPr>
      <w:r>
        <w:t>Establish endpoint, load, source, circuit intent, cable intent, routing requirement, approval status</w:t>
      </w:r>
    </w:p>
    <w:p>
      <w:pPr>
        <w:pStyle w:val="Heading2"/>
      </w:pPr>
      <w:r>
        <w:t>2. Deterministic Revit execution</w:t>
      </w:r>
    </w:p>
    <w:p>
      <w:pPr>
        <w:pStyle w:val="ListBullet"/>
      </w:pPr>
      <w:r>
        <w:t>Family selection/placement</w:t>
      </w:r>
    </w:p>
    <w:p>
      <w:pPr>
        <w:pStyle w:val="ListBullet"/>
      </w:pPr>
      <w:r>
        <w:t>Connector identification</w:t>
      </w:r>
    </w:p>
    <w:p>
      <w:pPr>
        <w:pStyle w:val="ListBullet"/>
      </w:pPr>
      <w:r>
        <w:t>Circuit creation</w:t>
      </w:r>
    </w:p>
    <w:p>
      <w:pPr>
        <w:pStyle w:val="ListBullet"/>
      </w:pPr>
      <w:r>
        <w:t>Panel assignment</w:t>
      </w:r>
    </w:p>
    <w:p>
      <w:pPr>
        <w:pStyle w:val="ListBullet"/>
      </w:pPr>
      <w:r>
        <w:t>Cable assignment</w:t>
      </w:r>
    </w:p>
    <w:p>
      <w:pPr>
        <w:pStyle w:val="ListBullet"/>
      </w:pPr>
      <w:r>
        <w:t>Wire representation</w:t>
      </w:r>
    </w:p>
    <w:p>
      <w:pPr>
        <w:pStyle w:val="Heading2"/>
      </w:pPr>
      <w:r>
        <w:t>3. Deterministic verification</w:t>
      </w:r>
    </w:p>
    <w:p>
      <w:pPr>
        <w:pStyle w:val="ListBullet"/>
      </w:pPr>
      <w:r>
        <w:t>Read back element, type, panel, circuit, connector, cable, parameters and route status</w:t>
      </w:r>
    </w:p>
    <w:p>
      <w:pPr>
        <w:pStyle w:val="ListBullet"/>
      </w:pPr>
      <w:r>
        <w:t>Return PASS / FAIL / REVIEW</w:t>
      </w:r>
    </w:p>
    <w:p>
      <w:pPr>
        <w:pStyle w:val="Heading2"/>
      </w:pPr>
      <w:r>
        <w:t>4. Existing-containment routing</w:t>
      </w:r>
    </w:p>
    <w:p>
      <w:pPr>
        <w:pStyle w:val="ListBullet"/>
      </w:pPr>
      <w:r>
        <w:t>Build graph from Revit trays/conduits</w:t>
      </w:r>
    </w:p>
    <w:p>
      <w:pPr>
        <w:pStyle w:val="ListBullet"/>
      </w:pPr>
      <w:r>
        <w:t>Generate candidate paths</w:t>
      </w:r>
    </w:p>
    <w:p>
      <w:pPr>
        <w:pStyle w:val="ListBullet"/>
      </w:pPr>
      <w:r>
        <w:t>Start with deterministic ranking rules</w:t>
      </w:r>
    </w:p>
    <w:p>
      <w:pPr>
        <w:pStyle w:val="ListBullet"/>
      </w:pPr>
      <w:r>
        <w:t>Record corrections into ARPL</w:t>
      </w:r>
    </w:p>
    <w:p>
      <w:pPr>
        <w:pStyle w:val="Heading2"/>
      </w:pPr>
      <w:r>
        <w:t>5. New-containment generation</w:t>
      </w:r>
    </w:p>
    <w:p>
      <w:pPr>
        <w:pStyle w:val="ListBullet"/>
      </w:pPr>
      <w:r>
        <w:t>Use full Revit geometry</w:t>
      </w:r>
    </w:p>
    <w:p>
      <w:pPr>
        <w:pStyle w:val="ListBullet"/>
      </w:pPr>
      <w:r>
        <w:t>Start with constrained service corridors/elevations</w:t>
      </w:r>
    </w:p>
    <w:p>
      <w:pPr>
        <w:pStyle w:val="ListBullet"/>
      </w:pPr>
      <w:r>
        <w:t>Create tray/conduit and fittings</w:t>
      </w:r>
    </w:p>
    <w:p>
      <w:pPr>
        <w:pStyle w:val="ListBullet"/>
      </w:pPr>
      <w:r>
        <w:t>Clash-check and verify</w:t>
      </w:r>
    </w:p>
    <w:p>
      <w:pPr>
        <w:pStyle w:val="Heading2"/>
      </w:pPr>
      <w:r>
        <w:t>6. Mature ARPL routing knowledge</w:t>
      </w:r>
    </w:p>
    <w:p>
      <w:pPr>
        <w:pStyle w:val="ListBullet"/>
      </w:pPr>
      <w:r>
        <w:t>Accumulate verified routing rules and failure patterns across projects</w:t>
      </w:r>
    </w:p>
    <w:p>
      <w:pPr>
        <w:pStyle w:val="Heading1"/>
      </w:pPr>
      <w:r>
        <w:t>23. Architectural Constraint: Probabilistic Reasoning, Deterministic Commit</w:t>
      </w:r>
    </w:p>
    <w:p>
      <w:pPr>
        <w:pStyle w:val="KeyPoint"/>
      </w:pPr>
      <w:r>
        <w:t>AI may reason probabilistically, but the committed Revit result must be deterministically verifiable.</w:t>
      </w:r>
    </w:p>
    <w:p>
      <w:pPr>
        <w:pStyle w:val="CodeBlock"/>
        <w:shd w:fill="F3F3F3"/>
      </w:pPr>
      <w:r>
        <w:t>AI may propose:</w:t>
        <w:br/>
        <w:t>Route A</w:t>
        <w:br/>
        <w:t>Route B</w:t>
        <w:br/>
        <w:t>Route C</w:t>
        <w:br/>
        <w:br/>
        <w:t>Once Route B is committed, verification should be objective:</w:t>
        <w:br/>
        <w:t>continuity = true</w:t>
        <w:br/>
        <w:t>source = correct</w:t>
        <w:br/>
        <w:t>destination = correct</w:t>
        <w:br/>
        <w:t>containment sequence = valid</w:t>
        <w:br/>
        <w:t>capacity = acceptable</w:t>
        <w:br/>
        <w:t>clashes = none</w:t>
        <w:br/>
        <w:t>required clearances = satisfied</w:t>
        <w:br/>
        <w:t>circuit path = reconciled</w:t>
        <w:br/>
        <w:t>length = calculated</w:t>
      </w:r>
    </w:p>
    <w:p>
      <w:pPr>
        <w:pStyle w:val="Heading1"/>
      </w:pPr>
      <w:r>
        <w:t>24. What This Thought Experiment Does Not Yet Prove</w:t>
      </w:r>
    </w:p>
    <w:p>
      <w:r>
        <w:rPr>
          <w:b/>
        </w:rPr>
        <w:t xml:space="preserve">IEC engineering: </w:t>
      </w:r>
      <w:r>
        <w:t>A complete method for protection selection, RCD selection, short-circuit calculation, disconnection-time verification, conductor derating, selectivity, fault levels, and emergency/critical-system design has not been established. These may belong to external rule/calculation engines.</w:t>
      </w:r>
    </w:p>
    <w:p>
      <w:r>
        <w:rPr>
          <w:b/>
        </w:rPr>
        <w:t xml:space="preserve">Revit routing implementation: </w:t>
      </w:r>
      <w:r>
        <w:t>The necessary geometry and API objects appear available, but a production-quality route solver has not yet been demonstrated.</w:t>
      </w:r>
    </w:p>
    <w:p>
      <w:r>
        <w:rPr>
          <w:b/>
        </w:rPr>
        <w:t xml:space="preserve">Connector identity: </w:t>
      </w:r>
      <w:r>
        <w:t>A robust persistent method for identifying specific connectors across edits requires investigation.</w:t>
      </w:r>
    </w:p>
    <w:p>
      <w:r>
        <w:rPr>
          <w:b/>
        </w:rPr>
        <w:t xml:space="preserve">Containment capacity: </w:t>
      </w:r>
      <w:r>
        <w:t>A reliable capacity/occupancy model for tray and conduit requires definition.</w:t>
      </w:r>
    </w:p>
    <w:p>
      <w:r>
        <w:rPr>
          <w:b/>
        </w:rPr>
        <w:t xml:space="preserve">Linked-model coordination: </w:t>
      </w:r>
      <w:r>
        <w:t>Routing against linked architectural, structural, and MEP geometry requires testing.</w:t>
      </w:r>
    </w:p>
    <w:p>
      <w:r>
        <w:rPr>
          <w:b/>
        </w:rPr>
        <w:t xml:space="preserve">Human authority: </w:t>
      </w:r>
      <w:r>
        <w:t>The boundary between automatic execution and engineer approval remains a project-governance decision.</w:t>
      </w:r>
    </w:p>
    <w:p>
      <w:pPr>
        <w:pStyle w:val="Heading1"/>
      </w:pPr>
      <w:r>
        <w:t>25. Questions Used for External Review</w:t>
      </w:r>
    </w:p>
    <w:p>
      <w:pPr>
        <w:pStyle w:val="ListNumber"/>
      </w:pPr>
      <w:r>
        <w:t>Is the separation between engineering intent, ARPL workflow knowledge, and Revit execution sufficiently clear?</w:t>
      </w:r>
    </w:p>
    <w:p>
      <w:pPr>
        <w:pStyle w:val="ListNumber"/>
      </w:pPr>
      <w:r>
        <w:t>Are we underestimating any fundamental limitation of the Revit electrical data model?</w:t>
      </w:r>
    </w:p>
    <w:p>
      <w:pPr>
        <w:pStyle w:val="ListNumber"/>
      </w:pPr>
      <w:r>
        <w:t>Does the lightweight custom Connection/Cable/Route relationship create synchronization risks that outweigh its benefit?</w:t>
      </w:r>
    </w:p>
    <w:p>
      <w:pPr>
        <w:pStyle w:val="ListNumber"/>
      </w:pPr>
      <w:r>
        <w:t>Is routing through existing containment realistically a graph problem once Revit geometry is normalized, or are important electrical/topological constraints missing?</w:t>
      </w:r>
    </w:p>
    <w:p>
      <w:pPr>
        <w:pStyle w:val="ListNumber"/>
      </w:pPr>
      <w:r>
        <w:t>For new containment, which parts should be deterministic geometry algorithms and which parts are appropriate for AI reasoning?</w:t>
      </w:r>
    </w:p>
    <w:p>
      <w:pPr>
        <w:pStyle w:val="ListNumber"/>
      </w:pPr>
      <w:r>
        <w:t>Is ARPL the correct location for learned routing heuristics, or should those heuristics live in a separate domain/routing library referenced by ARPL?</w:t>
      </w:r>
    </w:p>
    <w:p>
      <w:pPr>
        <w:pStyle w:val="ListNumber"/>
      </w:pPr>
      <w:r>
        <w:t>What minimum route-validation contract is required before an AI-generated electrical route can be considered production-safe?</w:t>
      </w:r>
    </w:p>
    <w:p>
      <w:pPr>
        <w:pStyle w:val="ListNumber"/>
      </w:pPr>
      <w:r>
        <w:t>What failure modes should be captured before attempting automated tray/conduit creation?</w:t>
      </w:r>
    </w:p>
    <w:p>
      <w:pPr>
        <w:pStyle w:val="ListNumber"/>
      </w:pPr>
      <w:r>
        <w:t>Are there useful concepts from EPLAN’s Connection -&gt; Cable -&gt; Routing model that the proposed Revit-side abstraction still misses?</w:t>
      </w:r>
    </w:p>
    <w:p>
      <w:pPr>
        <w:pStyle w:val="ListNumber"/>
      </w:pPr>
      <w:r>
        <w:t>Does Revit’s full multidisciplinary geometry offer enough practical advantage to justify replacing specialized electrical routing workflows rather than integrating them?</w:t>
      </w:r>
    </w:p>
    <w:p>
      <w:pPr>
        <w:pStyle w:val="Heading1"/>
      </w:pPr>
      <w:r>
        <w:t>26. External Review Synthesis — Mistral and Grok</w:t>
      </w:r>
    </w:p>
    <w:p>
      <w:pPr/>
      <w:r>
        <w:t>Both external reviews support the central narrowing: the problem is no longer “Revit versus EPLAN.” The remaining research target is coordinated building-scale electrical routing in Revit, with engineering authority remaining upstream. Both reviews independently identified the same risk cluster: connector persistence, containment topology reconstruction, capacity/occupancy, route-induced engineering changes, linked-model geometry, and the need to separate deterministic algorithms from learned ARPL judgment.</w:t>
      </w:r>
    </w:p>
    <w:p>
      <w:pPr/>
      <w:r>
        <w:t>The reviews also confirm that the proposed Revit advantage is contextual rather than universal. Full BIM geometry may offer a meaningful advantage for building-scale installation routing, but that advantage must be demonstrated empirically on realistic models rather than assumed from API capability alone.</w:t>
      </w:r>
    </w:p>
    <w:p>
      <w:pPr>
        <w:pStyle w:val="Heading1"/>
      </w:pPr>
      <w:r>
        <w:t>27. Revised Technical Architecture</w:t>
      </w:r>
    </w:p>
    <w:p>
      <w:pPr>
        <w:pStyle w:val="CodeBlock"/>
      </w:pPr>
      <w:r>
        <w:t>ELECTRICAL ENGINEER</w:t>
        <w:br/>
        <w:t xml:space="preserve">        &lt;-&gt;</w:t>
        <w:br/>
        <w:t>EXCEL HUMAN INTERFACE</w:t>
        <w:br/>
        <w:t xml:space="preserve">        &lt;-&gt;</w:t>
        <w:br/>
        <w:t>VERSIONED ELECTRICAL CONTRACT</w:t>
        <w:br/>
        <w:t xml:space="preserve">        v</w:t>
        <w:br/>
        <w:t>approved electrical intent</w:t>
        <w:br/>
        <w:t xml:space="preserve">        v</w:t>
        <w:br/>
        <w:t>AI INSIDE REVIT</w:t>
        <w:br/>
        <w:t xml:space="preserve">        v</w:t>
        <w:br/>
        <w:t>MODEL + LINKED-GEOMETRY INSPECTION</w:t>
        <w:br/>
        <w:t xml:space="preserve">        v</w:t>
        <w:br/>
        <w:t>CONNECTOR / CONTAINMENT NORMALIZATION</w:t>
        <w:br/>
        <w:t xml:space="preserve">        v</w:t>
        <w:br/>
        <w:t>VERIFIED ROUTING GRAPH</w:t>
        <w:br/>
        <w:t xml:space="preserve">        v</w:t>
        <w:br/>
        <w:t>DETERMINISTIC ROUTING KERNEL</w:t>
        <w:br/>
        <w:t>generate feasible candidate routes</w:t>
        <w:br/>
        <w:t xml:space="preserve">        v</w:t>
        <w:br/>
        <w:t>ARPL + AI JUDGMENT</w:t>
        <w:br/>
        <w:t>rank / explain / select</w:t>
        <w:br/>
        <w:t xml:space="preserve">        v</w:t>
        <w:br/>
        <w:t>ENGINEERING REVALIDATION</w:t>
        <w:br/>
        <w:t>capacity / derating / voltage drop / segregation</w:t>
        <w:br/>
        <w:t xml:space="preserve">        v</w:t>
        <w:br/>
        <w:t>REVIT API COMMIT</w:t>
        <w:br/>
        <w:t xml:space="preserve">        v</w:t>
        <w:br/>
        <w:t>READ-BACK + DETERMINISTIC VALIDATION</w:t>
        <w:br/>
        <w:t xml:space="preserve">        v</w:t>
        <w:br/>
        <w:t>PASS / REVIEW / FAIL</w:t>
      </w:r>
    </w:p>
    <w:p>
      <w:pPr/>
      <w:r>
        <w:t>The key change is a two-way relationship between routing and engineering. Approved design intent is not assumed to remain valid after routing. Actual path length, shared-containment occupancy, grouping/derating, and segregation conditions may force a return to the engineer.</w:t>
      </w:r>
    </w:p>
    <w:p>
      <w:pPr>
        <w:pStyle w:val="Heading1"/>
      </w:pPr>
      <w:r>
        <w:t>28. Revised Priority Risk Register</w:t>
      </w:r>
    </w:p>
    <w:p>
      <w:pPr/>
      <w:r>
        <w:t>The following items are ordered by their ability to invalidate the architecture if left unresolved.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blHeader w:val="true"/>
          <w:cantSplit/>
          <w:tblHeader w:val="true"/>
          <w:cantSplit/>
          <w:tblHeader w:val="true"/>
        </w:trPr>
        <w:tc>
          <w:tcPr>
            <w:tcW w:type="dxa" w:w="936"/>
            <w:vAlign w:val="top"/>
          </w:tcPr>
          <w:p>
            <w:r>
              <w:rPr>
                <w:b/>
                <w:sz w:val="18"/>
              </w:rPr>
              <w:t>Priority</w:t>
            </w:r>
          </w:p>
        </w:tc>
        <w:tc>
          <w:tcPr>
            <w:tcW w:type="dxa" w:w="2376"/>
            <w:vAlign w:val="top"/>
          </w:tcPr>
          <w:p>
            <w:r>
              <w:rPr>
                <w:b/>
                <w:sz w:val="18"/>
              </w:rPr>
              <w:t>Risk / Unknown</w:t>
            </w:r>
          </w:p>
        </w:tc>
        <w:tc>
          <w:tcPr>
            <w:tcW w:type="dxa" w:w="3816"/>
            <w:vAlign w:val="top"/>
          </w:tcPr>
          <w:p>
            <w:r>
              <w:rPr>
                <w:b/>
                <w:sz w:val="18"/>
              </w:rPr>
              <w:t>Why it matters</w:t>
            </w:r>
          </w:p>
        </w:tc>
        <w:tc>
          <w:tcPr>
            <w:tcW w:type="dxa" w:w="3240"/>
            <w:vAlign w:val="top"/>
          </w:tcPr>
          <w:p>
            <w:r>
              <w:rPr>
                <w:b/>
                <w:sz w:val="18"/>
              </w:rPr>
              <w:t>Next proof</w:t>
            </w:r>
          </w:p>
        </w:tc>
      </w:tr>
      <w:tr>
        <w:trPr>
          <w:cantSplit/>
        </w:trPr>
        <w:tc>
          <w:tcPr>
            <w:tcW w:type="dxa" w:w="2498"/>
            <w:vAlign w:val="top"/>
          </w:tcPr>
          <w:p>
            <w:r>
              <w:t>P0</w:t>
            </w:r>
          </w:p>
        </w:tc>
        <w:tc>
          <w:tcPr>
            <w:tcW w:type="dxa" w:w="2498"/>
            <w:vAlign w:val="top"/>
          </w:tcPr>
          <w:p>
            <w:r>
              <w:t>Connector identity persistence</w:t>
            </w:r>
          </w:p>
        </w:tc>
        <w:tc>
          <w:tcPr>
            <w:tcW w:type="dxa" w:w="2498"/>
            <w:vAlign w:val="top"/>
          </w:tcPr>
          <w:p>
            <w:r>
              <w:t>Custom connection/cable relationships become brittle if specific connectors cannot be re-identified after common model changes.</w:t>
            </w:r>
          </w:p>
        </w:tc>
        <w:tc>
          <w:tcPr>
            <w:tcW w:type="dxa" w:w="2498"/>
            <w:vAlign w:val="top"/>
          </w:tcPr>
          <w:p>
            <w:r>
              <w:t>Identity stress test across reload, type swap, reopen, worksharing, copy, and version upgrade.</w:t>
            </w:r>
          </w:p>
        </w:tc>
      </w:tr>
      <w:tr>
        <w:trPr>
          <w:cantSplit/>
        </w:trPr>
        <w:tc>
          <w:tcPr>
            <w:tcW w:type="dxa" w:w="2498"/>
            <w:vAlign w:val="top"/>
          </w:tcPr>
          <w:p>
            <w:r>
              <w:t>P0</w:t>
            </w:r>
          </w:p>
        </w:tc>
        <w:tc>
          <w:tcPr>
            <w:tcW w:type="dxa" w:w="2498"/>
            <w:vAlign w:val="top"/>
          </w:tcPr>
          <w:p>
            <w:r>
              <w:t>Containment graph normalization</w:t>
            </w:r>
          </w:p>
        </w:tc>
        <w:tc>
          <w:tcPr>
            <w:tcW w:type="dxa" w:w="2498"/>
            <w:vAlign w:val="top"/>
          </w:tcPr>
          <w:p>
            <w:r>
              <w:t>Routing cannot begin until tray/conduit/fitting geometry becomes a trustworthy node-edge graph.</w:t>
            </w:r>
          </w:p>
        </w:tc>
        <w:tc>
          <w:tcPr>
            <w:tcW w:type="dxa" w:w="2498"/>
            <w:vAlign w:val="top"/>
          </w:tcPr>
          <w:p>
            <w:r>
              <w:t>Extract a real network, reconstruct junctions/transitions/vertical runs, and compare graph continuity against the model.</w:t>
            </w:r>
          </w:p>
        </w:tc>
      </w:tr>
      <w:tr>
        <w:trPr>
          <w:cantSplit/>
        </w:trPr>
        <w:tc>
          <w:tcPr>
            <w:tcW w:type="dxa" w:w="2498"/>
            <w:vAlign w:val="top"/>
          </w:tcPr>
          <w:p>
            <w:r>
              <w:t>P0</w:t>
            </w:r>
          </w:p>
        </w:tc>
        <w:tc>
          <w:tcPr>
            <w:tcW w:type="dxa" w:w="2498"/>
            <w:vAlign w:val="top"/>
          </w:tcPr>
          <w:p>
            <w:r>
              <w:t>Capacity / occupancy / derating feedback</w:t>
            </w:r>
          </w:p>
        </w:tc>
        <w:tc>
          <w:tcPr>
            <w:tcW w:type="dxa" w:w="2498"/>
            <w:vAlign w:val="top"/>
          </w:tcPr>
          <w:p>
            <w:r>
              <w:t>A geometrically valid route may invalidate the approved design when shared containment changes fill or grouping conditions.</w:t>
            </w:r>
          </w:p>
        </w:tc>
        <w:tc>
          <w:tcPr>
            <w:tcW w:type="dxa" w:w="2498"/>
            <w:vAlign w:val="top"/>
          </w:tcPr>
          <w:p>
            <w:r>
              <w:t>Route an approved cable into occupied containment and force automatic revalidation/escalation.</w:t>
            </w:r>
          </w:p>
        </w:tc>
      </w:tr>
      <w:tr>
        <w:trPr>
          <w:cantSplit/>
        </w:trPr>
        <w:tc>
          <w:tcPr>
            <w:tcW w:type="dxa" w:w="2498"/>
            <w:vAlign w:val="top"/>
          </w:tcPr>
          <w:p>
            <w:r>
              <w:t>P0</w:t>
            </w:r>
          </w:p>
        </w:tc>
        <w:tc>
          <w:tcPr>
            <w:tcW w:type="dxa" w:w="2498"/>
            <w:vAlign w:val="top"/>
          </w:tcPr>
          <w:p>
            <w:r>
              <w:t>Linked-model geometry</w:t>
            </w:r>
          </w:p>
        </w:tc>
        <w:tc>
          <w:tcPr>
            <w:tcW w:type="dxa" w:w="2498"/>
            <w:vAlign w:val="top"/>
          </w:tcPr>
          <w:p>
            <w:r>
              <w:t>Any production claim of coordinated routing must account for architectural, structural, and other MEP linked models; host-only geometry is a prototype convenience.</w:t>
            </w:r>
          </w:p>
        </w:tc>
        <w:tc>
          <w:tcPr>
            <w:tcW w:type="dxa" w:w="2498"/>
            <w:vAlign w:val="top"/>
          </w:tcPr>
          <w:p>
            <w:r>
              <w:t>Normalize host + linked geometry into one collision/routing field and validate transforms, visibility, and clash queries on realistic linked models.</w:t>
            </w:r>
          </w:p>
        </w:tc>
      </w:tr>
      <w:tr>
        <w:trPr>
          <w:cantSplit/>
        </w:trPr>
        <w:tc>
          <w:tcPr>
            <w:tcW w:type="dxa" w:w="2498"/>
            <w:vAlign w:val="top"/>
          </w:tcPr>
          <w:p>
            <w:r>
              <w:t>P1</w:t>
            </w:r>
          </w:p>
        </w:tc>
        <w:tc>
          <w:tcPr>
            <w:tcW w:type="dxa" w:w="2498"/>
            <w:vAlign w:val="top"/>
          </w:tcPr>
          <w:p>
            <w:r>
              <w:t>Custom data synchronization</w:t>
            </w:r>
          </w:p>
        </w:tc>
        <w:tc>
          <w:tcPr>
            <w:tcW w:type="dxa" w:w="2498"/>
            <w:vAlign w:val="top"/>
          </w:tcPr>
          <w:p>
            <w:r>
              <w:t>Stored Connection/Cable/Route records can drift from Revit reality.</w:t>
            </w:r>
          </w:p>
        </w:tc>
        <w:tc>
          <w:tcPr>
            <w:tcW w:type="dxa" w:w="2498"/>
            <w:vAlign w:val="top"/>
          </w:tcPr>
          <w:p>
            <w:r>
              <w:t>Prefer derived relationships; test reconcile-on-read and stale-record detection.</w:t>
            </w:r>
          </w:p>
        </w:tc>
      </w:tr>
      <w:tr>
        <w:trPr>
          <w:cantSplit/>
        </w:trPr>
        <w:tc>
          <w:tcPr>
            <w:tcW w:type="dxa" w:w="2498"/>
            <w:vAlign w:val="top"/>
          </w:tcPr>
          <w:p>
            <w:r>
              <w:t>P1</w:t>
            </w:r>
          </w:p>
        </w:tc>
        <w:tc>
          <w:tcPr>
            <w:tcW w:type="dxa" w:w="2498"/>
            <w:vAlign w:val="top"/>
          </w:tcPr>
          <w:p>
            <w:r>
              <w:t>Routing-kernel / ARPL boundary</w:t>
            </w:r>
          </w:p>
        </w:tc>
        <w:tc>
          <w:tcPr>
            <w:tcW w:type="dxa" w:w="2498"/>
            <w:vAlign w:val="top"/>
          </w:tcPr>
          <w:p>
            <w:r>
              <w:t>Feasibility must remain deterministic. ARPL can tune soft ranking only after the kernel has produced valid candidates.</w:t>
            </w:r>
          </w:p>
        </w:tc>
        <w:tc>
          <w:tcPr>
            <w:tcW w:type="dxa" w:w="2498"/>
            <w:vAlign w:val="top"/>
          </w:tcPr>
          <w:p>
            <w:r>
              <w:t>Publish the kernel/ARPL ownership contract: hard constraints, fixed cost terms, learnable weights, override authority, and audit fields.</w:t>
            </w:r>
          </w:p>
        </w:tc>
      </w:tr>
      <w:tr>
        <w:trPr>
          <w:cantSplit/>
        </w:trPr>
        <w:tc>
          <w:tcPr>
            <w:tcW w:type="dxa" w:w="2498"/>
            <w:vAlign w:val="top"/>
          </w:tcPr>
          <w:p>
            <w:r>
              <w:t>P1</w:t>
            </w:r>
          </w:p>
        </w:tc>
        <w:tc>
          <w:tcPr>
            <w:tcW w:type="dxa" w:w="2498"/>
            <w:vAlign w:val="top"/>
          </w:tcPr>
          <w:p>
            <w:r>
              <w:t>Audit/provenance</w:t>
            </w:r>
          </w:p>
        </w:tc>
        <w:tc>
          <w:tcPr>
            <w:tcW w:type="dxa" w:w="2498"/>
            <w:vAlign w:val="top"/>
          </w:tcPr>
          <w:p>
            <w:r>
              <w:t>Professional review needs to know why a route was selected and what rules were applied.</w:t>
            </w:r>
          </w:p>
        </w:tc>
        <w:tc>
          <w:tcPr>
            <w:tcW w:type="dxa" w:w="2498"/>
            <w:vAlign w:val="top"/>
          </w:tcPr>
          <w:p>
            <w:r>
              <w:t>Generate route audit records from day one: candidate set, scores, rejection reasons, ARPL rules/weights, model revision, authority state, and approver.</w:t>
            </w:r>
          </w:p>
        </w:tc>
      </w:tr>
      <w:tr>
        <w:trPr>
          <w:cantSplit/>
        </w:trPr>
        <w:tc>
          <w:tcPr>
            <w:tcW w:type="dxa" w:w="2498"/>
            <w:vAlign w:val="top"/>
          </w:tcPr>
          <w:p>
            <w:r>
              <w:t>P1</w:t>
            </w:r>
          </w:p>
        </w:tc>
        <w:tc>
          <w:tcPr>
            <w:tcW w:type="dxa" w:w="2498"/>
            <w:vAlign w:val="top"/>
          </w:tcPr>
          <w:p>
            <w:r>
              <w:t>API performance / transactions</w:t>
            </w:r>
          </w:p>
        </w:tc>
        <w:tc>
          <w:tcPr>
            <w:tcW w:type="dxa" w:w="2498"/>
            <w:vAlign w:val="top"/>
          </w:tcPr>
          <w:p>
            <w:r>
              <w:t>Large-model traversal and many small transactions can make agentic execution impractical.</w:t>
            </w:r>
          </w:p>
        </w:tc>
        <w:tc>
          <w:tcPr>
            <w:tcW w:type="dxa" w:w="2498"/>
            <w:vAlign w:val="top"/>
          </w:tcPr>
          <w:p>
            <w:r>
              <w:t>Benchmark batched graph extraction and batched commits on a realistic model.</w:t>
            </w:r>
          </w:p>
        </w:tc>
      </w:tr>
      <w:tr>
        <w:trPr>
          <w:cantSplit/>
        </w:trPr>
        <w:tc>
          <w:tcPr>
            <w:tcW w:type="dxa" w:w="2498"/>
            <w:vAlign w:val="top"/>
          </w:tcPr>
          <w:p>
            <w:r>
              <w:t>P1</w:t>
            </w:r>
          </w:p>
        </w:tc>
        <w:tc>
          <w:tcPr>
            <w:tcW w:type="dxa" w:w="2498"/>
            <w:vAlign w:val="top"/>
          </w:tcPr>
          <w:p>
            <w:r>
              <w:t>Contract write authority</w:t>
            </w:r>
          </w:p>
        </w:tc>
        <w:tc>
          <w:tcPr>
            <w:tcW w:type="dxa" w:w="2498"/>
            <w:vAlign w:val="top"/>
          </w:tcPr>
          <w:p>
            <w:r>
              <w:t>Unclear state-transition ownership can allow AI proposals or model changes to bypass engineering authority.</w:t>
            </w:r>
          </w:p>
        </w:tc>
        <w:tc>
          <w:tcPr>
            <w:tcW w:type="dxa" w:w="2498"/>
            <w:vAlign w:val="top"/>
          </w:tcPr>
          <w:p>
            <w:r>
              <w:t>Define an explicit state machine: AI-writable, engineer-only, auto-invalidated, and locked transitions.</w:t>
            </w:r>
          </w:p>
        </w:tc>
      </w:tr>
      <w:tr>
        <w:trPr>
          <w:cantSplit/>
        </w:trPr>
        <w:tc>
          <w:tcPr>
            <w:tcW w:type="dxa" w:w="2498"/>
            <w:vAlign w:val="top"/>
          </w:tcPr>
          <w:p>
            <w:r>
              <w:t>P1</w:t>
            </w:r>
          </w:p>
        </w:tc>
        <w:tc>
          <w:tcPr>
            <w:tcW w:type="dxa" w:w="2498"/>
            <w:vAlign w:val="top"/>
          </w:tcPr>
          <w:p>
            <w:r>
              <w:t>Cable/core semantics</w:t>
            </w:r>
          </w:p>
        </w:tc>
        <w:tc>
          <w:tcPr>
            <w:tcW w:type="dxa" w:w="2498"/>
            <w:vAlign w:val="top"/>
          </w:tcPr>
          <w:p>
            <w:r>
              <w:t>A cable treated as unrelated conductors loses ordered core identity, color/number semantics, spare cores, and shields.</w:t>
            </w:r>
          </w:p>
        </w:tc>
        <w:tc>
          <w:tcPr>
            <w:tcW w:type="dxa" w:w="2498"/>
            <w:vAlign w:val="top"/>
          </w:tcPr>
          <w:p>
            <w:r>
              <w:t>Define cable instance + ordered core schema before persistent Connection records are implemented.</w:t>
            </w:r>
          </w:p>
        </w:tc>
      </w:tr>
      <w:tr>
        <w:trPr>
          <w:cantSplit/>
        </w:trPr>
        <w:tc>
          <w:tcPr>
            <w:tcW w:type="dxa" w:w="2498"/>
            <w:vAlign w:val="top"/>
          </w:tcPr>
          <w:p>
            <w:r>
              <w:t>P2</w:t>
            </w:r>
          </w:p>
        </w:tc>
        <w:tc>
          <w:tcPr>
            <w:tcW w:type="dxa" w:w="2498"/>
            <w:vAlign w:val="top"/>
          </w:tcPr>
          <w:p>
            <w:r>
              <w:t>Revit API version churn</w:t>
            </w:r>
          </w:p>
        </w:tc>
        <w:tc>
          <w:tcPr>
            <w:tcW w:type="dxa" w:w="2498"/>
            <w:vAlign w:val="top"/>
          </w:tcPr>
          <w:p>
            <w:r>
              <w:t>New cable-related API surfaces may evolve between Revit releases.</w:t>
            </w:r>
          </w:p>
        </w:tc>
        <w:tc>
          <w:tcPr>
            <w:tcW w:type="dxa" w:w="2498"/>
            <w:vAlign w:val="top"/>
          </w:tcPr>
          <w:p>
            <w:r>
              <w:t>Hide version-specific calls behind adapters and establish a minimum supported Revit version.</w:t>
            </w:r>
          </w:p>
        </w:tc>
      </w:tr>
    </w:tbl>
    <w:p>
      <w:pPr>
        <w:pStyle w:val="Heading1"/>
      </w:pPr>
      <w:r>
        <w:t>29. Minimum Route-Validation Contract</w:t>
      </w:r>
    </w:p>
    <w:p>
      <w:pPr/>
      <w:r>
        <w:t>A route should not be considered production-valid simply because the geometry connects source and destination. The minimum validation contract should be explicit and machine-checkable.</w:t>
      </w:r>
    </w:p>
    <w:tbl>
      <w:tblPr>
        <w:tblStyle w:val="TableGrid"/>
        <w:tblW w:type="auto" w:w="0"/>
        <w:jc w:val="center"/>
        <w:tblLook w:firstColumn="1" w:firstRow="1" w:lastColumn="0" w:lastRow="0" w:noHBand="0" w:noVBand="1" w:val="04A0"/>
      </w:tblPr>
      <w:tblGrid>
        <w:gridCol w:w="4997"/>
        <w:gridCol w:w="4997"/>
      </w:tblGrid>
      <w:tr>
        <w:trPr>
          <w:tblHeader w:val="true"/>
          <w:cantSplit/>
          <w:tblHeader w:val="true"/>
          <w:cantSplit/>
        </w:trPr>
        <w:tc>
          <w:tcPr>
            <w:tcW w:type="dxa" w:w="1872"/>
            <w:vAlign w:val="top"/>
          </w:tcPr>
          <w:p>
            <w:r>
              <w:rPr>
                <w:b/>
                <w:sz w:val="19"/>
              </w:rPr>
              <w:t>Validation layer</w:t>
            </w:r>
          </w:p>
        </w:tc>
        <w:tc>
          <w:tcPr>
            <w:tcW w:type="dxa" w:w="8496"/>
            <w:vAlign w:val="top"/>
          </w:tcPr>
          <w:p>
            <w:r>
              <w:rPr>
                <w:b/>
                <w:sz w:val="19"/>
              </w:rPr>
              <w:t>Required checks</w:t>
            </w:r>
          </w:p>
        </w:tc>
      </w:tr>
      <w:tr>
        <w:trPr>
          <w:cantSplit/>
          <w:cantSplit/>
        </w:trPr>
        <w:tc>
          <w:tcPr>
            <w:tcW w:type="dxa" w:w="1872"/>
            <w:vAlign w:val="top"/>
          </w:tcPr>
          <w:p>
            <w:r>
              <w:rPr>
                <w:sz w:val="19"/>
              </w:rPr>
              <w:t>Identity</w:t>
            </w:r>
          </w:p>
        </w:tc>
        <w:tc>
          <w:tcPr>
            <w:tcW w:type="dxa" w:w="8496"/>
            <w:vAlign w:val="top"/>
          </w:tcPr>
          <w:p>
            <w:r>
              <w:rPr>
                <w:sz w:val="19"/>
              </w:rPr>
              <w:t>Correct source, destination, circuit, cable identity, and stable/reconciled connector references.</w:t>
            </w:r>
          </w:p>
        </w:tc>
      </w:tr>
      <w:tr>
        <w:trPr>
          <w:cantSplit/>
          <w:cantSplit/>
        </w:trPr>
        <w:tc>
          <w:tcPr>
            <w:tcW w:type="dxa" w:w="1872"/>
            <w:vAlign w:val="top"/>
          </w:tcPr>
          <w:p>
            <w:r>
              <w:rPr>
                <w:sz w:val="19"/>
              </w:rPr>
              <w:t>Topology</w:t>
            </w:r>
          </w:p>
        </w:tc>
        <w:tc>
          <w:tcPr>
            <w:tcW w:type="dxa" w:w="8496"/>
            <w:vAlign w:val="top"/>
          </w:tcPr>
          <w:p>
            <w:r>
              <w:rPr>
                <w:sz w:val="19"/>
              </w:rPr>
              <w:t>Continuous ordered route; no disconnected fittings or orphan segments; valid transitions between containment types.</w:t>
            </w:r>
          </w:p>
        </w:tc>
      </w:tr>
      <w:tr>
        <w:trPr>
          <w:cantSplit/>
          <w:cantSplit/>
        </w:trPr>
        <w:tc>
          <w:tcPr>
            <w:tcW w:type="dxa" w:w="1872"/>
            <w:vAlign w:val="top"/>
          </w:tcPr>
          <w:p>
            <w:r>
              <w:rPr>
                <w:sz w:val="19"/>
              </w:rPr>
              <w:t>Geometry</w:t>
            </w:r>
          </w:p>
        </w:tc>
        <w:tc>
          <w:tcPr>
            <w:tcW w:type="dxa" w:w="8496"/>
            <w:vAlign w:val="top"/>
          </w:tcPr>
          <w:p>
            <w:r>
              <w:rPr>
                <w:sz w:val="19"/>
              </w:rPr>
              <w:t>No prohibited clashes; valid elevations/slopes where applicable; required fittings exist; bend geometry is constructible.</w:t>
            </w:r>
          </w:p>
        </w:tc>
      </w:tr>
      <w:tr>
        <w:trPr>
          <w:cantSplit/>
          <w:cantSplit/>
        </w:trPr>
        <w:tc>
          <w:tcPr>
            <w:tcW w:type="dxa" w:w="1872"/>
            <w:vAlign w:val="top"/>
          </w:tcPr>
          <w:p>
            <w:r>
              <w:rPr>
                <w:sz w:val="19"/>
              </w:rPr>
              <w:t>Containment</w:t>
            </w:r>
          </w:p>
        </w:tc>
        <w:tc>
          <w:tcPr>
            <w:tcW w:type="dxa" w:w="8496"/>
            <w:vAlign w:val="top"/>
          </w:tcPr>
          <w:p>
            <w:r>
              <w:rPr>
                <w:sz w:val="19"/>
              </w:rPr>
              <w:t>Fill/occupancy remains within project/code constraints; required spare capacity preserved where specified.</w:t>
            </w:r>
          </w:p>
        </w:tc>
      </w:tr>
      <w:tr>
        <w:trPr>
          <w:cantSplit/>
          <w:cantSplit/>
        </w:trPr>
        <w:tc>
          <w:tcPr>
            <w:tcW w:type="dxa" w:w="1872"/>
            <w:vAlign w:val="top"/>
          </w:tcPr>
          <w:p>
            <w:r>
              <w:rPr>
                <w:sz w:val="19"/>
              </w:rPr>
              <w:t>Electrical</w:t>
            </w:r>
          </w:p>
        </w:tc>
        <w:tc>
          <w:tcPr>
            <w:tcW w:type="dxa" w:w="8496"/>
            <w:vAlign w:val="top"/>
          </w:tcPr>
          <w:p>
            <w:r>
              <w:rPr>
                <w:sz w:val="19"/>
              </w:rPr>
              <w:t>Segregation satisfied; bend radius/pull constraints satisfied; grouping/derating rechecked; actual length rechecked against voltage-drop budget.</w:t>
            </w:r>
          </w:p>
        </w:tc>
      </w:tr>
      <w:tr>
        <w:trPr>
          <w:cantSplit/>
          <w:cantSplit/>
        </w:trPr>
        <w:tc>
          <w:tcPr>
            <w:tcW w:type="dxa" w:w="1872"/>
            <w:vAlign w:val="top"/>
          </w:tcPr>
          <w:p>
            <w:r>
              <w:rPr>
                <w:sz w:val="19"/>
              </w:rPr>
              <w:t>Production</w:t>
            </w:r>
          </w:p>
        </w:tc>
        <w:tc>
          <w:tcPr>
            <w:tcW w:type="dxa" w:w="8496"/>
            <w:vAlign w:val="top"/>
          </w:tcPr>
          <w:p>
            <w:r>
              <w:rPr>
                <w:sz w:val="19"/>
              </w:rPr>
              <w:t>Accessible route, maintainable junctions, permitted zones/elevations, and no unnecessary creation when reusable containment exists.</w:t>
            </w:r>
          </w:p>
        </w:tc>
      </w:tr>
      <w:tr>
        <w:trPr>
          <w:cantSplit/>
          <w:cantSplit/>
        </w:trPr>
        <w:tc>
          <w:tcPr>
            <w:tcW w:type="dxa" w:w="1872"/>
            <w:vAlign w:val="top"/>
          </w:tcPr>
          <w:p>
            <w:r>
              <w:rPr>
                <w:sz w:val="19"/>
              </w:rPr>
              <w:t>Governance</w:t>
            </w:r>
          </w:p>
        </w:tc>
        <w:tc>
          <w:tcPr>
            <w:tcW w:type="dxa" w:w="8496"/>
            <w:vAlign w:val="top"/>
          </w:tcPr>
          <w:p>
            <w:r>
              <w:rPr>
                <w:sz w:val="19"/>
              </w:rPr>
              <w:t>No unauthorized modification of locked elements; candidate rationale and applied rules recorded; engineering reapproval triggered when assumptions change.</w:t>
            </w:r>
          </w:p>
        </w:tc>
      </w:tr>
    </w:tbl>
    <w:p>
      <w:pPr>
        <w:pStyle w:val="Heading1"/>
      </w:pPr>
      <w:r>
        <w:t>30. Revised Prototype Program</w:t>
      </w:r>
    </w:p>
    <w:p>
      <w:pPr>
        <w:pStyle w:val="Heading2"/>
      </w:pPr>
      <w:r>
        <w:t>Phase 0 — Connector identity stress test</w:t>
      </w:r>
    </w:p>
    <w:p>
      <w:pPr/>
      <w:r>
        <w:t>Prove that electrical connectors can be deterministically re-identified or explicitly reconciled after common model edits before any persistent Connection records are created. Execute the V3 edit matrix and record IDENTICAL / RECONCILED / AMBIGUOUS / LOST outcomes.</w:t>
      </w:r>
    </w:p>
    <w:p>
      <w:pPr>
        <w:pStyle w:val="Heading2"/>
      </w:pPr>
      <w:r>
        <w:t>Phase 1 — Containment graph reconstruction</w:t>
      </w:r>
    </w:p>
    <w:p>
      <w:pPr/>
      <w:r>
        <w:t>On realistic host and linked models, identify tray/conduit/fitting elements, reconstruct connectivity including junctions, transitions and vertical runs, calculate source-to-target paths, and compare the generated graph against a human-traced reference. Host-only testing is allowed only as an initial subtest.</w:t>
      </w:r>
    </w:p>
    <w:p>
      <w:pPr>
        <w:pStyle w:val="Heading2"/>
      </w:pPr>
      <w:r>
        <w:t>Phase 2 — Versioned planning contract + deterministic execution</w:t>
      </w:r>
    </w:p>
    <w:p>
      <w:pPr/>
      <w:r>
        <w:t>Use a versioned structured contract as the authoritative source; expose Excel as the engineer-facing surface. Enforce write authority, revision/lock states, audit metadata, and deterministic Revit execution/read-back.</w:t>
      </w:r>
    </w:p>
    <w:p>
      <w:pPr>
        <w:pStyle w:val="Heading2"/>
      </w:pPr>
      <w:r>
        <w:t>Phase 3 — Existing-containment router</w:t>
      </w:r>
    </w:p>
    <w:p>
      <w:pPr/>
      <w:r>
        <w:t>Route through the verified graph using deterministic hard constraints and a transparent cost model. Begin with a constrained subset of containment types and project rules.</w:t>
      </w:r>
    </w:p>
    <w:p>
      <w:pPr>
        <w:pStyle w:val="Heading2"/>
      </w:pPr>
      <w:r>
        <w:t>Phase 4 — Engineering feedback loop</w:t>
      </w:r>
    </w:p>
    <w:p>
      <w:pPr/>
      <w:r>
        <w:t>After a route is selected, re-evaluate fill, grouping/derating, segregation, path length, and voltage-drop implications. Stop and escalate when approved design assumptions no longer hold.</w:t>
      </w:r>
    </w:p>
    <w:p>
      <w:pPr>
        <w:pStyle w:val="Heading2"/>
      </w:pPr>
      <w:r>
        <w:t>Phase 5 — New-containment generation</w:t>
      </w:r>
    </w:p>
    <w:p>
      <w:pPr/>
      <w:r>
        <w:t>Keep new-containment generation deliberately narrow for an extended period: known service corridors, known elevations, orthogonal geometry, known tray/conduit types, limited transitions, known fitting families, and explicit access/constructability checks.</w:t>
      </w:r>
    </w:p>
    <w:p>
      <w:pPr>
        <w:pStyle w:val="Heading2"/>
      </w:pPr>
      <w:r>
        <w:t>Phase 6 — ARPL learning</w:t>
      </w:r>
    </w:p>
    <w:p>
      <w:pPr/>
      <w:r>
        <w:t>Capture human corrections, rejected candidates, failure patterns, preferred routes, and successful heuristics. Promote only reproducible routing lessons into ARPL.</w:t>
      </w:r>
    </w:p>
    <w:p>
      <w:pPr>
        <w:pStyle w:val="Heading1"/>
      </w:pPr>
      <w:r>
        <w:t>31. Updated Working Conclusion</w:t>
      </w:r>
    </w:p>
    <w:p>
      <w:r>
        <w:t>Version 3 is adopted as the starting baseline for ARPL electrical workflow research. The central thesis has survived independent Mistral and Grok review, but V3 deliberately converts optimistic assumptions into falsifiable prerequisites. The research target is no longer “is Revit sufficient?”; it is whether stable identity, graph normalization, linked-model coordination, engineering feedback, and deterministic routing can be proven well enough to support production-safe AI execution inside Revit.</w:t>
      </w:r>
    </w:p>
    <w:p>
      <w:r>
        <w:t>The phrase “thin custom layer” remains a hypothesis, not a design assumption. No persistent Connection/Cable/Route architecture should be considered settled until Phase 0 and Phase 1 tests demonstrate connector identity and graph reconstruction reliability under realistic model changes.</w:t>
      </w:r>
    </w:p>
    <w:p>
      <w:pPr>
        <w:pStyle w:val="KeyPoint"/>
      </w:pPr>
      <w:r>
        <w:t>V3 start point: Phase 0 connector identity and Phase 1 containment-graph reconstruction are gating experiments. Routing intelligence, persistent connection records, and new-containment generation remain downstream until those gates pass.</w:t>
      </w:r>
    </w:p>
    <w:p>
      <w:r>
        <w:t>If those foundations are reliable, the next experiment is routing through existing containment using deterministic constraints and transparent candidate scoring. Only after that should the system attempt new containment generation in constrained routing fields.</w:t>
      </w:r>
    </w:p>
    <w:p>
      <w:pPr>
        <w:pStyle w:val="KeyPoint"/>
      </w:pPr>
      <w:r>
        <w:t>How can AI use the actual BIM environment, deterministic routing kernels, explicit engineering feedback, and learned ARPL production knowledge to make routing decisions that are coordinated, explainable, and deterministically verifiable?</w:t>
      </w:r>
    </w:p>
    <w:p>
      <w:r>
        <w:t>The long-term architecture remains intentionally separated: the engineer owns electrical intent and approval; a versioned contract carries that authority; deterministic kernels own geometry and hard constraints; ARPL owns learned Revit production judgment; AI interprets context and selects among valid candidates; the Revit API performs the commit; and deterministic read-back proves the resulting model state.</w:t>
      </w:r>
    </w:p>
    <w:p>
      <w:pPr>
        <w:pStyle w:val="Heading1"/>
      </w:pPr>
      <w:r>
        <w:t>32. V3 Routing-Kernel / ARPL / AI / Engineer Contract</w:t>
      </w:r>
    </w:p>
    <w:p>
      <w:pPr/>
      <w:r>
        <w:t>Version 3 fixes ownership boundaries so that feasibility, learning, interpretation, and authority cannot blur together. The deterministic routing kernel must produce only feasible candidates. ARPL may supply soft production preferences and learned weights only after feasibility is established. AI interprets intent, selects applicable ARPL knowledge, compares valid candidates, and explains its recommendation. The electrical engineer owns engineering authority, approval, exceptions, and overrides that change electrical intent.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blHeader w:val="true"/>
          <w:cantSplit/>
        </w:trPr>
        <w:tc>
          <w:tcPr>
            <w:tcW w:type="dxa" w:w="2498"/>
            <w:vAlign w:val="top"/>
          </w:tcPr>
          <w:p>
            <w:r>
              <w:t>Layer</w:t>
            </w:r>
          </w:p>
        </w:tc>
        <w:tc>
          <w:tcPr>
            <w:tcW w:type="dxa" w:w="2498"/>
            <w:vAlign w:val="top"/>
          </w:tcPr>
          <w:p>
            <w:r>
              <w:t>Owns</w:t>
            </w:r>
          </w:p>
        </w:tc>
        <w:tc>
          <w:tcPr>
            <w:tcW w:type="dxa" w:w="2498"/>
            <w:vAlign w:val="top"/>
          </w:tcPr>
          <w:p>
            <w:r>
              <w:t>May influence</w:t>
            </w:r>
          </w:p>
        </w:tc>
        <w:tc>
          <w:tcPr>
            <w:tcW w:type="dxa" w:w="2498"/>
            <w:vAlign w:val="top"/>
          </w:tcPr>
          <w:p>
            <w:r>
              <w:t>Must not do</w:t>
            </w:r>
          </w:p>
        </w:tc>
      </w:tr>
      <w:tr>
        <w:trPr>
          <w:cantSplit/>
          <w:cantSplit/>
        </w:trPr>
        <w:tc>
          <w:tcPr>
            <w:tcW w:type="dxa" w:w="2498"/>
            <w:vAlign w:val="top"/>
          </w:tcPr>
          <w:p>
            <w:r>
              <w:t>Deterministic routing kernel</w:t>
            </w:r>
          </w:p>
        </w:tc>
        <w:tc>
          <w:tcPr>
            <w:tcW w:type="dxa" w:w="2498"/>
            <w:vAlign w:val="top"/>
          </w:tcPr>
          <w:p>
            <w:r>
              <w:t>Geometry normalization; topology; path generation; clashes; hard clearances; fill/capacity; bend/pull constraints; segregation hard rules; locked/prohibited zones; fixed transparent base cost.</w:t>
            </w:r>
          </w:p>
        </w:tc>
        <w:tc>
          <w:tcPr>
            <w:tcW w:type="dxa" w:w="2498"/>
            <w:vAlign w:val="top"/>
          </w:tcPr>
          <w:p>
            <w:r>
              <w:t>None outside its declared rule/configuration inputs.</w:t>
            </w:r>
          </w:p>
        </w:tc>
        <w:tc>
          <w:tcPr>
            <w:tcW w:type="dxa" w:w="2498"/>
            <w:vAlign w:val="top"/>
          </w:tcPr>
          <w:p>
            <w:r>
              <w:t>Use probabilistic judgment; waive hard constraints; silently change engineering intent.</w:t>
            </w:r>
          </w:p>
        </w:tc>
      </w:tr>
      <w:tr>
        <w:trPr>
          <w:cantSplit/>
          <w:cantSplit/>
        </w:trPr>
        <w:tc>
          <w:tcPr>
            <w:tcW w:type="dxa" w:w="2498"/>
            <w:vAlign w:val="top"/>
          </w:tcPr>
          <w:p>
            <w:r>
              <w:t>ARPL</w:t>
            </w:r>
          </w:p>
        </w:tc>
        <w:tc>
          <w:tcPr>
            <w:tcW w:type="dxa" w:w="2498"/>
            <w:vAlign w:val="top"/>
          </w:tcPr>
          <w:p>
            <w:r>
              <w:t>Verified production heuristics; soft preferences; learned ranking weights; project/office conventions; known failure patterns.</w:t>
            </w:r>
          </w:p>
        </w:tc>
        <w:tc>
          <w:tcPr>
            <w:tcW w:type="dxa" w:w="2498"/>
            <w:vAlign w:val="top"/>
          </w:tcPr>
          <w:p>
            <w:r>
              <w:t>Ranking among kernel-valid candidates.</w:t>
            </w:r>
          </w:p>
        </w:tc>
        <w:tc>
          <w:tcPr>
            <w:tcW w:type="dxa" w:w="2498"/>
            <w:vAlign w:val="top"/>
          </w:tcPr>
          <w:p>
            <w:r>
              <w:t>Declare infeasible routes valid; own code calculations; own geometry/pathfinding.</w:t>
            </w:r>
          </w:p>
        </w:tc>
      </w:tr>
      <w:tr>
        <w:trPr>
          <w:cantSplit/>
          <w:cantSplit/>
        </w:trPr>
        <w:tc>
          <w:tcPr>
            <w:tcW w:type="dxa" w:w="2498"/>
            <w:vAlign w:val="top"/>
          </w:tcPr>
          <w:p>
            <w:r>
              <w:t>AI</w:t>
            </w:r>
          </w:p>
        </w:tc>
        <w:tc>
          <w:tcPr>
            <w:tcW w:type="dxa" w:w="2498"/>
            <w:vAlign w:val="top"/>
          </w:tcPr>
          <w:p>
            <w:r>
              <w:t>Intent interpretation; selecting applicable ARPL packs; candidate comparison; explanation; authorized execution orchestration.</w:t>
            </w:r>
          </w:p>
        </w:tc>
        <w:tc>
          <w:tcPr>
            <w:tcW w:type="dxa" w:w="2498"/>
            <w:vAlign w:val="top"/>
          </w:tcPr>
          <w:p>
            <w:r>
              <w:t>Choice among valid candidates within allowed authority.</w:t>
            </w:r>
          </w:p>
        </w:tc>
        <w:tc>
          <w:tcPr>
            <w:tcW w:type="dxa" w:w="2498"/>
            <w:vAlign w:val="top"/>
          </w:tcPr>
          <w:p>
            <w:r>
              <w:t>Invent engineering approval; bypass locks; override hard constraints.</w:t>
            </w:r>
          </w:p>
        </w:tc>
      </w:tr>
      <w:tr>
        <w:trPr>
          <w:cantSplit/>
          <w:cantSplit/>
        </w:trPr>
        <w:tc>
          <w:tcPr>
            <w:tcW w:type="dxa" w:w="2498"/>
            <w:vAlign w:val="top"/>
          </w:tcPr>
          <w:p>
            <w:r>
              <w:t>Electrical engineer</w:t>
            </w:r>
          </w:p>
        </w:tc>
        <w:tc>
          <w:tcPr>
            <w:tcW w:type="dxa" w:w="2498"/>
            <w:vAlign w:val="top"/>
          </w:tcPr>
          <w:p>
            <w:r>
              <w:t>Design authority; approval; exceptions; engineering revalidation; acceptance of assumption changes.</w:t>
            </w:r>
          </w:p>
        </w:tc>
        <w:tc>
          <w:tcPr>
            <w:tcW w:type="dxa" w:w="2498"/>
            <w:vAlign w:val="top"/>
          </w:tcPr>
          <w:p>
            <w:r>
              <w:t>Project constraints, preferences, and approved overrides.</w:t>
            </w:r>
          </w:p>
        </w:tc>
        <w:tc>
          <w:tcPr>
            <w:tcW w:type="dxa" w:w="2498"/>
            <w:vAlign w:val="top"/>
          </w:tcPr>
          <w:p>
            <w:r>
              <w:t>Delegate professional authority implicitly to model state or AI output.</w:t>
            </w:r>
          </w:p>
        </w:tc>
      </w:tr>
    </w:tbl>
    <w:p>
      <w:pPr>
        <w:pStyle w:val="Heading1"/>
      </w:pPr>
      <w:r>
        <w:t>33. Phase 0 and Phase 1 Pass Criteria</w:t>
      </w:r>
    </w:p>
    <w:p>
      <w:pPr/>
      <w:r>
        <w:t>The first two phases are now gating tests. A prototype does not pass because it “usually works.” Silent misidentification or false topology is unacceptable. Every unresolved case must fail visibly into reconciliation or review.</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blHeader w:val="true"/>
          <w:cantSplit/>
        </w:trPr>
        <w:tc>
          <w:tcPr>
            <w:tcW w:type="dxa" w:w="2498"/>
            <w:vAlign w:val="top"/>
          </w:tcPr>
          <w:p>
            <w:r>
              <w:t>Phase</w:t>
            </w:r>
          </w:p>
        </w:tc>
        <w:tc>
          <w:tcPr>
            <w:tcW w:type="dxa" w:w="2498"/>
            <w:vAlign w:val="top"/>
          </w:tcPr>
          <w:p>
            <w:r>
              <w:t>Test matrix / evidence</w:t>
            </w:r>
          </w:p>
        </w:tc>
        <w:tc>
          <w:tcPr>
            <w:tcW w:type="dxa" w:w="2498"/>
            <w:vAlign w:val="top"/>
          </w:tcPr>
          <w:p>
            <w:r>
              <w:t>Pass criterion</w:t>
            </w:r>
          </w:p>
        </w:tc>
        <w:tc>
          <w:tcPr>
            <w:tcW w:type="dxa" w:w="2498"/>
            <w:vAlign w:val="top"/>
          </w:tcPr>
          <w:p>
            <w:r>
              <w:t>Fail / escalation condition</w:t>
            </w:r>
          </w:p>
        </w:tc>
      </w:tr>
      <w:tr>
        <w:trPr>
          <w:cantSplit/>
          <w:cantSplit/>
        </w:trPr>
        <w:tc>
          <w:tcPr>
            <w:tcW w:type="dxa" w:w="2498"/>
            <w:vAlign w:val="top"/>
          </w:tcPr>
          <w:p>
            <w:r>
              <w:t>Phase 0 — Connector identity</w:t>
            </w:r>
          </w:p>
        </w:tc>
        <w:tc>
          <w:tcPr>
            <w:tcW w:type="dxa" w:w="2498"/>
            <w:vAlign w:val="top"/>
          </w:tcPr>
          <w:p>
            <w:r>
              <w:t>Save/reopen; move; parameter edit; type swap; family reload; disconnect/reconnect; copy/paste; worksharing borrow/relinquish; model detach/upgrade where applicable.</w:t>
            </w:r>
          </w:p>
        </w:tc>
        <w:tc>
          <w:tcPr>
            <w:tcW w:type="dxa" w:w="2498"/>
            <w:vAlign w:val="top"/>
          </w:tcPr>
          <w:p>
            <w:r>
              <w:t>Every unchanged physical connector is either deterministically re-identified (IDENTICAL) or explicitly reconciled with evidence (RECONCILED). Zero silent false matches.</w:t>
            </w:r>
          </w:p>
        </w:tc>
        <w:tc>
          <w:tcPr>
            <w:tcW w:type="dxa" w:w="2498"/>
            <w:vAlign w:val="top"/>
          </w:tcPr>
          <w:p>
            <w:r>
              <w:t>AMBIGUOUS requires human/system reconciliation; LOST blocks persistent connection commit until a new authoritative identity is established.</w:t>
            </w:r>
          </w:p>
        </w:tc>
      </w:tr>
      <w:tr>
        <w:trPr>
          <w:cantSplit/>
          <w:cantSplit/>
        </w:trPr>
        <w:tc>
          <w:tcPr>
            <w:tcW w:type="dxa" w:w="2498"/>
            <w:vAlign w:val="top"/>
          </w:tcPr>
          <w:p>
            <w:r>
              <w:t>Phase 1 — Containment graph</w:t>
            </w:r>
          </w:p>
        </w:tc>
        <w:tc>
          <w:tcPr>
            <w:tcW w:type="dxa" w:w="2498"/>
            <w:vAlign w:val="top"/>
          </w:tcPr>
          <w:p>
            <w:r>
              <w:t>Realistic tray/conduit/fitting networks including junctions, transitions, risers, vertical runs, branches, and linked-model context. Compare generated graph with a human-traced reference.</w:t>
            </w:r>
          </w:p>
        </w:tc>
        <w:tc>
          <w:tcPr>
            <w:tcW w:type="dxa" w:w="2498"/>
            <w:vAlign w:val="top"/>
          </w:tcPr>
          <w:p>
            <w:r>
              <w:t>No false junctions; no missing physical segments; no graph orphan unless physically orphaned; source-target continuity matches reference; length/elevation/type attributes preserved within declared tolerance.</w:t>
            </w:r>
          </w:p>
        </w:tc>
        <w:tc>
          <w:tcPr>
            <w:tcW w:type="dxa" w:w="2498"/>
            <w:vAlign w:val="top"/>
          </w:tcPr>
          <w:p>
            <w:r>
              <w:t>Any false connectivity, hidden orphan, transform error, or route that exists in graph but not in model fails the graph build and blocks routing.</w:t>
            </w:r>
          </w:p>
        </w:tc>
      </w:tr>
    </w:tbl>
    <w:p>
      <w:pPr>
        <w:pStyle w:val="Heading1"/>
      </w:pPr>
      <w:r>
        <w:t>34. Contract Write Authority and State Transitions</w:t>
      </w:r>
    </w:p>
    <w:p>
      <w:pPr/>
      <w:r>
        <w:t>The versioned electrical contract is authoritative. State transitions must be explicit so AI proposals, engineering approvals, model execution, and validation cannot be conflated. Upstream changes that invalidate an approval must automatically move the affected item out of APPROVED/LOCKED execution status.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blHeader w:val="true"/>
          <w:cantSplit/>
        </w:trPr>
        <w:tc>
          <w:tcPr>
            <w:tcW w:type="dxa" w:w="2498"/>
            <w:vAlign w:val="top"/>
          </w:tcPr>
          <w:p>
            <w:r>
              <w:t>State / transition</w:t>
            </w:r>
          </w:p>
        </w:tc>
        <w:tc>
          <w:tcPr>
            <w:tcW w:type="dxa" w:w="2498"/>
            <w:vAlign w:val="top"/>
          </w:tcPr>
          <w:p>
            <w:r>
              <w:t>AI authority</w:t>
            </w:r>
          </w:p>
        </w:tc>
        <w:tc>
          <w:tcPr>
            <w:tcW w:type="dxa" w:w="2498"/>
            <w:vAlign w:val="top"/>
          </w:tcPr>
          <w:p>
            <w:r>
              <w:t>Engineer authority</w:t>
            </w:r>
          </w:p>
        </w:tc>
        <w:tc>
          <w:tcPr>
            <w:tcW w:type="dxa" w:w="2498"/>
            <w:vAlign w:val="top"/>
          </w:tcPr>
          <w:p>
            <w:r>
              <w:t>Rule</w:t>
            </w:r>
          </w:p>
        </w:tc>
      </w:tr>
      <w:tr>
        <w:trPr>
          <w:cantSplit/>
          <w:cantSplit/>
        </w:trPr>
        <w:tc>
          <w:tcPr>
            <w:tcW w:type="dxa" w:w="2498"/>
            <w:vAlign w:val="top"/>
          </w:tcPr>
          <w:p>
            <w:r>
              <w:t>PROPOSED</w:t>
            </w:r>
          </w:p>
        </w:tc>
        <w:tc>
          <w:tcPr>
            <w:tcW w:type="dxa" w:w="2498"/>
            <w:vAlign w:val="top"/>
          </w:tcPr>
          <w:p>
            <w:r>
              <w:t>Create/update proposal fields and rationale.</w:t>
            </w:r>
          </w:p>
        </w:tc>
        <w:tc>
          <w:tcPr>
            <w:tcW w:type="dxa" w:w="2498"/>
            <w:vAlign w:val="top"/>
          </w:tcPr>
          <w:p>
            <w:r>
              <w:t>Review, edit, reject, or approve.</w:t>
            </w:r>
          </w:p>
        </w:tc>
        <w:tc>
          <w:tcPr>
            <w:tcW w:type="dxa" w:w="2498"/>
            <w:vAlign w:val="top"/>
          </w:tcPr>
          <w:p>
            <w:r>
              <w:t>Not executable as approved engineering intent.</w:t>
            </w:r>
          </w:p>
        </w:tc>
      </w:tr>
      <w:tr>
        <w:trPr>
          <w:cantSplit/>
          <w:cantSplit/>
        </w:trPr>
        <w:tc>
          <w:tcPr>
            <w:tcW w:type="dxa" w:w="2498"/>
            <w:vAlign w:val="top"/>
          </w:tcPr>
          <w:p>
            <w:r>
              <w:t>APPROVED</w:t>
            </w:r>
          </w:p>
        </w:tc>
        <w:tc>
          <w:tcPr>
            <w:tcW w:type="dxa" w:w="2498"/>
            <w:vAlign w:val="top"/>
          </w:tcPr>
          <w:p>
            <w:r>
              <w:t>Read only; may prepare execution plan.</w:t>
            </w:r>
          </w:p>
        </w:tc>
        <w:tc>
          <w:tcPr>
            <w:tcW w:type="dxa" w:w="2498"/>
            <w:vAlign w:val="top"/>
          </w:tcPr>
          <w:p>
            <w:r>
              <w:t>Engineer-only transition into APPROVED.</w:t>
            </w:r>
          </w:p>
        </w:tc>
        <w:tc>
          <w:tcPr>
            <w:tcW w:type="dxa" w:w="2498"/>
            <w:vAlign w:val="top"/>
          </w:tcPr>
          <w:p>
            <w:r>
              <w:t>Bound to contract revision + model/context revision used for approval.</w:t>
            </w:r>
          </w:p>
        </w:tc>
      </w:tr>
      <w:tr>
        <w:trPr>
          <w:cantSplit/>
          <w:cantSplit/>
        </w:trPr>
        <w:tc>
          <w:tcPr>
            <w:tcW w:type="dxa" w:w="2498"/>
            <w:vAlign w:val="top"/>
          </w:tcPr>
          <w:p>
            <w:r>
              <w:t>LOCKED</w:t>
            </w:r>
          </w:p>
        </w:tc>
        <w:tc>
          <w:tcPr>
            <w:tcW w:type="dxa" w:w="2498"/>
            <w:vAlign w:val="top"/>
          </w:tcPr>
          <w:p>
            <w:r>
              <w:t>No modification except explicit exception workflow.</w:t>
            </w:r>
          </w:p>
        </w:tc>
        <w:tc>
          <w:tcPr>
            <w:tcW w:type="dxa" w:w="2498"/>
            <w:vAlign w:val="top"/>
          </w:tcPr>
          <w:p>
            <w:r>
              <w:t>Engineer/project authority only.</w:t>
            </w:r>
          </w:p>
        </w:tc>
        <w:tc>
          <w:tcPr>
            <w:tcW w:type="dxa" w:w="2498"/>
            <w:vAlign w:val="top"/>
          </w:tcPr>
          <w:p>
            <w:r>
              <w:t>Any upstream dependency change auto-invalidates affected downstream execution permission.</w:t>
            </w:r>
          </w:p>
        </w:tc>
      </w:tr>
      <w:tr>
        <w:trPr>
          <w:cantSplit/>
          <w:cantSplit/>
        </w:trPr>
        <w:tc>
          <w:tcPr>
            <w:tcW w:type="dxa" w:w="2498"/>
            <w:vAlign w:val="top"/>
          </w:tcPr>
          <w:p>
            <w:r>
              <w:t>EXECUTED</w:t>
            </w:r>
          </w:p>
        </w:tc>
        <w:tc>
          <w:tcPr>
            <w:tcW w:type="dxa" w:w="2498"/>
            <w:vAlign w:val="top"/>
          </w:tcPr>
          <w:p>
            <w:r>
              <w:t>May write execution result and model references after successful commit.</w:t>
            </w:r>
          </w:p>
        </w:tc>
        <w:tc>
          <w:tcPr>
            <w:tcW w:type="dxa" w:w="2498"/>
            <w:vAlign w:val="top"/>
          </w:tcPr>
          <w:p>
            <w:r>
              <w:t>May accept/reject result.</w:t>
            </w:r>
          </w:p>
        </w:tc>
        <w:tc>
          <w:tcPr>
            <w:tcW w:type="dxa" w:w="2498"/>
            <w:vAlign w:val="top"/>
          </w:tcPr>
          <w:p>
            <w:r>
              <w:t>Execution does not equal engineering approval.</w:t>
            </w:r>
          </w:p>
        </w:tc>
      </w:tr>
      <w:tr>
        <w:trPr>
          <w:cantSplit/>
          <w:cantSplit/>
        </w:trPr>
        <w:tc>
          <w:tcPr>
            <w:tcW w:type="dxa" w:w="2498"/>
            <w:vAlign w:val="top"/>
          </w:tcPr>
          <w:p>
            <w:r>
              <w:t>VERIFIED</w:t>
            </w:r>
          </w:p>
        </w:tc>
        <w:tc>
          <w:tcPr>
            <w:tcW w:type="dxa" w:w="2498"/>
            <w:vAlign w:val="top"/>
          </w:tcPr>
          <w:p>
            <w:r>
              <w:t>May write deterministic verification evidence.</w:t>
            </w:r>
          </w:p>
        </w:tc>
        <w:tc>
          <w:tcPr>
            <w:tcW w:type="dxa" w:w="2498"/>
            <w:vAlign w:val="top"/>
          </w:tcPr>
          <w:p>
            <w:r>
              <w:t>May accept final review state where required.</w:t>
            </w:r>
          </w:p>
        </w:tc>
        <w:tc>
          <w:tcPr>
            <w:tcW w:type="dxa" w:w="2498"/>
            <w:vAlign w:val="top"/>
          </w:tcPr>
          <w:p>
            <w:r>
              <w:t>Verification must reference exact model revision, route, and validation checks.</w:t>
            </w:r>
          </w:p>
        </w:tc>
      </w:tr>
      <w:tr>
        <w:trPr>
          <w:cantSplit/>
          <w:cantSplit/>
        </w:trPr>
        <w:tc>
          <w:tcPr>
            <w:tcW w:type="dxa" w:w="2498"/>
            <w:vAlign w:val="top"/>
          </w:tcPr>
          <w:p>
            <w:r>
              <w:t>INVALIDATED / REVIEW</w:t>
            </w:r>
          </w:p>
        </w:tc>
        <w:tc>
          <w:tcPr>
            <w:tcW w:type="dxa" w:w="2498"/>
            <w:vAlign w:val="top"/>
          </w:tcPr>
          <w:p>
            <w:r>
              <w:t>May trigger automatically when dependencies change or validation fails.</w:t>
            </w:r>
          </w:p>
        </w:tc>
        <w:tc>
          <w:tcPr>
            <w:tcW w:type="dxa" w:w="2498"/>
            <w:vAlign w:val="top"/>
          </w:tcPr>
          <w:p>
            <w:r>
              <w:t>Engineer decides disposition.</w:t>
            </w:r>
          </w:p>
        </w:tc>
        <w:tc>
          <w:tcPr>
            <w:tcW w:type="dxa" w:w="2498"/>
            <w:vAlign w:val="top"/>
          </w:tcPr>
          <w:p>
            <w:r>
              <w:t>No silent auto-fix of engineering assumptions.</w:t>
            </w:r>
          </w:p>
        </w:tc>
      </w:tr>
    </w:tbl>
    <w:p>
      <w:pPr>
        <w:pStyle w:val="Heading1"/>
      </w:pPr>
      <w:r>
        <w:t>35. Route Audit Record — Required from First Router Prototype</w:t>
      </w:r>
    </w:p>
    <w:p>
      <w:pPr/>
      <w:r>
        <w:t>Route provenance should not be retrofitted later. From the first Phase 3 router prototype, each selection should emit an auditable record that explains what was considered, what was rejected, what ARPL knowledge influenced ranking, and what authority allowed commit.</w:t>
      </w:r>
    </w:p>
    <w:p>
      <w:pPr>
        <w:pStyle w:val="CodeBlock"/>
      </w:pPr>
      <w:r>
        <w:t>{</w:t>
        <w:br/>
        <w:t xml:space="preserve">  "route_request_id": "C01",</w:t>
        <w:br/>
        <w:t xml:space="preserve">  "contract_revision": "...",</w:t>
        <w:br/>
        <w:t xml:space="preserve">  "model_revision": "...",</w:t>
        <w:br/>
        <w:t xml:space="preserve">  "source_identity": "...",</w:t>
        <w:br/>
        <w:t xml:space="preserve">  "destination_identity": "...",</w:t>
        <w:br/>
        <w:t xml:space="preserve">  "candidate_routes": ["R01", "R02", "R03"],</w:t>
        <w:br/>
        <w:t xml:space="preserve">  "kernel_rejections": {"R01": "capacity", "R02": "clearance"},</w:t>
        <w:br/>
        <w:t xml:space="preserve">  "valid_candidate_scores": {"R03": 0.82},</w:t>
        <w:br/>
        <w:t xml:space="preserve">  "arpl_rules_applied": ["reuse_existing_before_create", "prefer_service_corridor"],</w:t>
        <w:br/>
        <w:t xml:space="preserve">  "arpl_weight_set": "...",</w:t>
        <w:br/>
        <w:t xml:space="preserve">  "selected_route": "R03",</w:t>
        <w:br/>
        <w:t xml:space="preserve">  "selection_explanation": "...",</w:t>
        <w:br/>
        <w:t xml:space="preserve">  "engineering_revalidation": "PASS | REVIEW | FAIL",</w:t>
        <w:br/>
        <w:t xml:space="preserve">  "execution_result": "VERIFIED | FAILED",</w:t>
        <w:br/>
        <w:t xml:space="preserve">  "approver": "..."</w:t>
        <w:br/>
        <w:t>}</w:t>
      </w:r>
    </w:p>
    <w:p>
      <w:pPr>
        <w:pStyle w:val="Heading1"/>
      </w:pPr>
      <w:r>
        <w:t>36. Cable Instance and Ordered Core Semantics</w:t>
      </w:r>
    </w:p>
    <w:p>
      <w:pPr/>
      <w:r>
        <w:t>Before persistent connection records are implemented, the cable schema should preserve cable-level identity and ordered core semantics. A cable is not merely a set of unrelated conductors. The model should be capable of representing core order, phase/function, color/number designation, neutral, protective earth, spares, shields, and project/manufacturer metadata. Revit cable definitions can supply much of the type-level data; the contract/custom layer supplies stable instance identity and core-to-connection assignment where required.</w:t>
      </w:r>
    </w:p>
    <w:p>
      <w:pPr>
        <w:pStyle w:val="CodeBlock"/>
      </w:pPr>
      <w:r>
        <w:t>Cable CBL-017</w:t>
        <w:br/>
        <w:t xml:space="preserve">  type: 5-core</w:t>
        <w:br/>
        <w:t xml:space="preserve">  cores:</w:t>
        <w:br/>
        <w:t xml:space="preserve">    1 -&gt; L1 / brown</w:t>
        <w:br/>
        <w:t xml:space="preserve">    2 -&gt; L2 / black</w:t>
        <w:br/>
        <w:t xml:space="preserve">    3 -&gt; L3 / grey</w:t>
        <w:br/>
        <w:t xml:space="preserve">    4 -&gt; N  / blue</w:t>
        <w:br/>
        <w:t xml:space="preserve">    5 -&gt; PE / green-yellow</w:t>
        <w:br/>
        <w:t xml:space="preserve">  route: ROUTE-R03</w:t>
        <w:br/>
        <w:t xml:space="preserve">  circuit: C01</w:t>
        <w:br/>
        <w:t xml:space="preserve">  status: APPROVED</w:t>
      </w:r>
    </w:p>
    <w:p>
      <w:pPr>
        <w:pStyle w:val="Heading1"/>
      </w:pPr>
      <w:r>
        <w:t>37. V3 Starting Point for ARPL</w:t>
      </w:r>
    </w:p>
    <w:p>
      <w:pPr>
        <w:pStyle w:val="KeyPoint"/>
      </w:pPr>
      <w:r>
        <w:t>This document is the ARPL electrical-routing starting baseline. Future revisions should be driven by measured prototype evidence rather than conceptual expansion. The next artifact is the Phase 0 Connector Identity Stress-Test Specification, followed by the Phase 1 Containment Graph Schema and Validation Specification. Only after those gates pass should ARPL routing heuristics, persistent connection records, and autonomous containment creation be promoted beyond experimental status.</w:t>
      </w:r>
    </w:p>
    <w:p>
      <w:pPr>
        <w:pStyle w:val="Heading1"/>
      </w:pPr>
      <w:r>
        <w:t>Appendix A — Source Areas Consulted During the Thought Experiment</w:t>
      </w:r>
    </w:p>
    <w:p>
      <w:r>
        <w:t>The memo is primarily a synthesis of the discussion and design reasoning. During the exploration, official Autodesk Revit API documentation, Autodesk Revit electrical documentation, EPLAN API/help documentation, and IEC 60364 references were used to verify capabilities and terminology. The detailed URLs can be re-checked during implementation because API surfaces and standards editions change over time.</w:t>
      </w:r>
    </w:p>
    <w:p>
      <w:pPr>
        <w:pStyle w:val="Heading2"/>
      </w:pPr>
      <w:r>
        <w:t>External review inputs</w:t>
      </w:r>
    </w:p>
    <w:p>
      <w:r>
        <w:t>Mistral technical reviews: factual verification of the Revit 2026 electrical direction; critique of connector identity, graph normalization, derating feedback, Excel governance, routing constraints, API performance, ARPL/kernel boundaries, cable-core semantics, write authority, audit schema, and Phase 0/1 pass criteria.</w:t>
      </w:r>
    </w:p>
    <w:p>
      <w:r>
        <w:t>Grok technical reviews: independent confirmation of the narrowed architecture; emphasis on connector persistence, containment occupancy/capacity, linked models as a production prerequisite, strict kernel/ARPL separation, deeper constructability validation, constrained new-containment scope, and prototype-driven development.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ARPL Electrical Routing Research Baseline — Version 3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ARPL · AI-Driven Electrical Planning and Production in Revit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E1E1E"/>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E1E1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E1E1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E1E1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after="120"/>
      <w:ind w:left="288" w:right="288"/>
    </w:pPr>
    <w:rPr>
      <w:rFonts w:ascii="Aptos" w:hAnsi="Aptos"/>
      <w:i/>
      <w:sz w:val="22"/>
    </w:rPr>
  </w:style>
  <w:style w:type="paragraph" w:customStyle="1" w:styleId="CodeBlock">
    <w:name w:val="Code Block"/>
    <w:pPr>
      <w:keepLines/>
      <w:spacing w:before="60" w:after="120"/>
      <w:ind w:left="360" w:right="216"/>
    </w:pPr>
    <w:rPr>
      <w:rFonts w:ascii="Consolas" w:hAnsi="Consolas"/>
      <w:sz w:val="17"/>
    </w:rPr>
  </w:style>
  <w:style w:type="paragraph" w:customStyle="1" w:styleId="KeyPoint">
    <w:name w:val="Key Point"/>
    <w:pPr>
      <w:spacing w:before="100" w:after="140"/>
      <w:ind w:left="216" w:right="216"/>
    </w:pPr>
    <w:rPr>
      <w:rFonts w:ascii="Aptos" w:hAnsi="Aptos"/>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