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Освоение</w:t>
      </w:r>
      <w:r>
        <w:t xml:space="preserve"> </w:t>
      </w:r>
      <w:r>
        <w:t xml:space="preserve">арифметических</w:t>
      </w:r>
      <w:r>
        <w:t xml:space="preserve"> </w:t>
      </w:r>
      <w:r>
        <w:t xml:space="preserve">инструкций</w:t>
      </w:r>
      <w:r>
        <w:t xml:space="preserve"> </w:t>
      </w:r>
      <w:r>
        <w:t xml:space="preserve">языка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Дион</w:t>
      </w:r>
      <w:r>
        <w:t xml:space="preserve"> </w:t>
      </w:r>
      <w:r>
        <w:t xml:space="preserve">Гонссан</w:t>
      </w:r>
      <w:r>
        <w:t xml:space="preserve"> </w:t>
      </w:r>
      <w:r>
        <w:t xml:space="preserve">Седрик</w:t>
      </w:r>
      <w:r>
        <w:t xml:space="preserve"> </w:t>
      </w:r>
      <w:r>
        <w:t xml:space="preserve">Мишел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программ.</w:t>
      </w:r>
    </w:p>
    <w:p>
      <w:pPr>
        <w:numPr>
          <w:ilvl w:val="0"/>
          <w:numId w:val="1001"/>
        </w:numPr>
      </w:pPr>
      <w:r>
        <w:t xml:space="preserve">Напишите программу вычисления выражения в соответсвии с вариантом.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основном наборе инструкций входят разные вариации четырех арифметических действий:</w:t>
      </w:r>
      <w:r>
        <w:t xml:space="preserve"> </w:t>
      </w:r>
      <w:r>
        <w:t xml:space="preserve">сложение, вычитание, умножение, деление. Важно помнить, что в результате арифметических</w:t>
      </w:r>
      <w:r>
        <w:t xml:space="preserve"> </w:t>
      </w:r>
      <w:r>
        <w:t xml:space="preserve">действий меняются некоторые биты регистра флагов, что позволяет выполнять команду условного</w:t>
      </w:r>
      <w:r>
        <w:t xml:space="preserve"> </w:t>
      </w:r>
      <w:r>
        <w:t xml:space="preserve">перехода, т.е. разветвлять программу на основе результат операции. Замечу, что для команд с</w:t>
      </w:r>
      <w:r>
        <w:t xml:space="preserve"> </w:t>
      </w:r>
      <w:r>
        <w:t xml:space="preserve">ложения и вычитания справедливыми являются отмеченное выше для операндов команды mov .</w:t>
      </w:r>
      <w:r>
        <w:t xml:space="preserve"> </w:t>
      </w:r>
      <w:r>
        <w:t xml:space="preserve">К командам сложения можно отнести: add – обычное сложение,</w:t>
      </w:r>
      <w:r>
        <w:t xml:space="preserve"> </w:t>
      </w:r>
      <w:r>
        <w:t xml:space="preserve">adc – сложение с добавлением результату флага переноса в качестве единицы</w:t>
      </w:r>
      <w:r>
        <w:t xml:space="preserve"> </w:t>
      </w:r>
      <w:r>
        <w:t xml:space="preserve">(если флаг равен нулю, то команда эквивалентна команде add ),</w:t>
      </w:r>
      <w:r>
        <w:t xml:space="preserve"> </w:t>
      </w:r>
      <w:r>
        <w:t xml:space="preserve">xadd – сложение, с предварительным обменом данных между операндами,</w:t>
      </w:r>
      <w:r>
        <w:t xml:space="preserve"> </w:t>
      </w:r>
      <w:r>
        <w:t xml:space="preserve">inc – прибавление единицы к содержимому операнда.</w:t>
      </w:r>
      <w:r>
        <w:t xml:space="preserve"> </w:t>
      </w:r>
      <w:r>
        <w:t xml:space="preserve">Несколько примеров: add %rbx , dt (или addq, dt, где четко указано, что складываются</w:t>
      </w:r>
      <w:r>
        <w:t xml:space="preserve"> </w:t>
      </w:r>
      <w:r>
        <w:t xml:space="preserve">64-битовые величины) – к содержимому области памяти dt добавляется содержимое регистра</w:t>
      </w:r>
      <w:r>
        <w:t xml:space="preserve"> </w:t>
      </w:r>
      <w:r>
        <w:t xml:space="preserve">rbx и результат помещается в dt ; adc %rdx , %rdx – удвоение содержимого регистра rdx плюс</w:t>
      </w:r>
      <w:r>
        <w:t xml:space="preserve"> </w:t>
      </w:r>
      <w:r>
        <w:t xml:space="preserve">добавление значения флага переноса; incl ll – увеличение на единицу содержимого памяти по</w:t>
      </w:r>
      <w:r>
        <w:t xml:space="preserve"> </w:t>
      </w:r>
      <w:r>
        <w:t xml:space="preserve">адресу ll. При этом явно указывается, что операнд имеет размер 32 бита (d - dword).</w:t>
      </w:r>
    </w:p>
    <w:p>
      <w:pPr>
        <w:pStyle w:val="BodyText"/>
      </w:pPr>
      <w:r>
        <w:t xml:space="preserve">К командам вычитания можно отнести следующие инструкции процессора x86-64:</w:t>
      </w:r>
      <w:r>
        <w:t xml:space="preserve"> </w:t>
      </w:r>
      <w:r>
        <w:t xml:space="preserve">sub – обычное вычитание,</w:t>
      </w:r>
      <w:r>
        <w:t xml:space="preserve"> </w:t>
      </w:r>
      <w:r>
        <w:t xml:space="preserve">sbb - вычитание из результата флага переноса в качестве единицы</w:t>
      </w:r>
      <w:r>
        <w:t xml:space="preserve"> </w:t>
      </w:r>
      <w:r>
        <w:t xml:space="preserve">(если флаг равен нулю, то команда эквивалентна sub ),</w:t>
      </w:r>
      <w:r>
        <w:t xml:space="preserve"> </w:t>
      </w:r>
      <w:r>
        <w:t xml:space="preserve">dec – вычитание единицы из результата,</w:t>
      </w:r>
      <w:r>
        <w:t xml:space="preserve"> </w:t>
      </w:r>
      <w:r>
        <w:t xml:space="preserve">neg – вычитание значения операнда из 0 .</w:t>
      </w:r>
      <w:r>
        <w:t xml:space="preserve"> </w:t>
      </w:r>
      <w:r>
        <w:t xml:space="preserve">Несколько примеров: sub %rax , ll - из содержимого ll вычитается содержимое регистра</w:t>
      </w:r>
      <w:r>
        <w:t xml:space="preserve"> </w:t>
      </w:r>
      <w:r>
        <w:t xml:space="preserve">rax (или явно subq %rax , ll, где указывается, что операнды имеют 64-размер),</w:t>
      </w:r>
      <w:r>
        <w:t xml:space="preserve"> </w:t>
      </w:r>
      <w:r>
        <w:t xml:space="preserve">и результат помещается в ll; subw go, %ax – вычитание из содержимого ax числа по адресу go,</w:t>
      </w:r>
      <w:r>
        <w:t xml:space="preserve"> </w:t>
      </w:r>
      <w:r>
        <w:t xml:space="preserve">результат помещается в ax ; sbb %rdx , %rax – вычитание с дополнительным вычитанием флага</w:t>
      </w:r>
      <w:r>
        <w:t xml:space="preserve"> </w:t>
      </w:r>
      <w:r>
        <w:t xml:space="preserve">переноса (из числа в rax вычитается число в rdx и результат в rax);</w:t>
      </w:r>
      <w:r>
        <w:t xml:space="preserve"> </w:t>
      </w:r>
      <w:r>
        <w:t xml:space="preserve">decb l – вычитание единицы из байта, расположенного по адресу l . Следует отметить</w:t>
      </w:r>
      <w:r>
        <w:t xml:space="preserve"> </w:t>
      </w:r>
      <w:r>
        <w:t xml:space="preserve">еще специальную команду cmp , которая во всем похожа на команду sub,</w:t>
      </w:r>
      <w:r>
        <w:t xml:space="preserve"> </w:t>
      </w:r>
      <w:r>
        <w:t xml:space="preserve">кроме одного – результат вычитания никуда не помещается. Инструкция используется специально,</w:t>
      </w:r>
      <w:r>
        <w:t xml:space="preserve"> </w:t>
      </w:r>
      <w:r>
        <w:t xml:space="preserve">для сравнения операндов.</w:t>
      </w:r>
    </w:p>
    <w:p>
      <w:pPr>
        <w:pStyle w:val="BodyText"/>
      </w:pPr>
      <w:r>
        <w:t xml:space="preserve">Две основные команды умножения: mul – умножение беззнаковых чисел,</w:t>
      </w:r>
      <w:r>
        <w:t xml:space="preserve"> </w:t>
      </w:r>
      <w:r>
        <w:t xml:space="preserve">imul – умножение знаковых чисел. Команда содержит один операнд – регистр или адрес памяти.</w:t>
      </w:r>
      <w:r>
        <w:t xml:space="preserve"> </w:t>
      </w:r>
      <w:r>
        <w:t xml:space="preserve">В зависимости от размера операнда данные помещаются: в ax , dx : ax , edx : eax , rdx : rax .</w:t>
      </w:r>
      <w:r>
        <w:t xml:space="preserve"> </w:t>
      </w:r>
      <w:r>
        <w:t xml:space="preserve">Например: mull ll – содержимое памяти с адресом ll будет умножено на содержимое eax</w:t>
      </w:r>
      <w:r>
        <w:t xml:space="preserve"> </w:t>
      </w:r>
      <w:r>
        <w:t xml:space="preserve">(не забываем о суффиксе l), а результат отправлен в пару регистров edx : eax;</w:t>
      </w:r>
      <w:r>
        <w:t xml:space="preserve"> </w:t>
      </w:r>
      <w:r>
        <w:t xml:space="preserve">mul %dl – умножить содержимое регистра dl на содержимое регистра al ,</w:t>
      </w:r>
      <w:r>
        <w:t xml:space="preserve"> </w:t>
      </w:r>
      <w:r>
        <w:t xml:space="preserve">а результат положить в ax ; mul %r8 – умножить содержимое регистра r8 на содержимое регистра</w:t>
      </w:r>
      <w:r>
        <w:t xml:space="preserve"> </w:t>
      </w:r>
      <w:r>
        <w:t xml:space="preserve">rax , а результат положить в пару регистров rdx : rax.</w:t>
      </w:r>
    </w:p>
    <w:p>
      <w:pPr>
        <w:pStyle w:val="BodyText"/>
      </w:pPr>
      <w:r>
        <w:t xml:space="preserve">Для деления (целого) также предусмотрены две команды: div – беззнаковое деление,</w:t>
      </w:r>
      <w:r>
        <w:t xml:space="preserve"> </w:t>
      </w:r>
      <w:r>
        <w:t xml:space="preserve">idiv – знаковое деление. Инструкция также имеет один операнд - делитель.</w:t>
      </w:r>
      <w:r>
        <w:t xml:space="preserve"> </w:t>
      </w:r>
      <w:r>
        <w:t xml:space="preserve">В зависимости от его размера результат помещается: al – результат деления,</w:t>
      </w:r>
      <w:r>
        <w:t xml:space="preserve"> </w:t>
      </w:r>
      <w:r>
        <w:t xml:space="preserve">ah – остаток от деления; ax – результат деления, dx – остаток от деления;</w:t>
      </w:r>
      <w:r>
        <w:t xml:space="preserve"> </w:t>
      </w:r>
      <w:r>
        <w:t xml:space="preserve">eax – результат деления, edx – остаток от деления; rax – результат деления,</w:t>
      </w:r>
      <w:r>
        <w:t xml:space="preserve"> </w:t>
      </w:r>
      <w:r>
        <w:t xml:space="preserve">rdx – остаток от деления. Приведем примеры: divl dv – содержимое edx : eax делится на делитель,</w:t>
      </w:r>
      <w:r>
        <w:t xml:space="preserve"> </w:t>
      </w:r>
      <w:r>
        <w:t xml:space="preserve">находящийся в памяти по адресу dv и результат деления помещается в eax , остаток в edx ;</w:t>
      </w:r>
      <w:r>
        <w:t xml:space="preserve"> </w:t>
      </w:r>
      <w:r>
        <w:t xml:space="preserve">div %rsi – содержимое rdx : rax делится на содержимое rsi , результат помещается в rax ,</w:t>
      </w:r>
      <w:r>
        <w:t xml:space="preserve"> </w:t>
      </w:r>
      <w:r>
        <w:t xml:space="preserve">остаток в rdx .</w:t>
      </w:r>
    </w:p>
    <w:bookmarkEnd w:id="22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Создайте каталог для программам лабораторной работы № 6, перейдите в него и создайте файл lab7-1.asm:</w:t>
      </w:r>
    </w:p>
    <w:p>
      <w:pPr>
        <w:numPr>
          <w:ilvl w:val="0"/>
          <w:numId w:val="1002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 (рис. 1, 2)</w:t>
      </w:r>
    </w:p>
    <w:p>
      <w:pPr>
        <w:pStyle w:val="CaptionedFigure"/>
      </w:pPr>
      <w:bookmarkStart w:id="26" w:name="fig:001"/>
      <w:r>
        <w:drawing>
          <wp:inline>
            <wp:extent cx="5334000" cy="4579775"/>
            <wp:effectExtent b="0" l="0" r="0" t="0"/>
            <wp:docPr descr="Рис. 1: Пример программ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9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Пример программы</w:t>
      </w:r>
    </w:p>
    <w:p>
      <w:pPr>
        <w:pStyle w:val="CaptionedFigure"/>
      </w:pPr>
      <w:bookmarkStart w:id="30" w:name="fig:002"/>
      <w:r>
        <w:drawing>
          <wp:inline>
            <wp:extent cx="5334000" cy="3919681"/>
            <wp:effectExtent b="0" l="0" r="0" t="0"/>
            <wp:docPr descr="Рис. 2: Работа программы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9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</w:t>
      </w:r>
    </w:p>
    <w:p>
      <w:pPr>
        <w:numPr>
          <w:ilvl w:val="0"/>
          <w:numId w:val="1003"/>
        </w:numPr>
        <w:pStyle w:val="Compact"/>
      </w:pPr>
      <w:r>
        <w:t xml:space="preserve">Далее изменим текст программы и вместо символов, запишем в регистры числа.</w:t>
      </w:r>
      <w:r>
        <w:t xml:space="preserve"> </w:t>
      </w:r>
      <w:r>
        <w:t xml:space="preserve">Исправьте текст программы (Листинг 1) следующим образом: (рис. 3, 4)</w:t>
      </w:r>
    </w:p>
    <w:p>
      <w:pPr>
        <w:pStyle w:val="CaptionedFigure"/>
      </w:pPr>
      <w:bookmarkStart w:id="34" w:name="fig:003"/>
      <w:r>
        <w:drawing>
          <wp:inline>
            <wp:extent cx="5334000" cy="2783717"/>
            <wp:effectExtent b="0" l="0" r="0" t="0"/>
            <wp:docPr descr="Рис. 3: Пример программы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3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Пример программы</w:t>
      </w:r>
    </w:p>
    <w:p>
      <w:pPr>
        <w:pStyle w:val="CaptionedFigure"/>
      </w:pPr>
      <w:bookmarkStart w:id="38" w:name="fig:004"/>
      <w:r>
        <w:drawing>
          <wp:inline>
            <wp:extent cx="5334000" cy="806302"/>
            <wp:effectExtent b="0" l="0" r="0" t="0"/>
            <wp:docPr descr="Рис. 4: Работа программы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6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</w:t>
      </w:r>
    </w:p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4"/>
        </w:numPr>
        <w:pStyle w:val="Compact"/>
      </w:pPr>
      <w:r>
        <w:t xml:space="preserve">Как отмечалось выше,для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Преобразуем текст программы из Листинга 7.1 с использованием этих функций. (рис. 5, 6)</w:t>
      </w:r>
    </w:p>
    <w:p>
      <w:pPr>
        <w:pStyle w:val="CaptionedFigure"/>
      </w:pPr>
      <w:bookmarkStart w:id="42" w:name="fig:005"/>
      <w:r>
        <w:drawing>
          <wp:inline>
            <wp:extent cx="5334000" cy="2974074"/>
            <wp:effectExtent b="0" l="0" r="0" t="0"/>
            <wp:docPr descr="Рис. 5: Пример программы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4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Пример программы</w:t>
      </w:r>
    </w:p>
    <w:p>
      <w:pPr>
        <w:pStyle w:val="CaptionedFigure"/>
      </w:pPr>
      <w:bookmarkStart w:id="46" w:name="fig:006"/>
      <w:r>
        <w:drawing>
          <wp:inline>
            <wp:extent cx="5334000" cy="881417"/>
            <wp:effectExtent b="0" l="0" r="0" t="0"/>
            <wp:docPr descr="Рис. 6: Работа программы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1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программы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программы из листинга 7.1,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5"/>
        </w:numPr>
        <w:pStyle w:val="Compact"/>
      </w:pPr>
      <w:r>
        <w:t xml:space="preserve">Аналогично предыдущему примеру изменим символы на числа. (рис. 7, 8)</w:t>
      </w:r>
    </w:p>
    <w:p>
      <w:pPr>
        <w:pStyle w:val="FirstParagraph"/>
      </w:pPr>
      <w:r>
        <w:t xml:space="preserve">Создайте исполняемый файл и запустите его.</w:t>
      </w:r>
      <w:r>
        <w:t xml:space="preserve"> </w:t>
      </w:r>
      <w:r>
        <w:t xml:space="preserve">Какой результат будет получен при исполнении программы? – получили число 10</w:t>
      </w:r>
    </w:p>
    <w:p>
      <w:pPr>
        <w:pStyle w:val="CaptionedFigure"/>
      </w:pPr>
      <w:bookmarkStart w:id="50" w:name="fig:007"/>
      <w:r>
        <w:drawing>
          <wp:inline>
            <wp:extent cx="5334000" cy="3211512"/>
            <wp:effectExtent b="0" l="0" r="0" t="0"/>
            <wp:docPr descr="Рис. 7: Пример программы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1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Пример программы</w:t>
      </w:r>
    </w:p>
    <w:p>
      <w:pPr>
        <w:pStyle w:val="CaptionedFigure"/>
      </w:pPr>
      <w:bookmarkStart w:id="54" w:name="fig:008"/>
      <w:r>
        <w:drawing>
          <wp:inline>
            <wp:extent cx="5334000" cy="583229"/>
            <wp:effectExtent b="0" l="0" r="0" t="0"/>
            <wp:docPr descr="Рис. 8: Работа программы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3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Работа программы</w:t>
      </w:r>
    </w:p>
    <w:p>
      <w:pPr>
        <w:pStyle w:val="BodyText"/>
      </w:pPr>
      <w:r>
        <w:t xml:space="preserve">Замените функцию iprintLF на iprint. Создайте исполняемый файл и запустите его.</w:t>
      </w:r>
      <w:r>
        <w:t xml:space="preserve"> </w:t>
      </w:r>
      <w:r>
        <w:t xml:space="preserve">Чем отличается вывод функций iprintLF и iprint? - Вывод отличается что нет переноса строки. (рис. 9)</w:t>
      </w:r>
    </w:p>
    <w:p>
      <w:pPr>
        <w:pStyle w:val="BodyText"/>
      </w:pPr>
      <w:bookmarkStart w:id="55" w:name="fig:009"/>
      <w:r>
        <w:t xml:space="preserve">Рис. 9: Работа программы</w:t>
      </w:r>
      <w:bookmarkEnd w:id="55"/>
    </w:p>
    <w:p>
      <w:pPr>
        <w:numPr>
          <w:ilvl w:val="0"/>
          <w:numId w:val="1006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∗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 (рис. 10, рис. 11)</w:t>
      </w:r>
    </w:p>
    <w:p>
      <w:pPr>
        <w:pStyle w:val="FirstParagraph"/>
      </w:pPr>
      <w:bookmarkStart w:id="56" w:name="fig:010"/>
      <w:r>
        <w:t xml:space="preserve">Рис. 10: Пример программы</w:t>
      </w:r>
      <w:bookmarkEnd w:id="56"/>
    </w:p>
    <w:p>
      <w:pPr>
        <w:pStyle w:val="CaptionedFigure"/>
      </w:pPr>
      <w:bookmarkStart w:id="60" w:name="fig:011"/>
      <w:r>
        <w:drawing>
          <wp:inline>
            <wp:extent cx="5334000" cy="1169332"/>
            <wp:effectExtent b="0" l="0" r="0" t="0"/>
            <wp:docPr descr="Рис. 11: Работа программы" title="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9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11: Работа программы</w:t>
      </w:r>
    </w:p>
    <w:p>
      <w:pPr>
        <w:pStyle w:val="BodyText"/>
      </w:pPr>
      <w:r>
        <w:t xml:space="preserve">Измените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Создайте исполняемый файл и проверьте его работу. (рис. 12, рис. 13)</w:t>
      </w:r>
    </w:p>
    <w:p>
      <w:pPr>
        <w:pStyle w:val="CaptionedFigure"/>
      </w:pPr>
      <w:bookmarkStart w:id="64" w:name="fig:012"/>
      <w:r>
        <w:drawing>
          <wp:inline>
            <wp:extent cx="5334000" cy="6036560"/>
            <wp:effectExtent b="0" l="0" r="0" t="0"/>
            <wp:docPr descr="Рис. 12: Пример программы" title="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36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12: Пример программы</w:t>
      </w:r>
    </w:p>
    <w:p>
      <w:pPr>
        <w:pStyle w:val="CaptionedFigure"/>
      </w:pPr>
      <w:bookmarkStart w:id="68" w:name="fig:013"/>
      <w:r>
        <w:drawing>
          <wp:inline>
            <wp:extent cx="5334000" cy="904178"/>
            <wp:effectExtent b="0" l="0" r="0" t="0"/>
            <wp:docPr descr="Рис. 13: Работа программы" title="" id="66" name="Picture"/>
            <a:graphic>
              <a:graphicData uri="http://schemas.openxmlformats.org/drawingml/2006/picture">
                <pic:pic>
                  <pic:nvPicPr>
                    <pic:cNvPr descr="image/1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4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13: Работа программы</w:t>
      </w:r>
    </w:p>
    <w:p>
      <w:pPr>
        <w:numPr>
          <w:ilvl w:val="0"/>
          <w:numId w:val="1007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билета, работающую по следующему алгоритму: (рис. 14, рис. 15)</w:t>
      </w:r>
    </w:p>
    <w:p>
      <w:pPr>
        <w:pStyle w:val="CaptionedFigure"/>
      </w:pPr>
      <w:bookmarkStart w:id="72" w:name="fig:014"/>
      <w:r>
        <w:drawing>
          <wp:inline>
            <wp:extent cx="5334000" cy="4694801"/>
            <wp:effectExtent b="0" l="0" r="0" t="0"/>
            <wp:docPr descr="Рис. 14: Пример программы" title="" id="70" name="Picture"/>
            <a:graphic>
              <a:graphicData uri="http://schemas.openxmlformats.org/drawingml/2006/picture">
                <pic:pic>
                  <pic:nvPicPr>
                    <pic:cNvPr descr="image/14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4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14: Пример программы</w:t>
      </w:r>
    </w:p>
    <w:p>
      <w:pPr>
        <w:pStyle w:val="CaptionedFigure"/>
      </w:pPr>
      <w:bookmarkStart w:id="76" w:name="fig:015"/>
      <w:r>
        <w:drawing>
          <wp:inline>
            <wp:extent cx="5334000" cy="3980234"/>
            <wp:effectExtent b="0" l="0" r="0" t="0"/>
            <wp:docPr descr="Рис. 15: Работа программы" title="" id="74" name="Picture"/>
            <a:graphic>
              <a:graphicData uri="http://schemas.openxmlformats.org/drawingml/2006/picture">
                <pic:pic>
                  <pic:nvPicPr>
                    <pic:cNvPr descr="image/15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0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15: Работа программы</w:t>
      </w:r>
    </w:p>
    <w:p>
      <w:pPr>
        <w:numPr>
          <w:ilvl w:val="0"/>
          <w:numId w:val="1008"/>
        </w:numPr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 – 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call sprint – вызов подпрограммы вывода строки</w:t>
      </w:r>
    </w:p>
    <w:p>
      <w:pPr>
        <w:numPr>
          <w:ilvl w:val="0"/>
          <w:numId w:val="1008"/>
        </w:numPr>
      </w:pPr>
      <w:r>
        <w:t xml:space="preserve">Для чего используется следующие инструкции?</w:t>
      </w:r>
      <w:r>
        <w:t xml:space="preserve"> </w:t>
      </w:r>
      <w:r>
        <w:rPr>
          <w:rStyle w:val="VerbatimChar"/>
        </w:rPr>
        <w:t xml:space="preserve">nasm  mov ecx, x  mov edx, 80  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 - эта подпрограмма переводит введенные символы в числовой формат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вычисления варианта?</w:t>
      </w:r>
      <w:r>
        <w:t xml:space="preserve"> </w:t>
      </w:r>
      <w:r>
        <w:rPr>
          <w:rStyle w:val="VerbatimChar"/>
        </w:rPr>
        <w:t xml:space="preserve">xor edx,edx mov ebx,20 div ebx</w:t>
      </w:r>
    </w:p>
    <w:p>
      <w:pPr>
        <w:numPr>
          <w:ilvl w:val="0"/>
          <w:numId w:val="1009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rPr>
          <w:rStyle w:val="VerbatimChar"/>
        </w:rPr>
        <w:t xml:space="preserve">1 байт AH  2 байта DX  4 байта EDX – наш случай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 по формуле вычисления варианта нужно прибавить единицу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вывод на экран результата вычислений</w:t>
      </w:r>
      <w:r>
        <w:t xml:space="preserve"> </w:t>
      </w:r>
      <w:r>
        <w:t xml:space="preserve">mov eax,edx – результат перекладывается в регистр eax</w:t>
      </w:r>
      <w:r>
        <w:t xml:space="preserve"> </w:t>
      </w:r>
      <w:r>
        <w:t xml:space="preserve">call iprintLF – вызов подпрограммы вывода</w:t>
      </w:r>
    </w:p>
    <w:p>
      <w:pPr>
        <w:numPr>
          <w:ilvl w:val="0"/>
          <w:numId w:val="1010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 (рис. 16, рис. 17)</w:t>
      </w:r>
    </w:p>
    <w:p>
      <w:pPr>
        <w:pStyle w:val="FirstParagraph"/>
      </w:pPr>
      <w:r>
        <w:t xml:space="preserve">Получили вариант 15 -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+</m:t>
              </m:r>
              <m:r>
                <m:t>𝑥</m:t>
              </m:r>
            </m:e>
          </m:d>
          <m:r>
            <m:t>2</m:t>
          </m:r>
          <m:r>
            <m:rPr>
              <m:sty m:val="p"/>
            </m:rPr>
            <m:t>−</m:t>
          </m:r>
          <m:r>
            <m:t>3</m:t>
          </m:r>
        </m:oMath>
      </m:oMathPara>
    </w:p>
    <w:p>
      <w:pPr>
        <w:pStyle w:val="FirstParagraph"/>
      </w:pPr>
      <w:r>
        <w:t xml:space="preserve">для х=5 и 1</w:t>
      </w:r>
    </w:p>
    <w:p>
      <w:pPr>
        <w:pStyle w:val="CaptionedFigure"/>
      </w:pPr>
      <w:bookmarkStart w:id="80" w:name="fig:016"/>
      <w:r>
        <w:drawing>
          <wp:inline>
            <wp:extent cx="5334000" cy="5766699"/>
            <wp:effectExtent b="0" l="0" r="0" t="0"/>
            <wp:docPr descr="Рис. 16: Пример программы" title="" id="78" name="Picture"/>
            <a:graphic>
              <a:graphicData uri="http://schemas.openxmlformats.org/drawingml/2006/picture">
                <pic:pic>
                  <pic:nvPicPr>
                    <pic:cNvPr descr="image/16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66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16: Пример программы</w:t>
      </w:r>
    </w:p>
    <w:p>
      <w:pPr>
        <w:pStyle w:val="CaptionedFigure"/>
      </w:pPr>
      <w:bookmarkStart w:id="84" w:name="fig:017"/>
      <w:r>
        <w:drawing>
          <wp:inline>
            <wp:extent cx="5334000" cy="1059591"/>
            <wp:effectExtent b="0" l="0" r="0" t="0"/>
            <wp:docPr descr="Рис. 17: Работа программы" title="" id="82" name="Picture"/>
            <a:graphic>
              <a:graphicData uri="http://schemas.openxmlformats.org/drawingml/2006/picture">
                <pic:pic>
                  <pic:nvPicPr>
                    <pic:cNvPr descr="image/17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9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17: Работа программы</w:t>
      </w:r>
    </w:p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</w:t>
      </w:r>
    </w:p>
    <w:bookmarkEnd w:id="86"/>
    <w:bookmarkStart w:id="8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87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11"/>
        </w:numPr>
        <w:pStyle w:val="Compact"/>
      </w:pPr>
      <w:hyperlink r:id="rId88">
        <w:r>
          <w:rPr>
            <w:rStyle w:val="Hyperlink"/>
          </w:rPr>
          <w:t xml:space="preserve">MASM, TASM, FASM, NASM под Windows и Linux</w:t>
        </w:r>
      </w:hyperlink>
    </w:p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1"/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hyperlink" Id="rId88" Target="https://habr.com/ru/post/326078/" TargetMode="External" /><Relationship Type="http://schemas.openxmlformats.org/officeDocument/2006/relationships/hyperlink" Id="rId87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8" Target="https://habr.com/ru/post/326078/" TargetMode="External" /><Relationship Type="http://schemas.openxmlformats.org/officeDocument/2006/relationships/hyperlink" Id="rId87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7</dc:title>
  <dc:creator>Дион Гонссан Седрик Мишел</dc:creator>
  <dc:language>ru-RU</dc:language>
  <cp:keywords/>
  <dcterms:created xsi:type="dcterms:W3CDTF">2022-12-15T20:43:02Z</dcterms:created>
  <dcterms:modified xsi:type="dcterms:W3CDTF">2022-12-15T20:43:02Z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Освоение арифметических инструкций языка ассемблера NASM.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