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8" w:name="fig:002"/>
      <w:r>
        <w:drawing>
          <wp:inline>
            <wp:extent cx="5334000" cy="243037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rsa-4096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44" w:name="fig:006"/>
      <w:r>
        <w:drawing>
          <wp:inline>
            <wp:extent cx="5334000" cy="245495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48" w:name="fig:007"/>
      <w:r>
        <w:drawing>
          <wp:inline>
            <wp:extent cx="5334000" cy="256582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52" w:name="fig:008"/>
      <w:r>
        <w:drawing>
          <wp:inline>
            <wp:extent cx="5334000" cy="157802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56" w:name="fig:009"/>
      <w:r>
        <w:drawing>
          <wp:inline>
            <wp:extent cx="5334000" cy="401556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60" w:name="fig:010"/>
      <w:r>
        <w:drawing>
          <wp:inline>
            <wp:extent cx="5334000" cy="355846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Первый коммит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№2.</dc:title>
  <dc:creator>ДИОН ГОНССАН СЕДРИК МИШЕЛ</dc:creator>
  <dc:language>ru-RU</dc:language>
  <cp:keywords/>
  <dcterms:created xsi:type="dcterms:W3CDTF">2023-02-25T12:34:18Z</dcterms:created>
  <dcterms:modified xsi:type="dcterms:W3CDTF">2023-02-25T12:34:18Z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