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rPr>
        <w:t xml:space="preserve">NICU Assistant</w:t>
      </w:r>
    </w:p>
    <w:p>
      <w:pPr>
        <w:spacing w:after="120"/>
        <w:jc w:val="center"/>
      </w:pPr>
      <w:r>
        <w:rPr>
          <w:rFonts w:ascii="Arial" w:cs="Arial" w:eastAsia="Arial" w:hAnsi="Arial"/>
          <w:color w:val="2C5282"/>
          <w:sz w:val="28"/>
          <w:szCs w:val="28"/>
        </w:rPr>
        <w:t xml:space="preserve">Market Strategy, Pricing &amp; Competition Analysis</w:t>
      </w:r>
    </w:p>
    <w:p>
      <w:pPr>
        <w:spacing w:after="600"/>
        <w:jc w:val="center"/>
      </w:pPr>
      <w:r>
        <w:rPr>
          <w:rFonts w:ascii="Arial" w:cs="Arial" w:eastAsia="Arial" w:hAnsi="Arial"/>
          <w:i/>
          <w:iCs/>
          <w:color w:val="4A5568"/>
          <w:sz w:val="24"/>
          <w:szCs w:val="24"/>
        </w:rPr>
        <w:t xml:space="preserve">April 2026</w:t>
      </w:r>
    </w:p>
    <w:p>
      <w:pPr>
        <w:pStyle w:val="Heading1"/>
      </w:pPr>
      <w:r>
        <w:t xml:space="preserve">Competitive Landscape</w:t>
      </w:r>
    </w:p>
    <w:p>
      <w:pPr>
        <w:pStyle w:val="Heading2"/>
      </w:pPr>
      <w:r>
        <w:t xml:space="preserve">Direct Competitors (NICU-specific calculators)</w:t>
      </w:r>
    </w:p>
    <w:p>
      <w:pPr>
        <w:pStyle w:val="ListParagraph"/>
        <w:numPr>
          <w:ilvl w:val="0"/>
          <w:numId w:val="2"/>
        </w:numPr>
        <w:spacing w:after="80"/>
      </w:pPr>
      <w:r>
        <w:rPr>
          <w:rFonts w:ascii="Arial" w:cs="Arial" w:eastAsia="Arial" w:hAnsi="Arial"/>
          <w:b/>
          <w:bCs/>
          <w:sz w:val="22"/>
          <w:szCs w:val="22"/>
        </w:rPr>
        <w:t xml:space="preserve">NeoMedCalc / NeoTools —</w:t>
      </w:r>
      <w:r>
        <w:rPr>
          <w:rFonts w:ascii="Arial" w:cs="Arial" w:eastAsia="Arial" w:hAnsi="Arial"/>
          <w:sz w:val="22"/>
          <w:szCs w:val="22"/>
        </w:rPr>
        <w:t xml:space="preserve"> Free NICU calculator apps on iOS/Android. Cover a wider range of tools (ETT sizing, fluid management, bilirubin) but typically have dated UIs, no offline reliability, and no formula recipe support.</w:t>
      </w:r>
    </w:p>
    <w:p>
      <w:pPr>
        <w:pStyle w:val="ListParagraph"/>
        <w:numPr>
          <w:ilvl w:val="0"/>
          <w:numId w:val="2"/>
        </w:numPr>
        <w:spacing w:after="80"/>
      </w:pPr>
      <w:r>
        <w:rPr>
          <w:rFonts w:ascii="Arial" w:cs="Arial" w:eastAsia="Arial" w:hAnsi="Arial"/>
          <w:b/>
          <w:bCs/>
          <w:sz w:val="22"/>
          <w:szCs w:val="22"/>
        </w:rPr>
        <w:t xml:space="preserve">PediCalc / Pedi STAT —</w:t>
      </w:r>
      <w:r>
        <w:rPr>
          <w:rFonts w:ascii="Arial" w:cs="Arial" w:eastAsia="Arial" w:hAnsi="Arial"/>
          <w:sz w:val="22"/>
          <w:szCs w:val="22"/>
        </w:rPr>
        <w:t xml:space="preserve"> Broader pediatric dosing tools. Cover weight-based dosing but lack specialized morphine weaning protocols and formula recipe precision.</w:t>
      </w:r>
    </w:p>
    <w:p>
      <w:pPr>
        <w:pStyle w:val="ListParagraph"/>
        <w:numPr>
          <w:ilvl w:val="0"/>
          <w:numId w:val="2"/>
        </w:numPr>
        <w:spacing w:after="80"/>
      </w:pPr>
      <w:r>
        <w:rPr>
          <w:rFonts w:ascii="Arial" w:cs="Arial" w:eastAsia="Arial" w:hAnsi="Arial"/>
          <w:b/>
          <w:bCs/>
          <w:sz w:val="22"/>
          <w:szCs w:val="22"/>
        </w:rPr>
        <w:t xml:space="preserve">MedCalc / MDCalc —</w:t>
      </w:r>
      <w:r>
        <w:rPr>
          <w:rFonts w:ascii="Arial" w:cs="Arial" w:eastAsia="Arial" w:hAnsi="Arial"/>
          <w:sz w:val="22"/>
          <w:szCs w:val="22"/>
        </w:rPr>
        <w:t xml:space="preserve"> General medical calculators. No NICU-specific weaning schedules or formula recipes.</w:t>
      </w:r>
    </w:p>
    <w:p>
      <w:pPr>
        <w:pStyle w:val="ListParagraph"/>
        <w:numPr>
          <w:ilvl w:val="0"/>
          <w:numId w:val="2"/>
        </w:numPr>
        <w:spacing w:after="80"/>
      </w:pPr>
      <w:r>
        <w:rPr>
          <w:rFonts w:ascii="Arial" w:cs="Arial" w:eastAsia="Arial" w:hAnsi="Arial"/>
          <w:b/>
          <w:bCs/>
          <w:sz w:val="22"/>
          <w:szCs w:val="22"/>
        </w:rPr>
        <w:t xml:space="preserve">Hospital-specific Excel spreadsheets —</w:t>
      </w:r>
      <w:r>
        <w:rPr>
          <w:rFonts w:ascii="Arial" w:cs="Arial" w:eastAsia="Arial" w:hAnsi="Arial"/>
          <w:sz w:val="22"/>
          <w:szCs w:val="22"/>
        </w:rPr>
        <w:t xml:space="preserve"> The most common “competitor.” Many NICUs use internally-shared Excel files. These are brittle, non-mobile, and error-prone.</w:t>
      </w:r>
    </w:p>
    <w:p>
      <w:pPr>
        <w:pStyle w:val="Heading2"/>
      </w:pPr>
      <w:r>
        <w:t xml:space="preserve">Key Differentiators</w:t>
      </w:r>
    </w:p>
    <w:p>
      <w:pPr>
        <w:pStyle w:val="ListParagraph"/>
        <w:numPr>
          <w:ilvl w:val="0"/>
          <w:numId w:val="3"/>
        </w:numPr>
        <w:spacing w:after="80"/>
      </w:pPr>
      <w:r>
        <w:rPr>
          <w:rFonts w:ascii="Arial" w:cs="Arial" w:eastAsia="Arial" w:hAnsi="Arial"/>
          <w:b/>
          <w:bCs/>
          <w:sz w:val="22"/>
          <w:szCs w:val="22"/>
        </w:rPr>
        <w:t xml:space="preserve">Formula recipe calculator with 32 brands</w:t>
      </w:r>
      <w:r>
        <w:rPr>
          <w:rFonts w:ascii="Arial" w:cs="Arial" w:eastAsia="Arial" w:hAnsi="Arial"/>
          <w:sz w:val="22"/>
          <w:szCs w:val="22"/>
        </w:rPr>
        <w:t xml:space="preserve"> — unmatched depth of formula brand coverage with displacement factors</w:t>
      </w:r>
    </w:p>
    <w:p>
      <w:pPr>
        <w:pStyle w:val="ListParagraph"/>
        <w:numPr>
          <w:ilvl w:val="0"/>
          <w:numId w:val="3"/>
        </w:numPr>
        <w:spacing w:after="80"/>
      </w:pPr>
      <w:r>
        <w:rPr>
          <w:rFonts w:ascii="Arial" w:cs="Arial" w:eastAsia="Arial" w:hAnsi="Arial"/>
          <w:b/>
          <w:bCs/>
          <w:sz w:val="22"/>
          <w:szCs w:val="22"/>
        </w:rPr>
        <w:t xml:space="preserve">Two-mode morphine weaning (linear + compounding)</w:t>
      </w:r>
      <w:r>
        <w:rPr>
          <w:rFonts w:ascii="Arial" w:cs="Arial" w:eastAsia="Arial" w:hAnsi="Arial"/>
          <w:sz w:val="22"/>
          <w:szCs w:val="22"/>
        </w:rPr>
        <w:t xml:space="preserve"> — most tools offer only one approach</w:t>
      </w:r>
    </w:p>
    <w:p>
      <w:pPr>
        <w:pStyle w:val="ListParagraph"/>
        <w:numPr>
          <w:ilvl w:val="0"/>
          <w:numId w:val="3"/>
        </w:numPr>
        <w:spacing w:after="80"/>
      </w:pPr>
      <w:r>
        <w:rPr>
          <w:rFonts w:ascii="Arial" w:cs="Arial" w:eastAsia="Arial" w:hAnsi="Arial"/>
          <w:b/>
          <w:bCs/>
          <w:sz w:val="22"/>
          <w:szCs w:val="22"/>
        </w:rPr>
        <w:t xml:space="preserve">True offline PWA</w:t>
      </w:r>
      <w:r>
        <w:rPr>
          <w:rFonts w:ascii="Arial" w:cs="Arial" w:eastAsia="Arial" w:hAnsi="Arial"/>
          <w:sz w:val="22"/>
          <w:szCs w:val="22"/>
        </w:rPr>
        <w:t xml:space="preserve"> — works without network, installable, no app store friction</w:t>
      </w:r>
    </w:p>
    <w:p>
      <w:pPr>
        <w:pStyle w:val="ListParagraph"/>
        <w:numPr>
          <w:ilvl w:val="0"/>
          <w:numId w:val="3"/>
        </w:numPr>
        <w:spacing w:after="80"/>
      </w:pPr>
      <w:r>
        <w:rPr>
          <w:rFonts w:ascii="Arial" w:cs="Arial" w:eastAsia="Arial" w:hAnsi="Arial"/>
          <w:b/>
          <w:bCs/>
          <w:sz w:val="22"/>
          <w:szCs w:val="22"/>
        </w:rPr>
        <w:t xml:space="preserve">Modern, accessible UI</w:t>
      </w:r>
      <w:r>
        <w:rPr>
          <w:rFonts w:ascii="Arial" w:cs="Arial" w:eastAsia="Arial" w:hAnsi="Arial"/>
          <w:sz w:val="22"/>
          <w:szCs w:val="22"/>
        </w:rPr>
        <w:t xml:space="preserve"> — the clinical tool space is full of ugly, inaccessible apps</w:t>
      </w:r>
    </w:p>
    <w:p>
      <w:pPr>
        <w:pStyle w:val="ListParagraph"/>
        <w:numPr>
          <w:ilvl w:val="0"/>
          <w:numId w:val="3"/>
        </w:numPr>
        <w:spacing w:after="80"/>
      </w:pPr>
      <w:r>
        <w:rPr>
          <w:rFonts w:ascii="Arial" w:cs="Arial" w:eastAsia="Arial" w:hAnsi="Arial"/>
          <w:b/>
          <w:bCs/>
          <w:sz w:val="22"/>
          <w:szCs w:val="22"/>
        </w:rPr>
        <w:t xml:space="preserve">Open audit trail</w:t>
      </w:r>
      <w:r>
        <w:rPr>
          <w:rFonts w:ascii="Arial" w:cs="Arial" w:eastAsia="Arial" w:hAnsi="Arial"/>
          <w:sz w:val="22"/>
          <w:szCs w:val="22"/>
        </w:rPr>
        <w:t xml:space="preserve"> — pure functions, testable, transparent calculations</w:t>
      </w:r>
    </w:p>
    <w:p>
      <w:pPr>
        <w:pStyle w:val="Heading1"/>
      </w:pPr>
      <w:r>
        <w:t xml:space="preserve">Recommended Pricing Model</w:t>
      </w:r>
    </w:p>
    <w:p>
      <w:pPr>
        <w:spacing w:after="200"/>
      </w:pPr>
      <w:r>
        <w:rPr>
          <w:rFonts w:ascii="Arial" w:cs="Arial" w:eastAsia="Arial" w:hAnsi="Arial"/>
          <w:b/>
          <w:bCs/>
          <w:color w:val="1B3A5C"/>
          <w:sz w:val="24"/>
          <w:szCs w:val="24"/>
        </w:rPr>
        <w:t xml:space="preserve">Free, with institutional licensing for customization.</w:t>
      </w:r>
    </w:p>
    <w:p>
      <w:pPr>
        <w:spacing w:after="200"/>
      </w:pPr>
      <w:r>
        <w:rPr>
          <w:rFonts w:ascii="Arial" w:cs="Arial" w:eastAsia="Arial" w:hAnsi="Arial"/>
          <w:color w:val="2D3748"/>
          <w:sz w:val="22"/>
          <w:szCs w:val="22"/>
        </w:rPr>
        <w:t xml:space="preserve">Clinicians won’t pay individually for point-of-care tools when free alternatives exist (even inferior ones). The decision-maker is rarely the end user. Free removes all adoption friction — critical for a tool where lives are at stake and trust must be earned. No app store needed — PWA distribution means zero platform fees and instant updates.</w:t>
      </w:r>
    </w:p>
    <w:p>
      <w:pPr>
        <w:pStyle w:val="Heading2"/>
      </w:pPr>
      <w:r>
        <w:t xml:space="preserve">Revenue Paths (Ranked by Feasibility)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CBD5E0" w:sz="1"/>
              <w:left w:val="single" w:color="CBD5E0" w:sz="1"/>
              <w:bottom w:val="single" w:color="CBD5E0" w:sz="1"/>
              <w:right w:val="single" w:color="CBD5E0" w:sz="1"/>
            </w:tcBorders>
            <w:shd w:fill="1B3A5C" w:val="clear"/>
            <w:vAlign w:val="center"/>
          </w:tcPr>
          <w:p>
            <w:pPr>
              <w:spacing w:after="60" w:before="60"/>
            </w:pPr>
            <w:r>
              <w:rPr>
                <w:rFonts w:ascii="Arial" w:cs="Arial" w:eastAsia="Arial" w:hAnsi="Arial"/>
                <w:b/>
                <w:bCs/>
                <w:color w:val="FFFFFF"/>
                <w:sz w:val="20"/>
                <w:szCs w:val="20"/>
              </w:rPr>
              <w:t xml:space="preserve">Model</w:t>
            </w:r>
          </w:p>
        </w:tc>
        <w:tc>
          <w:tcPr>
            <w:tcW w:type="dxa" w:w="4200"/>
            <w:tcBorders>
              <w:top w:val="single" w:color="CBD5E0" w:sz="1"/>
              <w:left w:val="single" w:color="CBD5E0" w:sz="1"/>
              <w:bottom w:val="single" w:color="CBD5E0" w:sz="1"/>
              <w:right w:val="single" w:color="CBD5E0" w:sz="1"/>
            </w:tcBorders>
            <w:shd w:fill="1B3A5C" w:val="clear"/>
            <w:vAlign w:val="center"/>
          </w:tcPr>
          <w:p>
            <w:pPr>
              <w:spacing w:after="60" w:before="60"/>
            </w:pPr>
            <w:r>
              <w:rPr>
                <w:rFonts w:ascii="Arial" w:cs="Arial" w:eastAsia="Arial" w:hAnsi="Arial"/>
                <w:b/>
                <w:bCs/>
                <w:color w:val="FFFFFF"/>
                <w:sz w:val="20"/>
                <w:szCs w:val="20"/>
              </w:rPr>
              <w:t xml:space="preserve">How It Works</w:t>
            </w:r>
          </w:p>
        </w:tc>
        <w:tc>
          <w:tcPr>
            <w:tcW w:type="dxa" w:w="2760"/>
            <w:tcBorders>
              <w:top w:val="single" w:color="CBD5E0" w:sz="1"/>
              <w:left w:val="single" w:color="CBD5E0" w:sz="1"/>
              <w:bottom w:val="single" w:color="CBD5E0" w:sz="1"/>
              <w:right w:val="single" w:color="CBD5E0" w:sz="1"/>
            </w:tcBorders>
            <w:shd w:fill="1B3A5C" w:val="clear"/>
            <w:vAlign w:val="center"/>
          </w:tcPr>
          <w:p>
            <w:pPr>
              <w:spacing w:after="60" w:before="60"/>
            </w:pPr>
            <w:r>
              <w:rPr>
                <w:rFonts w:ascii="Arial" w:cs="Arial" w:eastAsia="Arial" w:hAnsi="Arial"/>
                <w:b/>
                <w:bCs/>
                <w:color w:val="FFFFFF"/>
                <w:sz w:val="20"/>
                <w:szCs w:val="20"/>
              </w:rPr>
              <w:t xml:space="preserve">Feasibility</w:t>
            </w:r>
          </w:p>
        </w:tc>
      </w:tr>
      <w:tr>
        <w:trPr>
          <w:tblHeader w:val="false"/>
        </w:trPr>
        <w:tc>
          <w:tcPr>
            <w:tcW w:type="dxa" w:w="2400"/>
            <w:tcBorders>
              <w:top w:val="single" w:color="CBD5E0" w:sz="1"/>
              <w:left w:val="single" w:color="CBD5E0" w:sz="1"/>
              <w:bottom w:val="single" w:color="CBD5E0" w:sz="1"/>
              <w:right w:val="single" w:color="CBD5E0" w:sz="1"/>
            </w:tcBorders>
            <w:shd/>
            <w:vAlign w:val="center"/>
          </w:tcPr>
          <w:p>
            <w:pPr>
              <w:spacing w:after="60" w:before="60"/>
            </w:pPr>
            <w:r>
              <w:rPr>
                <w:rFonts w:ascii="Arial" w:cs="Arial" w:eastAsia="Arial" w:hAnsi="Arial"/>
                <w:b w:val="false"/>
                <w:bCs w:val="false"/>
                <w:color w:val="2D3748"/>
                <w:sz w:val="20"/>
                <w:szCs w:val="20"/>
              </w:rPr>
              <w:t xml:space="preserve">Free + institutional license</w:t>
            </w:r>
          </w:p>
        </w:tc>
        <w:tc>
          <w:tcPr>
            <w:tcW w:type="dxa" w:w="4200"/>
            <w:tcBorders>
              <w:top w:val="single" w:color="CBD5E0" w:sz="1"/>
              <w:left w:val="single" w:color="CBD5E0" w:sz="1"/>
              <w:bottom w:val="single" w:color="CBD5E0" w:sz="1"/>
              <w:right w:val="single" w:color="CBD5E0" w:sz="1"/>
            </w:tcBorders>
            <w:shd/>
            <w:vAlign w:val="center"/>
          </w:tcPr>
          <w:p>
            <w:pPr>
              <w:spacing w:after="60" w:before="60"/>
            </w:pPr>
            <w:r>
              <w:rPr>
                <w:rFonts w:ascii="Arial" w:cs="Arial" w:eastAsia="Arial" w:hAnsi="Arial"/>
                <w:b w:val="false"/>
                <w:bCs w:val="false"/>
                <w:color w:val="2D3748"/>
                <w:sz w:val="20"/>
                <w:szCs w:val="20"/>
              </w:rPr>
              <w:t xml:space="preserve">Hospitals pay for custom formula databases, branded deployment, SSO integration</w:t>
            </w:r>
          </w:p>
        </w:tc>
        <w:tc>
          <w:tcPr>
            <w:tcW w:type="dxa" w:w="2760"/>
            <w:tcBorders>
              <w:top w:val="single" w:color="CBD5E0" w:sz="1"/>
              <w:left w:val="single" w:color="CBD5E0" w:sz="1"/>
              <w:bottom w:val="single" w:color="CBD5E0" w:sz="1"/>
              <w:right w:val="single" w:color="CBD5E0" w:sz="1"/>
            </w:tcBorders>
            <w:shd/>
            <w:vAlign w:val="center"/>
          </w:tcPr>
          <w:p>
            <w:pPr>
              <w:spacing w:after="60" w:before="60"/>
            </w:pPr>
            <w:r>
              <w:rPr>
                <w:rFonts w:ascii="Arial" w:cs="Arial" w:eastAsia="Arial" w:hAnsi="Arial"/>
                <w:b w:val="false"/>
                <w:bCs w:val="false"/>
                <w:color w:val="2D3748"/>
                <w:sz w:val="20"/>
                <w:szCs w:val="20"/>
              </w:rPr>
              <w:t xml:space="preserve">High — this is how clinical tools scale</w:t>
            </w:r>
          </w:p>
        </w:tc>
      </w:tr>
      <w:tr>
        <w:trPr>
          <w:tblHeader w:val="false"/>
        </w:trPr>
        <w:tc>
          <w:tcPr>
            <w:tcW w:type="dxa" w:w="2400"/>
            <w:tcBorders>
              <w:top w:val="single" w:color="CBD5E0" w:sz="1"/>
              <w:left w:val="single" w:color="CBD5E0" w:sz="1"/>
              <w:bottom w:val="single" w:color="CBD5E0" w:sz="1"/>
              <w:right w:val="single" w:color="CBD5E0" w:sz="1"/>
            </w:tcBorders>
            <w:shd/>
            <w:vAlign w:val="center"/>
          </w:tcPr>
          <w:p>
            <w:pPr>
              <w:spacing w:after="60" w:before="60"/>
            </w:pPr>
            <w:r>
              <w:rPr>
                <w:rFonts w:ascii="Arial" w:cs="Arial" w:eastAsia="Arial" w:hAnsi="Arial"/>
                <w:b w:val="false"/>
                <w:bCs w:val="false"/>
                <w:color w:val="2D3748"/>
                <w:sz w:val="20"/>
                <w:szCs w:val="20"/>
              </w:rPr>
              <w:t xml:space="preserve">Free + grant funding</w:t>
            </w:r>
          </w:p>
        </w:tc>
        <w:tc>
          <w:tcPr>
            <w:tcW w:type="dxa" w:w="4200"/>
            <w:tcBorders>
              <w:top w:val="single" w:color="CBD5E0" w:sz="1"/>
              <w:left w:val="single" w:color="CBD5E0" w:sz="1"/>
              <w:bottom w:val="single" w:color="CBD5E0" w:sz="1"/>
              <w:right w:val="single" w:color="CBD5E0" w:sz="1"/>
            </w:tcBorders>
            <w:shd/>
            <w:vAlign w:val="center"/>
          </w:tcPr>
          <w:p>
            <w:pPr>
              <w:spacing w:after="60" w:before="60"/>
            </w:pPr>
            <w:r>
              <w:rPr>
                <w:rFonts w:ascii="Arial" w:cs="Arial" w:eastAsia="Arial" w:hAnsi="Arial"/>
                <w:b w:val="false"/>
                <w:bCs w:val="false"/>
                <w:color w:val="2D3748"/>
                <w:sz w:val="20"/>
                <w:szCs w:val="20"/>
              </w:rPr>
              <w:t xml:space="preserve">Apply for NICHD, AHRQ, or hospital innovation grants</w:t>
            </w:r>
          </w:p>
        </w:tc>
        <w:tc>
          <w:tcPr>
            <w:tcW w:type="dxa" w:w="2760"/>
            <w:tcBorders>
              <w:top w:val="single" w:color="CBD5E0" w:sz="1"/>
              <w:left w:val="single" w:color="CBD5E0" w:sz="1"/>
              <w:bottom w:val="single" w:color="CBD5E0" w:sz="1"/>
              <w:right w:val="single" w:color="CBD5E0" w:sz="1"/>
            </w:tcBorders>
            <w:shd/>
            <w:vAlign w:val="center"/>
          </w:tcPr>
          <w:p>
            <w:pPr>
              <w:spacing w:after="60" w:before="60"/>
            </w:pPr>
            <w:r>
              <w:rPr>
                <w:rFonts w:ascii="Arial" w:cs="Arial" w:eastAsia="Arial" w:hAnsi="Arial"/>
                <w:b w:val="false"/>
                <w:bCs w:val="false"/>
                <w:color w:val="2D3748"/>
                <w:sz w:val="20"/>
                <w:szCs w:val="20"/>
              </w:rPr>
              <w:t xml:space="preserve">Medium — strong fit for patient safety grants</w:t>
            </w:r>
          </w:p>
        </w:tc>
      </w:tr>
      <w:tr>
        <w:trPr>
          <w:tblHeader w:val="false"/>
        </w:trPr>
        <w:tc>
          <w:tcPr>
            <w:tcW w:type="dxa" w:w="2400"/>
            <w:tcBorders>
              <w:top w:val="single" w:color="CBD5E0" w:sz="1"/>
              <w:left w:val="single" w:color="CBD5E0" w:sz="1"/>
              <w:bottom w:val="single" w:color="CBD5E0" w:sz="1"/>
              <w:right w:val="single" w:color="CBD5E0" w:sz="1"/>
            </w:tcBorders>
            <w:shd/>
            <w:vAlign w:val="center"/>
          </w:tcPr>
          <w:p>
            <w:pPr>
              <w:spacing w:after="60" w:before="60"/>
            </w:pPr>
            <w:r>
              <w:rPr>
                <w:rFonts w:ascii="Arial" w:cs="Arial" w:eastAsia="Arial" w:hAnsi="Arial"/>
                <w:b w:val="false"/>
                <w:bCs w:val="false"/>
                <w:color w:val="2D3748"/>
                <w:sz w:val="20"/>
                <w:szCs w:val="20"/>
              </w:rPr>
              <w:t xml:space="preserve">Freemium</w:t>
            </w:r>
          </w:p>
        </w:tc>
        <w:tc>
          <w:tcPr>
            <w:tcW w:type="dxa" w:w="4200"/>
            <w:tcBorders>
              <w:top w:val="single" w:color="CBD5E0" w:sz="1"/>
              <w:left w:val="single" w:color="CBD5E0" w:sz="1"/>
              <w:bottom w:val="single" w:color="CBD5E0" w:sz="1"/>
              <w:right w:val="single" w:color="CBD5E0" w:sz="1"/>
            </w:tcBorders>
            <w:shd/>
            <w:vAlign w:val="center"/>
          </w:tcPr>
          <w:p>
            <w:pPr>
              <w:spacing w:after="60" w:before="60"/>
            </w:pPr>
            <w:r>
              <w:rPr>
                <w:rFonts w:ascii="Arial" w:cs="Arial" w:eastAsia="Arial" w:hAnsi="Arial"/>
                <w:b w:val="false"/>
                <w:bCs w:val="false"/>
                <w:color w:val="2D3748"/>
                <w:sz w:val="20"/>
                <w:szCs w:val="20"/>
              </w:rPr>
              <w:t xml:space="preserve">Free base, paid “pro” features (export to EHR, audit logs, multi-patient tracking)</w:t>
            </w:r>
          </w:p>
        </w:tc>
        <w:tc>
          <w:tcPr>
            <w:tcW w:type="dxa" w:w="2760"/>
            <w:tcBorders>
              <w:top w:val="single" w:color="CBD5E0" w:sz="1"/>
              <w:left w:val="single" w:color="CBD5E0" w:sz="1"/>
              <w:bottom w:val="single" w:color="CBD5E0" w:sz="1"/>
              <w:right w:val="single" w:color="CBD5E0" w:sz="1"/>
            </w:tcBorders>
            <w:shd/>
            <w:vAlign w:val="center"/>
          </w:tcPr>
          <w:p>
            <w:pPr>
              <w:spacing w:after="60" w:before="60"/>
            </w:pPr>
            <w:r>
              <w:rPr>
                <w:rFonts w:ascii="Arial" w:cs="Arial" w:eastAsia="Arial" w:hAnsi="Arial"/>
                <w:b w:val="false"/>
                <w:bCs w:val="false"/>
                <w:color w:val="2D3748"/>
                <w:sz w:val="20"/>
                <w:szCs w:val="20"/>
              </w:rPr>
              <w:t xml:space="preserve">Medium — only after user base established</w:t>
            </w:r>
          </w:p>
        </w:tc>
      </w:tr>
      <w:tr>
        <w:trPr>
          <w:tblHeader w:val="false"/>
        </w:trPr>
        <w:tc>
          <w:tcPr>
            <w:tcW w:type="dxa" w:w="2400"/>
            <w:tcBorders>
              <w:top w:val="single" w:color="CBD5E0" w:sz="1"/>
              <w:left w:val="single" w:color="CBD5E0" w:sz="1"/>
              <w:bottom w:val="single" w:color="CBD5E0" w:sz="1"/>
              <w:right w:val="single" w:color="CBD5E0" w:sz="1"/>
            </w:tcBorders>
            <w:shd/>
            <w:vAlign w:val="center"/>
          </w:tcPr>
          <w:p>
            <w:pPr>
              <w:spacing w:after="60" w:before="60"/>
            </w:pPr>
            <w:r>
              <w:rPr>
                <w:rFonts w:ascii="Arial" w:cs="Arial" w:eastAsia="Arial" w:hAnsi="Arial"/>
                <w:b w:val="false"/>
                <w:bCs w:val="false"/>
                <w:color w:val="2D3748"/>
                <w:sz w:val="20"/>
                <w:szCs w:val="20"/>
              </w:rPr>
              <w:t xml:space="preserve">Subscription per-seat</w:t>
            </w:r>
          </w:p>
        </w:tc>
        <w:tc>
          <w:tcPr>
            <w:tcW w:type="dxa" w:w="4200"/>
            <w:tcBorders>
              <w:top w:val="single" w:color="CBD5E0" w:sz="1"/>
              <w:left w:val="single" w:color="CBD5E0" w:sz="1"/>
              <w:bottom w:val="single" w:color="CBD5E0" w:sz="1"/>
              <w:right w:val="single" w:color="CBD5E0" w:sz="1"/>
            </w:tcBorders>
            <w:shd/>
            <w:vAlign w:val="center"/>
          </w:tcPr>
          <w:p>
            <w:pPr>
              <w:spacing w:after="60" w:before="60"/>
            </w:pPr>
            <w:r>
              <w:rPr>
                <w:rFonts w:ascii="Arial" w:cs="Arial" w:eastAsia="Arial" w:hAnsi="Arial"/>
                <w:b w:val="false"/>
                <w:bCs w:val="false"/>
                <w:color w:val="2D3748"/>
                <w:sz w:val="20"/>
                <w:szCs w:val="20"/>
              </w:rPr>
              <w:t xml:space="preserve">$5–15/month per clinician</w:t>
            </w:r>
          </w:p>
        </w:tc>
        <w:tc>
          <w:tcPr>
            <w:tcW w:type="dxa" w:w="2760"/>
            <w:tcBorders>
              <w:top w:val="single" w:color="CBD5E0" w:sz="1"/>
              <w:left w:val="single" w:color="CBD5E0" w:sz="1"/>
              <w:bottom w:val="single" w:color="CBD5E0" w:sz="1"/>
              <w:right w:val="single" w:color="CBD5E0" w:sz="1"/>
            </w:tcBorders>
            <w:shd/>
            <w:vAlign w:val="center"/>
          </w:tcPr>
          <w:p>
            <w:pPr>
              <w:spacing w:after="60" w:before="60"/>
            </w:pPr>
            <w:r>
              <w:rPr>
                <w:rFonts w:ascii="Arial" w:cs="Arial" w:eastAsia="Arial" w:hAnsi="Arial"/>
                <w:b w:val="false"/>
                <w:bCs w:val="false"/>
                <w:color w:val="2D3748"/>
                <w:sz w:val="20"/>
                <w:szCs w:val="20"/>
              </w:rPr>
              <w:t xml:space="preserve">Low — too much friction for a calculator</w:t>
            </w:r>
          </w:p>
        </w:tc>
      </w:tr>
      <w:tr>
        <w:trPr>
          <w:tblHeader w:val="false"/>
        </w:trPr>
        <w:tc>
          <w:tcPr>
            <w:tcW w:type="dxa" w:w="2400"/>
            <w:tcBorders>
              <w:top w:val="single" w:color="CBD5E0" w:sz="1"/>
              <w:left w:val="single" w:color="CBD5E0" w:sz="1"/>
              <w:bottom w:val="single" w:color="CBD5E0" w:sz="1"/>
              <w:right w:val="single" w:color="CBD5E0" w:sz="1"/>
            </w:tcBorders>
            <w:shd/>
            <w:vAlign w:val="center"/>
          </w:tcPr>
          <w:p>
            <w:pPr>
              <w:spacing w:after="60" w:before="60"/>
            </w:pPr>
            <w:r>
              <w:rPr>
                <w:rFonts w:ascii="Arial" w:cs="Arial" w:eastAsia="Arial" w:hAnsi="Arial"/>
                <w:b w:val="false"/>
                <w:bCs w:val="false"/>
                <w:color w:val="2D3748"/>
                <w:sz w:val="20"/>
                <w:szCs w:val="20"/>
              </w:rPr>
              <w:t xml:space="preserve">One-time purchase</w:t>
            </w:r>
          </w:p>
        </w:tc>
        <w:tc>
          <w:tcPr>
            <w:tcW w:type="dxa" w:w="4200"/>
            <w:tcBorders>
              <w:top w:val="single" w:color="CBD5E0" w:sz="1"/>
              <w:left w:val="single" w:color="CBD5E0" w:sz="1"/>
              <w:bottom w:val="single" w:color="CBD5E0" w:sz="1"/>
              <w:right w:val="single" w:color="CBD5E0" w:sz="1"/>
            </w:tcBorders>
            <w:shd/>
            <w:vAlign w:val="center"/>
          </w:tcPr>
          <w:p>
            <w:pPr>
              <w:spacing w:after="60" w:before="60"/>
            </w:pPr>
            <w:r>
              <w:rPr>
                <w:rFonts w:ascii="Arial" w:cs="Arial" w:eastAsia="Arial" w:hAnsi="Arial"/>
                <w:b w:val="false"/>
                <w:bCs w:val="false"/>
                <w:color w:val="2D3748"/>
                <w:sz w:val="20"/>
                <w:szCs w:val="20"/>
              </w:rPr>
              <w:t xml:space="preserve">$4.99 in app stores</w:t>
            </w:r>
          </w:p>
        </w:tc>
        <w:tc>
          <w:tcPr>
            <w:tcW w:type="dxa" w:w="2760"/>
            <w:tcBorders>
              <w:top w:val="single" w:color="CBD5E0" w:sz="1"/>
              <w:left w:val="single" w:color="CBD5E0" w:sz="1"/>
              <w:bottom w:val="single" w:color="CBD5E0" w:sz="1"/>
              <w:right w:val="single" w:color="CBD5E0" w:sz="1"/>
            </w:tcBorders>
            <w:shd/>
            <w:vAlign w:val="center"/>
          </w:tcPr>
          <w:p>
            <w:pPr>
              <w:spacing w:after="60" w:before="60"/>
            </w:pPr>
            <w:r>
              <w:rPr>
                <w:rFonts w:ascii="Arial" w:cs="Arial" w:eastAsia="Arial" w:hAnsi="Arial"/>
                <w:b w:val="false"/>
                <w:bCs w:val="false"/>
                <w:color w:val="2D3748"/>
                <w:sz w:val="20"/>
                <w:szCs w:val="20"/>
              </w:rPr>
              <w:t xml:space="preserve">Low — PWA doesn’t need stores, price anchoring is hard</w:t>
            </w:r>
          </w:p>
        </w:tc>
      </w:tr>
    </w:tbl>
    <w:p>
      <w:pPr>
        <w:spacing w:after="200" w:before="200"/>
      </w:pPr>
      <w:r>
        <w:rPr>
          <w:rFonts w:ascii="Arial" w:cs="Arial" w:eastAsia="Arial" w:hAnsi="Arial"/>
          <w:b/>
          <w:bCs/>
          <w:color w:val="1B3A5C"/>
          <w:sz w:val="22"/>
          <w:szCs w:val="22"/>
        </w:rPr>
        <w:t xml:space="preserve">Top recommendation: </w:t>
      </w:r>
      <w:r>
        <w:rPr>
          <w:rFonts w:ascii="Arial" w:cs="Arial" w:eastAsia="Arial" w:hAnsi="Arial"/>
          <w:color w:val="2D3748"/>
          <w:sz w:val="22"/>
          <w:szCs w:val="22"/>
        </w:rPr>
        <w:t xml:space="preserve">Launch free. Build the user base. Then pursue institutional/hospital licensing where you customize the formula database to their specific formulary, add their branding, and potentially integrate with their EHR. That’s the real money in clinical tools.</w:t>
      </w:r>
    </w:p>
    <w:p>
      <w:pPr>
        <w:pStyle w:val="Heading1"/>
      </w:pPr>
      <w:r>
        <w:t xml:space="preserve">Go-to-Market Strategy</w:t>
      </w:r>
    </w:p>
    <w:p>
      <w:pPr>
        <w:pStyle w:val="Heading2"/>
      </w:pPr>
      <w:r>
        <w:t xml:space="preserve">Phase 1: Seed Adoption (Months 1–3)</w:t>
      </w:r>
    </w:p>
    <w:p>
      <w:pPr>
        <w:pStyle w:val="ListParagraph"/>
        <w:numPr>
          <w:ilvl w:val="0"/>
          <w:numId w:val="2"/>
        </w:numPr>
        <w:spacing w:after="80"/>
      </w:pPr>
      <w:r>
        <w:rPr>
          <w:rFonts w:ascii="Arial" w:cs="Arial" w:eastAsia="Arial" w:hAnsi="Arial"/>
          <w:sz w:val="22"/>
          <w:szCs w:val="22"/>
        </w:rPr>
        <w:t xml:space="preserve">Deploy to a memorable URL (e.g., nicutools.app or nicucalc.app)</w:t>
      </w:r>
    </w:p>
    <w:p>
      <w:pPr>
        <w:pStyle w:val="ListParagraph"/>
        <w:numPr>
          <w:ilvl w:val="0"/>
          <w:numId w:val="2"/>
        </w:numPr>
        <w:spacing w:after="80"/>
      </w:pPr>
      <w:r>
        <w:rPr>
          <w:rFonts w:ascii="Arial" w:cs="Arial" w:eastAsia="Arial" w:hAnsi="Arial"/>
          <w:sz w:val="22"/>
          <w:szCs w:val="22"/>
        </w:rPr>
        <w:t xml:space="preserve">Get it used in your own NICU first — real clinical validation is your #1 marketing asset</w:t>
      </w:r>
    </w:p>
    <w:p>
      <w:pPr>
        <w:pStyle w:val="ListParagraph"/>
        <w:numPr>
          <w:ilvl w:val="0"/>
          <w:numId w:val="2"/>
        </w:numPr>
        <w:spacing w:after="80"/>
      </w:pPr>
      <w:r>
        <w:rPr>
          <w:rFonts w:ascii="Arial" w:cs="Arial" w:eastAsia="Arial" w:hAnsi="Arial"/>
          <w:sz w:val="22"/>
          <w:szCs w:val="22"/>
        </w:rPr>
        <w:t xml:space="preserve">Present at unit-level education sessions — 10-minute demo during rounds or staff meetings</w:t>
      </w:r>
    </w:p>
    <w:p>
      <w:pPr>
        <w:pStyle w:val="ListParagraph"/>
        <w:numPr>
          <w:ilvl w:val="0"/>
          <w:numId w:val="2"/>
        </w:numPr>
        <w:spacing w:after="80"/>
      </w:pPr>
      <w:r>
        <w:rPr>
          <w:rFonts w:ascii="Arial" w:cs="Arial" w:eastAsia="Arial" w:hAnsi="Arial"/>
          <w:sz w:val="22"/>
          <w:szCs w:val="22"/>
        </w:rPr>
        <w:t xml:space="preserve">Create a 60-second walkthrough video showing mobile use at bedside</w:t>
      </w:r>
    </w:p>
    <w:p>
      <w:pPr>
        <w:pStyle w:val="Heading2"/>
      </w:pPr>
      <w:r>
        <w:t xml:space="preserve">Phase 2: Professional Network (Months 3–6)</w:t>
      </w:r>
    </w:p>
    <w:p>
      <w:pPr>
        <w:pStyle w:val="ListParagraph"/>
        <w:numPr>
          <w:ilvl w:val="0"/>
          <w:numId w:val="2"/>
        </w:numPr>
        <w:spacing w:after="80"/>
      </w:pPr>
      <w:r>
        <w:rPr>
          <w:rFonts w:ascii="Arial" w:cs="Arial" w:eastAsia="Arial" w:hAnsi="Arial"/>
          <w:sz w:val="22"/>
          <w:szCs w:val="22"/>
        </w:rPr>
        <w:t xml:space="preserve">Conference posters/presentations: NPA (National Perinatal Association), AAP (American Academy of Pediatrics NCE), NANN (National Association of Neonatal Nurses), Vermont Oxford Network annual meeting</w:t>
      </w:r>
    </w:p>
    <w:p>
      <w:pPr>
        <w:pStyle w:val="ListParagraph"/>
        <w:numPr>
          <w:ilvl w:val="0"/>
          <w:numId w:val="2"/>
        </w:numPr>
        <w:spacing w:after="80"/>
      </w:pPr>
      <w:r>
        <w:rPr>
          <w:rFonts w:ascii="Arial" w:cs="Arial" w:eastAsia="Arial" w:hAnsi="Arial"/>
          <w:sz w:val="22"/>
          <w:szCs w:val="22"/>
        </w:rPr>
        <w:t xml:space="preserve">Dietitian networks: Clinical Nutrition Week (ASPEN) — the formula calculator is a strong hook for NICU dietitians specifically</w:t>
      </w:r>
    </w:p>
    <w:p>
      <w:pPr>
        <w:pStyle w:val="ListParagraph"/>
        <w:numPr>
          <w:ilvl w:val="0"/>
          <w:numId w:val="2"/>
        </w:numPr>
        <w:spacing w:after="80"/>
      </w:pPr>
      <w:r>
        <w:rPr>
          <w:rFonts w:ascii="Arial" w:cs="Arial" w:eastAsia="Arial" w:hAnsi="Arial"/>
          <w:sz w:val="22"/>
          <w:szCs w:val="22"/>
        </w:rPr>
        <w:t xml:space="preserve">Publish a brief clinical informatics note in Journal of Perinatology or Advances in Neonatal Care describing the tool and its validation</w:t>
      </w:r>
    </w:p>
    <w:p>
      <w:pPr>
        <w:pStyle w:val="ListParagraph"/>
        <w:numPr>
          <w:ilvl w:val="0"/>
          <w:numId w:val="2"/>
        </w:numPr>
        <w:spacing w:after="80"/>
      </w:pPr>
      <w:r>
        <w:rPr>
          <w:rFonts w:ascii="Arial" w:cs="Arial" w:eastAsia="Arial" w:hAnsi="Arial"/>
          <w:sz w:val="22"/>
          <w:szCs w:val="22"/>
        </w:rPr>
        <w:t xml:space="preserve">LinkedIn posts targeting neonatal clinicians — the NICU community is tight-knit and shares tools aggressively via word-of-mouth</w:t>
      </w:r>
    </w:p>
    <w:p>
      <w:pPr>
        <w:pStyle w:val="Heading2"/>
      </w:pPr>
      <w:r>
        <w:t xml:space="preserve">Phase 3: Scale (Months 6–12)</w:t>
      </w:r>
    </w:p>
    <w:p>
      <w:pPr>
        <w:pStyle w:val="ListParagraph"/>
        <w:numPr>
          <w:ilvl w:val="0"/>
          <w:numId w:val="2"/>
        </w:numPr>
        <w:spacing w:after="80"/>
      </w:pPr>
      <w:r>
        <w:rPr>
          <w:rFonts w:ascii="Arial" w:cs="Arial" w:eastAsia="Arial" w:hAnsi="Arial"/>
          <w:sz w:val="22"/>
          <w:szCs w:val="22"/>
        </w:rPr>
        <w:t xml:space="preserve">Add 2–3 more calculators (ETT sizing, TPN, fluid management) to become the “Swiss army knife” NICU app</w:t>
      </w:r>
    </w:p>
    <w:p>
      <w:pPr>
        <w:pStyle w:val="ListParagraph"/>
        <w:numPr>
          <w:ilvl w:val="0"/>
          <w:numId w:val="2"/>
        </w:numPr>
        <w:spacing w:after="80"/>
      </w:pPr>
      <w:r>
        <w:rPr>
          <w:rFonts w:ascii="Arial" w:cs="Arial" w:eastAsia="Arial" w:hAnsi="Arial"/>
          <w:sz w:val="22"/>
          <w:szCs w:val="22"/>
        </w:rPr>
        <w:t xml:space="preserve">Open source the calculation engine to build trust and invite peer review</w:t>
      </w:r>
    </w:p>
    <w:p>
      <w:pPr>
        <w:pStyle w:val="ListParagraph"/>
        <w:numPr>
          <w:ilvl w:val="0"/>
          <w:numId w:val="2"/>
        </w:numPr>
        <w:spacing w:after="80"/>
      </w:pPr>
      <w:r>
        <w:rPr>
          <w:rFonts w:ascii="Arial" w:cs="Arial" w:eastAsia="Arial" w:hAnsi="Arial"/>
          <w:sz w:val="22"/>
          <w:szCs w:val="22"/>
        </w:rPr>
        <w:t xml:space="preserve">Partner with a neonatal pharmacy group or hospital system innovation lab</w:t>
      </w:r>
    </w:p>
    <w:p>
      <w:pPr>
        <w:pStyle w:val="ListParagraph"/>
        <w:numPr>
          <w:ilvl w:val="0"/>
          <w:numId w:val="2"/>
        </w:numPr>
        <w:spacing w:after="80"/>
      </w:pPr>
      <w:r>
        <w:rPr>
          <w:rFonts w:ascii="Arial" w:cs="Arial" w:eastAsia="Arial" w:hAnsi="Arial"/>
          <w:sz w:val="22"/>
          <w:szCs w:val="22"/>
        </w:rPr>
        <w:t xml:space="preserve">Apply for patient safety improvement grants (AHRQ, local hospital foundations)</w:t>
      </w:r>
    </w:p>
    <w:p>
      <w:pPr>
        <w:pStyle w:val="Heading2"/>
      </w:pPr>
      <w:r>
        <w:t xml:space="preserve">Key Marketing Messages</w:t>
      </w:r>
    </w:p>
    <w:p>
      <w:pPr>
        <w:pStyle w:val="ListParagraph"/>
        <w:numPr>
          <w:ilvl w:val="0"/>
          <w:numId w:val="2"/>
        </w:numPr>
        <w:spacing w:after="80"/>
      </w:pPr>
      <w:r>
        <w:rPr>
          <w:rFonts w:ascii="Arial" w:cs="Arial" w:eastAsia="Arial" w:hAnsi="Arial"/>
          <w:b/>
          <w:bCs/>
          <w:sz w:val="22"/>
          <w:szCs w:val="22"/>
        </w:rPr>
        <w:t xml:space="preserve">“Replace your NICU spreadsheets.” —</w:t>
      </w:r>
      <w:r>
        <w:rPr>
          <w:rFonts w:ascii="Arial" w:cs="Arial" w:eastAsia="Arial" w:hAnsi="Arial"/>
          <w:sz w:val="22"/>
          <w:szCs w:val="22"/>
        </w:rPr>
        <w:t xml:space="preserve"> Every NICU has them. Everyone hates them.</w:t>
      </w:r>
    </w:p>
    <w:p>
      <w:pPr>
        <w:pStyle w:val="ListParagraph"/>
        <w:numPr>
          <w:ilvl w:val="0"/>
          <w:numId w:val="2"/>
        </w:numPr>
        <w:spacing w:after="80"/>
      </w:pPr>
      <w:r>
        <w:rPr>
          <w:rFonts w:ascii="Arial" w:cs="Arial" w:eastAsia="Arial" w:hAnsi="Arial"/>
          <w:b/>
          <w:bCs/>
          <w:sz w:val="22"/>
          <w:szCs w:val="22"/>
        </w:rPr>
        <w:t xml:space="preserve">“Works offline, no login, no app store.” —</w:t>
      </w:r>
      <w:r>
        <w:rPr>
          <w:rFonts w:ascii="Arial" w:cs="Arial" w:eastAsia="Arial" w:hAnsi="Arial"/>
          <w:sz w:val="22"/>
          <w:szCs w:val="22"/>
        </w:rPr>
        <w:t xml:space="preserve"> Zero friction at point of care.</w:t>
      </w:r>
    </w:p>
    <w:p>
      <w:pPr>
        <w:pStyle w:val="ListParagraph"/>
        <w:numPr>
          <w:ilvl w:val="0"/>
          <w:numId w:val="2"/>
        </w:numPr>
        <w:spacing w:after="80"/>
      </w:pPr>
      <w:r>
        <w:rPr>
          <w:rFonts w:ascii="Arial" w:cs="Arial" w:eastAsia="Arial" w:hAnsi="Arial"/>
          <w:b/>
          <w:bCs/>
          <w:sz w:val="22"/>
          <w:szCs w:val="22"/>
        </w:rPr>
        <w:t xml:space="preserve">“Open, auditable calculations.” —</w:t>
      </w:r>
      <w:r>
        <w:rPr>
          <w:rFonts w:ascii="Arial" w:cs="Arial" w:eastAsia="Arial" w:hAnsi="Arial"/>
          <w:sz w:val="22"/>
          <w:szCs w:val="22"/>
        </w:rPr>
        <w:t xml:space="preserve"> Clinicians can verify the math. Trust through transparency.</w:t>
      </w:r>
    </w:p>
    <w:p>
      <w:pPr>
        <w:pStyle w:val="ListParagraph"/>
        <w:numPr>
          <w:ilvl w:val="0"/>
          <w:numId w:val="2"/>
        </w:numPr>
        <w:spacing w:after="80"/>
      </w:pPr>
      <w:r>
        <w:rPr>
          <w:rFonts w:ascii="Arial" w:cs="Arial" w:eastAsia="Arial" w:hAnsi="Arial"/>
          <w:b/>
          <w:bCs/>
          <w:sz w:val="22"/>
          <w:szCs w:val="22"/>
        </w:rPr>
        <w:t xml:space="preserve">“Built by NICU staff, for NICU staff.” —</w:t>
      </w:r>
      <w:r>
        <w:rPr>
          <w:rFonts w:ascii="Arial" w:cs="Arial" w:eastAsia="Arial" w:hAnsi="Arial"/>
          <w:sz w:val="22"/>
          <w:szCs w:val="22"/>
        </w:rPr>
        <w:t xml:space="preserve"> Provenance matters in clinical tools.</w:t>
      </w:r>
    </w:p>
    <w:p>
      <w:pPr>
        <w:pStyle w:val="Heading1"/>
      </w:pPr>
      <w:r>
        <w:t xml:space="preserve">Risks to Watch</w:t>
      </w:r>
    </w:p>
    <w:p>
      <w:pPr>
        <w:pStyle w:val="ListParagraph"/>
        <w:numPr>
          <w:ilvl w:val="0"/>
          <w:numId w:val="2"/>
        </w:numPr>
        <w:spacing w:after="80"/>
      </w:pPr>
      <w:r>
        <w:rPr>
          <w:rFonts w:ascii="Arial" w:cs="Arial" w:eastAsia="Arial" w:hAnsi="Arial"/>
          <w:b/>
          <w:bCs/>
          <w:sz w:val="22"/>
          <w:szCs w:val="22"/>
        </w:rPr>
        <w:t xml:space="preserve">Clinical validation:</w:t>
      </w:r>
      <w:r>
        <w:rPr>
          <w:rFonts w:ascii="Arial" w:cs="Arial" w:eastAsia="Arial" w:hAnsi="Arial"/>
          <w:sz w:val="22"/>
          <w:szCs w:val="22"/>
        </w:rPr>
        <w:t xml:space="preserve"> Before marketing broadly, have a pharmacist and/or physician formally review the morphine calculations and sign off. This is your liability shield.</w:t>
      </w:r>
    </w:p>
    <w:p>
      <w:pPr>
        <w:pStyle w:val="ListParagraph"/>
        <w:numPr>
          <w:ilvl w:val="0"/>
          <w:numId w:val="2"/>
        </w:numPr>
        <w:spacing w:after="80"/>
      </w:pPr>
      <w:r>
        <w:rPr>
          <w:rFonts w:ascii="Arial" w:cs="Arial" w:eastAsia="Arial" w:hAnsi="Arial"/>
          <w:b/>
          <w:bCs/>
          <w:sz w:val="22"/>
          <w:szCs w:val="22"/>
        </w:rPr>
        <w:t xml:space="preserve">FDA/regulatory:</w:t>
      </w:r>
      <w:r>
        <w:rPr>
          <w:rFonts w:ascii="Arial" w:cs="Arial" w:eastAsia="Arial" w:hAnsi="Arial"/>
          <w:sz w:val="22"/>
          <w:szCs w:val="22"/>
        </w:rPr>
        <w:t xml:space="preserve"> A dosing calculator could be considered a Clinical Decision Support (CDS) tool. Under current FDA guidance, if it allows the clinician to independently review the basis for the recommendation (your transparent formulas do this), it likely qualifies for the CDS exemption. But get a brief legal review before institutional sales.</w:t>
      </w:r>
    </w:p>
    <w:p>
      <w:pPr>
        <w:pStyle w:val="ListParagraph"/>
        <w:numPr>
          <w:ilvl w:val="0"/>
          <w:numId w:val="2"/>
        </w:numPr>
        <w:spacing w:after="80"/>
      </w:pPr>
      <w:r>
        <w:rPr>
          <w:rFonts w:ascii="Arial" w:cs="Arial" w:eastAsia="Arial" w:hAnsi="Arial"/>
          <w:b/>
          <w:bCs/>
          <w:sz w:val="22"/>
          <w:szCs w:val="22"/>
        </w:rPr>
        <w:t xml:space="preserve">Formula database maintenance:</w:t>
      </w:r>
      <w:r>
        <w:rPr>
          <w:rFonts w:ascii="Arial" w:cs="Arial" w:eastAsia="Arial" w:hAnsi="Arial"/>
          <w:sz w:val="22"/>
          <w:szCs w:val="22"/>
        </w:rPr>
        <w:t xml:space="preserve"> Manufacturers change formulations. You need a process for keeping the 32-brand database current — this is actually a selling point for institutional licenses (“we maintain it for you”).</w:t>
      </w:r>
    </w:p>
    <w:p>
      <w:pPr>
        <w:spacing w:before="300"/>
      </w:pPr>
    </w:p>
    <w:p>
      <w:pPr>
        <w:spacing w:after="200"/>
      </w:pPr>
      <w:r>
        <w:rPr>
          <w:rFonts w:ascii="Arial" w:cs="Arial" w:eastAsia="Arial" w:hAnsi="Arial"/>
          <w:color w:val="2D3748"/>
          <w:sz w:val="22"/>
          <w:szCs w:val="22"/>
        </w:rPr>
        <w:t xml:space="preserve">The app is genuinely well-built and fills a real gap. The biggest challenge isn’t the product — it’s distribution in a risk-averse industry. Start with your own unit, get clinical validation, then expand through professional networks.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0AEC0"/>
        <w:sz w:val="18"/>
        <w:szCs w:val="18"/>
      </w:rPr>
      <w:t xml:space="preserve">Page </w:t>
    </w:r>
    <w:r>
      <w:rPr>
        <w:rFonts w:ascii="Arial" w:cs="Arial" w:eastAsia="Arial" w:hAnsi="Arial"/>
        <w:color w:val="A0AEC0"/>
        <w:sz w:val="18"/>
        <w:szCs w:val="18"/>
      </w:rPr>
      <w:fldChar w:fldCharType="begin"/>
      <w:instrText xml:space="preserve">PAGE</w:instrText>
      <w:fldChar w:fldCharType="separate"/>
      <w:fldChar w:fldCharType="end"/>
    </w:r>
    <w:r>
      <w:rPr>
        <w:rFonts w:ascii="Arial" w:cs="Arial" w:eastAsia="Arial" w:hAnsi="Arial"/>
        <w:color w:val="A0AEC0"/>
        <w:sz w:val="18"/>
        <w:szCs w:val="18"/>
      </w:rPr>
      <w:t xml:space="preserve"> of </w:t>
    </w:r>
    <w:r>
      <w:rPr>
        <w:rFonts w:ascii="Arial" w:cs="Arial" w:eastAsia="Arial" w:hAnsi="Arial"/>
        <w:color w:val="A0AEC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A0AEC0"/>
        <w:sz w:val="18"/>
        <w:szCs w:val="18"/>
      </w:rPr>
      <w:t xml:space="preserve">NICU Assistant — Market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before="600"/>
      <w:jc w:val="center"/>
    </w:pPr>
    <w:rPr>
      <w:rFonts w:ascii="Arial" w:cs="Arial" w:eastAsia="Arial" w:hAnsi="Arial"/>
      <w:b/>
      <w:bCs/>
      <w:color w:val="1B3A5C"/>
      <w:sz w:val="52"/>
      <w:szCs w:val="52"/>
    </w:rPr>
  </w:style>
  <w:style w:type="paragraph" w:styleId="Heading1">
    <w:name w:val="Heading 1"/>
    <w:basedOn w:val="Normal"/>
    <w:next w:val="Normal"/>
    <w:qFormat/>
    <w:pPr>
      <w:spacing w:after="200" w:before="48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C528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2026-04-03T05:43:32.349Z</dcterms:created>
  <dcterms:modified xsi:type="dcterms:W3CDTF">2026-04-03T05:43:32.349Z</dcterms:modified>
</cp:coreProperties>
</file>

<file path=docProps/custom.xml><?xml version="1.0" encoding="utf-8"?>
<Properties xmlns="http://schemas.openxmlformats.org/officeDocument/2006/custom-properties" xmlns:vt="http://schemas.openxmlformats.org/officeDocument/2006/docPropsVTypes"/>
</file>