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2"/>
              <w:left w:val="none" w:color="FFFFFF" w:sz="0"/>
              <w:bottom w:val="single" w:color="F39C12" w:sz="12"/>
              <w:right w:val="none" w:color="FFFFFF" w:sz="0"/>
            </w:tcBorders>
            <w:shd w:fill="1A5276" w:val="clear"/>
            <w:tcMar>
              <w:top w:type="dxa" w:w="280"/>
              <w:left w:type="dxa" w:w="300"/>
              <w:bottom w:type="dxa" w:w="280"/>
              <w:right w:type="dxa" w:w="300"/>
            </w:tcMar>
          </w:tcPr>
          <w:p>
            <w:pPr>
              <w:spacing w:before="0" w:after="60"/>
            </w:pPr>
            <w:r>
              <w:rPr>
                <w:rFonts w:ascii="Arial" w:cs="Arial" w:eastAsia="Arial" w:hAnsi="Arial"/>
                <w:b/>
                <w:bCs/>
                <w:caps/>
                <w:color w:val="B3D4F0"/>
                <w:sz w:val="20"/>
                <w:szCs w:val="20"/>
              </w:rPr>
              <w:t xml:space="preserve">RESEARCH SUMMARY</w:t>
            </w:r>
          </w:p>
          <w:p>
            <w:pPr>
              <w:spacing w:before="0" w:after="60"/>
            </w:pPr>
            <w:r>
              <w:rPr>
                <w:rFonts w:ascii="Arial" w:cs="Arial" w:eastAsia="Arial" w:hAnsi="Arial"/>
                <w:b/>
                <w:bCs/>
                <w:color w:val="FFFFFF"/>
                <w:sz w:val="40"/>
                <w:szCs w:val="40"/>
              </w:rPr>
              <w:t xml:space="preserve">Predicting Peatmoss Carbon Uptake:</w:t>
            </w:r>
          </w:p>
          <w:p>
            <w:pPr>
              <w:spacing w:before="0" w:after="100"/>
            </w:pPr>
            <w:r>
              <w:rPr>
                <w:rFonts w:ascii="Arial" w:cs="Arial" w:eastAsia="Arial" w:hAnsi="Arial"/>
                <w:color w:val="D5E8F5"/>
                <w:sz w:val="28"/>
                <w:szCs w:val="28"/>
              </w:rPr>
              <w:t xml:space="preserve">Integrating Ecological Experimentation with Machine Learning &amp; Deep Learning</w:t>
            </w:r>
          </w:p>
          <w:p>
            <w:pPr>
              <w:spacing w:before="60" w:after="0"/>
            </w:pPr>
            <w:r>
              <w:rPr>
                <w:rFonts w:ascii="Arial" w:cs="Arial" w:eastAsia="Arial" w:hAnsi="Arial"/>
                <w:i/>
                <w:iCs/>
                <w:color w:val="AAD0E8"/>
                <w:sz w:val="18"/>
                <w:szCs w:val="18"/>
              </w:rPr>
              <w:t xml:space="preserve">Based on: Nijp et al. (2014). New Phytologist, 203: 70–80  |  Extended Methodology: ML/DL Analytical Framework</w:t>
            </w:r>
          </w:p>
        </w:tc>
      </w:tr>
    </w:tbl>
    <w:p>
      <w:pPr>
        <w:spacing w:before="0" w:after="60"/>
      </w:pPr>
      <w:r>
        <w:t xml:space="preserve"/>
      </w:r>
    </w:p>
    <w:p>
      <w:pPr>
        <w:pBdr>
          <w:bottom w:val="single" w:color="1A5276" w:sz="6" w:space="6"/>
        </w:pBdr>
        <w:spacing w:before="360" w:after="120"/>
      </w:pPr>
      <w:r>
        <w:rPr>
          <w:rFonts w:ascii="Arial" w:cs="Arial" w:eastAsia="Arial" w:hAnsi="Arial"/>
          <w:b/>
          <w:bCs/>
          <w:color w:val="1A5276"/>
          <w:sz w:val="36"/>
          <w:szCs w:val="36"/>
        </w:rPr>
        <w:t xml:space="preserve">1. Study Background &amp; Ecological Context</w:t>
      </w:r>
    </w:p>
    <w:p>
      <w:pPr>
        <w:spacing w:before="60" w:after="80"/>
        <w:jc w:val="both"/>
      </w:pPr>
      <w:r>
        <w:rPr>
          <w:rFonts w:ascii="Arial" w:cs="Arial" w:eastAsia="Arial" w:hAnsi="Arial"/>
          <w:color w:val="1C1C1C"/>
          <w:sz w:val="20"/>
          <w:szCs w:val="20"/>
        </w:rPr>
        <w:t xml:space="preserve">Northern peatlands are among the most carbon-dense ecosystems on Earth. Though they cover only approximately 3% of the global land surface, they have accumulated the equivalent of 20% of total terrestrial soil carbon throughout the Holocene, functioning as a significant atmospheric CO₂ sink (Turunen et al., 2002; Yu, 2011; Nijp et al., 2014). The central role of peatmoss (Sphagnum spp.) in driving this carbon storage makes understanding its physiological responses to climate variability an urgent scientific priority.</w:t>
      </w:r>
    </w:p>
    <w:p>
      <w:pPr>
        <w:spacing w:before="60" w:after="80"/>
        <w:jc w:val="both"/>
      </w:pPr>
      <w:r>
        <w:rPr>
          <w:rFonts w:ascii="Arial" w:cs="Arial" w:eastAsia="Arial" w:hAnsi="Arial"/>
          <w:color w:val="1C1C1C"/>
          <w:sz w:val="20"/>
          <w:szCs w:val="20"/>
        </w:rPr>
        <w:t xml:space="preserve">The 2014 study by Nijp and colleagues, published in New Phytologist, investigated a largely unexplored dimension of peatland hydrology: not merely how much precipitation falls, but how frequently it falls, and whether this temporal distribution can moderate the damaging effects of summer drought. This is particularly salient given that climate projections anticipate not only warmer temperatures but also a shift towards less frequent yet more intense precipitation events — a combination projected to lower water tables and parch peat surfaces (IPCC, 2007; Allen &amp; Ingram, 2002).</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1A5276" w:sz="4"/>
                    <w:right w:val="single" w:color="1A5276" w:sz="4"/>
                  </w:tcBorders>
                  <w:shd w:fill="EBF5FB" w:val="clear"/>
                  <w:tcMar>
                    <w:top w:type="dxa" w:w="120"/>
                    <w:left w:type="dxa" w:w="200"/>
                    <w:bottom w:type="dxa" w:w="120"/>
                    <w:right w:type="dxa" w:w="200"/>
                  </w:tcMar>
                </w:tcPr>
                <w:p>
                  <w:pPr>
                    <w:spacing w:before="40" w:after="60"/>
                  </w:pPr>
                  <w:r>
                    <w:rPr>
                      <w:rFonts w:ascii="Arial" w:cs="Arial" w:eastAsia="Arial" w:hAnsi="Arial"/>
                      <w:b/>
                      <w:bCs/>
                      <w:color w:val="1A5276"/>
                      <w:sz w:val="20"/>
                      <w:szCs w:val="20"/>
                    </w:rPr>
                    <w:t xml:space="preserve">Why Peatlands Matter</w:t>
                  </w:r>
                </w:p>
                <w:p>
                  <w:pPr>
                    <w:spacing w:before="30" w:after="30"/>
                  </w:pPr>
                  <w:r>
                    <w:rPr>
                      <w:rFonts w:ascii="Arial" w:cs="Arial" w:eastAsia="Arial" w:hAnsi="Arial"/>
                      <w:color w:val="1C1C1C"/>
                      <w:sz w:val="19"/>
                      <w:szCs w:val="19"/>
                    </w:rPr>
                    <w:t xml:space="preserve">• ~20% of global terrestrial soil carbon</w:t>
                  </w:r>
                </w:p>
                <w:p>
                  <w:pPr>
                    <w:spacing w:before="30" w:after="30"/>
                  </w:pPr>
                  <w:r>
                    <w:rPr>
                      <w:rFonts w:ascii="Arial" w:cs="Arial" w:eastAsia="Arial" w:hAnsi="Arial"/>
                      <w:color w:val="1C1C1C"/>
                      <w:sz w:val="19"/>
                      <w:szCs w:val="19"/>
                    </w:rPr>
                    <w:t xml:space="preserve">• Long-term CO₂ sinks since the Holocene</w:t>
                  </w:r>
                </w:p>
                <w:p>
                  <w:pPr>
                    <w:spacing w:before="30" w:after="30"/>
                  </w:pPr>
                  <w:r>
                    <w:rPr>
                      <w:rFonts w:ascii="Arial" w:cs="Arial" w:eastAsia="Arial" w:hAnsi="Arial"/>
                      <w:color w:val="1C1C1C"/>
                      <w:sz w:val="19"/>
                      <w:szCs w:val="19"/>
                    </w:rPr>
                    <w:t xml:space="preserve">• Vulnerable to summer water table drawdown</w:t>
                  </w:r>
                </w:p>
                <w:p>
                  <w:pPr>
                    <w:spacing w:before="30" w:after="30"/>
                  </w:pPr>
                  <w:r>
                    <w:rPr>
                      <w:rFonts w:ascii="Arial" w:cs="Arial" w:eastAsia="Arial" w:hAnsi="Arial"/>
                      <w:color w:val="1C1C1C"/>
                      <w:sz w:val="19"/>
                      <w:szCs w:val="19"/>
                    </w:rPr>
                    <w:t xml:space="preserve">• Sphagnum mosses are the keystone species</w:t>
                  </w:r>
                </w:p>
                <w:p>
                  <w:pPr>
                    <w:spacing w:before="30" w:after="30"/>
                  </w:pPr>
                  <w:r>
                    <w:rPr>
                      <w:rFonts w:ascii="Arial" w:cs="Arial" w:eastAsia="Arial" w:hAnsi="Arial"/>
                      <w:color w:val="1C1C1C"/>
                      <w:sz w:val="19"/>
                      <w:szCs w:val="19"/>
                    </w:rPr>
                    <w:t xml:space="preserve">• Lack stomata, roots &amp; vascular tissue</w:t>
                  </w:r>
                </w:p>
                <w:p>
                  <w:pPr>
                    <w:spacing w:before="30" w:after="30"/>
                  </w:pPr>
                  <w:r>
                    <w:rPr>
                      <w:rFonts w:ascii="Arial" w:cs="Arial" w:eastAsia="Arial" w:hAnsi="Arial"/>
                      <w:color w:val="1C1C1C"/>
                      <w:sz w:val="19"/>
                      <w:szCs w:val="19"/>
                    </w:rPr>
                    <w:t xml:space="preserve">• Photosynthesis directly tied to surface moisture</w:t>
                  </w:r>
                </w:p>
              </w:tc>
            </w:tr>
          </w:tbl>
          <w:p/>
        </w:tc>
        <w:tc>
          <w:tcPr>
            <w:tcW w:type="dxa" w:w="4860"/>
            <w:tcBorders>
              <w:top w:val="none" w:color="FFFFFF" w:sz="0"/>
              <w:left w:val="none" w:color="FFFFFF" w:sz="0"/>
              <w:bottom w:val="none" w:color="FFFFFF" w:sz="0"/>
              <w:right w:val="none" w:color="FFFFFF" w:sz="0"/>
            </w:tcBorders>
            <w:tcMar>
              <w:top w:type="dxa" w:w="60"/>
              <w:left w:type="dxa" w:w="20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4"/>
                    <w:bottom w:val="single" w:color="F39C12" w:sz="4"/>
                    <w:right w:val="single" w:color="F39C12" w:sz="4"/>
                  </w:tcBorders>
                  <w:shd w:fill="FEF9E7" w:val="clear"/>
                  <w:tcMar>
                    <w:top w:type="dxa" w:w="120"/>
                    <w:left w:type="dxa" w:w="200"/>
                    <w:bottom w:type="dxa" w:w="120"/>
                    <w:right w:type="dxa" w:w="200"/>
                  </w:tcMar>
                </w:tcPr>
                <w:p>
                  <w:pPr>
                    <w:spacing w:before="40" w:after="60"/>
                  </w:pPr>
                  <w:r>
                    <w:rPr>
                      <w:rFonts w:ascii="Arial" w:cs="Arial" w:eastAsia="Arial" w:hAnsi="Arial"/>
                      <w:b/>
                      <w:bCs/>
                      <w:color w:val="F39C12"/>
                      <w:sz w:val="20"/>
                      <w:szCs w:val="20"/>
                    </w:rPr>
                    <w:t xml:space="preserve">The Central Question</w:t>
                  </w:r>
                </w:p>
                <w:p>
                  <w:pPr>
                    <w:spacing w:before="30" w:after="30"/>
                  </w:pPr>
                  <w:r>
                    <w:rPr>
                      <w:rFonts w:ascii="Arial" w:cs="Arial" w:eastAsia="Arial" w:hAnsi="Arial"/>
                      <w:color w:val="1C1C1C"/>
                      <w:sz w:val="19"/>
                      <w:szCs w:val="19"/>
                    </w:rPr>
                    <w:t xml:space="preserve">Can frequent precipitation events moderate</w:t>
                  </w:r>
                </w:p>
                <w:p>
                  <w:pPr>
                    <w:spacing w:before="30" w:after="30"/>
                  </w:pPr>
                  <w:r>
                    <w:rPr>
                      <w:rFonts w:ascii="Arial" w:cs="Arial" w:eastAsia="Arial" w:hAnsi="Arial"/>
                      <w:color w:val="1C1C1C"/>
                      <w:sz w:val="19"/>
                      <w:szCs w:val="19"/>
                    </w:rPr>
                    <w:t xml:space="preserve">the impact of drought on Sphagnum carbon</w:t>
                  </w:r>
                </w:p>
                <w:p>
                  <w:pPr>
                    <w:spacing w:before="30" w:after="30"/>
                  </w:pPr>
                  <w:r>
                    <w:rPr>
                      <w:rFonts w:ascii="Arial" w:cs="Arial" w:eastAsia="Arial" w:hAnsi="Arial"/>
                      <w:color w:val="1C1C1C"/>
                      <w:sz w:val="19"/>
                      <w:szCs w:val="19"/>
                    </w:rPr>
                    <w:t xml:space="preserve">uptake — and does this effect differ by species?</w:t>
                  </w:r>
                </w:p>
                <w:p>
                  <w:pPr>
                    <w:spacing w:before="30" w:after="30"/>
                  </w:pPr>
                  <w:r>
                    <w:rPr>
                      <w:rFonts w:ascii="Arial" w:cs="Arial" w:eastAsia="Arial" w:hAnsi="Arial"/>
                      <w:color w:val="1C1C1C"/>
                      <w:sz w:val="19"/>
                      <w:szCs w:val="19"/>
                    </w:rPr>
                    <w:t xml:space="preserve"/>
                  </w:r>
                </w:p>
                <w:p>
                  <w:pPr>
                    <w:spacing w:before="30" w:after="30"/>
                  </w:pPr>
                  <w:r>
                    <w:rPr>
                      <w:rFonts w:ascii="Arial" w:cs="Arial" w:eastAsia="Arial" w:hAnsi="Arial"/>
                      <w:color w:val="1C1C1C"/>
                      <w:sz w:val="19"/>
                      <w:szCs w:val="19"/>
                    </w:rPr>
                    <w:t xml:space="preserve">Three species were studied:</w:t>
                  </w:r>
                </w:p>
                <w:p>
                  <w:pPr>
                    <w:spacing w:before="30" w:after="30"/>
                  </w:pPr>
                  <w:r>
                    <w:rPr>
                      <w:rFonts w:ascii="Arial" w:cs="Arial" w:eastAsia="Arial" w:hAnsi="Arial"/>
                      <w:color w:val="1C1C1C"/>
                      <w:sz w:val="19"/>
                      <w:szCs w:val="19"/>
                    </w:rPr>
                    <w:t xml:space="preserve">• S. majus — hollow habitat</w:t>
                  </w:r>
                </w:p>
                <w:p>
                  <w:pPr>
                    <w:spacing w:before="30" w:after="30"/>
                  </w:pPr>
                  <w:r>
                    <w:rPr>
                      <w:rFonts w:ascii="Arial" w:cs="Arial" w:eastAsia="Arial" w:hAnsi="Arial"/>
                      <w:color w:val="1C1C1C"/>
                      <w:sz w:val="19"/>
                      <w:szCs w:val="19"/>
                    </w:rPr>
                    <w:t xml:space="preserve">• S. balticum — lawn habitat</w:t>
                  </w:r>
                </w:p>
                <w:p>
                  <w:pPr>
                    <w:spacing w:before="30" w:after="30"/>
                  </w:pPr>
                  <w:r>
                    <w:rPr>
                      <w:rFonts w:ascii="Arial" w:cs="Arial" w:eastAsia="Arial" w:hAnsi="Arial"/>
                      <w:color w:val="1C1C1C"/>
                      <w:sz w:val="19"/>
                      <w:szCs w:val="19"/>
                    </w:rPr>
                    <w:t xml:space="preserve">• S. fuscum — hummock habitat</w:t>
                  </w:r>
                </w:p>
              </w:tc>
            </w:tr>
          </w:tbl>
          <w:p/>
        </w:tc>
      </w:tr>
    </w:tbl>
    <w:p>
      <w:pPr>
        <w:spacing w:before="0" w:after="60"/>
      </w:pPr>
      <w:r>
        <w:t xml:space="preserve"/>
      </w:r>
    </w:p>
    <w:p>
      <w:pPr>
        <w:pBdr>
          <w:bottom w:val="single" w:color="1A5276" w:sz="6" w:space="6"/>
        </w:pBdr>
        <w:spacing w:before="360" w:after="120"/>
      </w:pPr>
      <w:r>
        <w:rPr>
          <w:rFonts w:ascii="Arial" w:cs="Arial" w:eastAsia="Arial" w:hAnsi="Arial"/>
          <w:b/>
          <w:bCs/>
          <w:color w:val="1A5276"/>
          <w:sz w:val="36"/>
          <w:szCs w:val="36"/>
        </w:rPr>
        <w:t xml:space="preserve">2. Original Experimental Design (Nijp et al., 2014)</w:t>
      </w:r>
    </w:p>
    <w:p>
      <w:pPr>
        <w:spacing w:before="60" w:after="80"/>
        <w:jc w:val="both"/>
      </w:pPr>
      <w:r>
        <w:rPr>
          <w:rFonts w:ascii="Arial" w:cs="Arial" w:eastAsia="Arial" w:hAnsi="Arial"/>
          <w:color w:val="1C1C1C"/>
          <w:sz w:val="20"/>
          <w:szCs w:val="20"/>
        </w:rPr>
        <w:t xml:space="preserve">Intact moss cores were collected from Kulflyten, an ombrotrophic mire in southern Sweden (59°54'N, 15°50'E), representing three hydrologically distinct microhabitats. Cores were placed in water retention cylinders in a growth chamber simulating July conditions. Two experimental factors were crossed in a full factorial design:</w:t>
      </w:r>
    </w:p>
    <w:p>
      <w:pPr>
        <w:pStyle w:val="ListParagraph"/>
        <w:numPr>
          <w:ilvl w:val="0"/>
          <w:numId w:val="2"/>
        </w:numPr>
        <w:spacing w:before="40" w:after="40"/>
      </w:pPr>
      <w:r>
        <w:rPr>
          <w:rFonts w:ascii="Arial" w:cs="Arial" w:eastAsia="Arial" w:hAnsi="Arial"/>
          <w:color w:val="1C1C1C"/>
          <w:sz w:val="20"/>
          <w:szCs w:val="20"/>
        </w:rPr>
        <w:t xml:space="preserve">Water table levels: four stages — Wet, Moist, Dry, and Rewetted — mimicking seasonal progression through summer drought and recovery</w:t>
      </w:r>
    </w:p>
    <w:p>
      <w:pPr>
        <w:pStyle w:val="ListParagraph"/>
        <w:numPr>
          <w:ilvl w:val="0"/>
          <w:numId w:val="2"/>
        </w:numPr>
        <w:spacing w:before="40" w:after="40"/>
      </w:pPr>
      <w:r>
        <w:rPr>
          <w:rFonts w:ascii="Arial" w:cs="Arial" w:eastAsia="Arial" w:hAnsi="Arial"/>
          <w:color w:val="1C1C1C"/>
          <w:sz w:val="20"/>
          <w:szCs w:val="20"/>
        </w:rPr>
        <w:t xml:space="preserve">Precipitation frequency: five treatment levels (once per 2, 4, 6, or 8 days, plus no precipitation), with total precipitation amount held constant across treatments to isolate the frequency effect</w:t>
      </w:r>
    </w:p>
    <w:p>
      <w:pPr>
        <w:spacing w:before="60" w:after="80"/>
        <w:jc w:val="both"/>
      </w:pPr>
      <w:r>
        <w:rPr>
          <w:rFonts w:ascii="Arial" w:cs="Arial" w:eastAsia="Arial" w:hAnsi="Arial"/>
          <w:color w:val="1C1C1C"/>
          <w:sz w:val="20"/>
          <w:szCs w:val="20"/>
        </w:rPr>
        <w:t xml:space="preserve">Carbon uptake was assessed via Net Ecosystem Exchange (NEE) measured using closed flux chambers and a photoacoustic gas analyser. Water balance components were quantified across all treatment combinations. Photosystem II (PSII) efficiency was measured by chlorophyll fluorescence (Mini-PAM) to directly link water content with photosynthetic performance. Species-specific calibrations allowed conversion of dielectric constants to volumetric water content (VWC).</w:t>
      </w:r>
    </w:p>
    <w:p>
      <w:r>
        <w:br w:type="page"/>
      </w:r>
    </w:p>
    <w:p>
      <w:pPr>
        <w:pBdr>
          <w:bottom w:val="single" w:color="1A5276" w:sz="6" w:space="6"/>
        </w:pBdr>
        <w:spacing w:before="360" w:after="120"/>
      </w:pPr>
      <w:r>
        <w:rPr>
          <w:rFonts w:ascii="Arial" w:cs="Arial" w:eastAsia="Arial" w:hAnsi="Arial"/>
          <w:b/>
          <w:bCs/>
          <w:color w:val="1A5276"/>
          <w:sz w:val="36"/>
          <w:szCs w:val="36"/>
        </w:rPr>
        <w:t xml:space="preserve">3. Key Ecological Findings</w:t>
      </w:r>
    </w:p>
    <w:p>
      <w:pPr>
        <w:spacing w:before="240" w:after="80"/>
      </w:pPr>
      <w:r>
        <w:rPr>
          <w:rFonts w:ascii="Arial" w:cs="Arial" w:eastAsia="Arial" w:hAnsi="Arial"/>
          <w:b/>
          <w:bCs/>
          <w:color w:val="1A5276"/>
          <w:sz w:val="26"/>
          <w:szCs w:val="26"/>
        </w:rPr>
        <w:t xml:space="preserve">3.1 Precipitation Dependence Increases Under Drought</w:t>
      </w:r>
    </w:p>
    <w:p>
      <w:pPr>
        <w:spacing w:before="60" w:after="80"/>
        <w:jc w:val="both"/>
      </w:pPr>
      <w:r>
        <w:rPr>
          <w:rFonts w:ascii="Arial" w:cs="Arial" w:eastAsia="Arial" w:hAnsi="Arial"/>
          <w:color w:val="1C1C1C"/>
          <w:sz w:val="20"/>
          <w:szCs w:val="20"/>
        </w:rPr>
        <w:t xml:space="preserve">As water tables deepened, capillary rise from groundwater to the living moss layer declined sharply. Under dry conditions, precipitation became the dominant water source across all three species. On average, reliance on precipitation increased by 37% between moist and drought conditions. Under drought, between 53–67% of evaporative water loss was met by retained precipitation, compared to just 8–34% under moist conditions (Nijp et al., 2014, Table 3). This demonstrates that precipitation frequency is not merely supplementary — it becomes ecologically essential when water tables are deep.</w:t>
      </w:r>
    </w:p>
    <w:p>
      <w:pPr>
        <w:spacing w:before="240" w:after="80"/>
      </w:pPr>
      <w:r>
        <w:rPr>
          <w:rFonts w:ascii="Arial" w:cs="Arial" w:eastAsia="Arial" w:hAnsi="Arial"/>
          <w:b/>
          <w:bCs/>
          <w:color w:val="1A5276"/>
          <w:sz w:val="26"/>
          <w:szCs w:val="26"/>
        </w:rPr>
        <w:t xml:space="preserve">3.2 Species-Specific Responses to Precipitation Frequency</w:t>
      </w:r>
    </w:p>
    <w:p>
      <w:pPr>
        <w:spacing w:before="60" w:after="80"/>
        <w:jc w:val="both"/>
      </w:pPr>
      <w:r>
        <w:rPr>
          <w:rFonts w:ascii="Arial" w:cs="Arial" w:eastAsia="Arial" w:hAnsi="Arial"/>
          <w:color w:val="1C1C1C"/>
          <w:sz w:val="20"/>
          <w:szCs w:val="20"/>
        </w:rPr>
        <w:t xml:space="preserve">A critical finding was that the benefit of precipitation frequency was highly species-specific and non-linear for some species. Under drought:</w:t>
      </w:r>
    </w:p>
    <w:p>
      <w:pPr>
        <w:pStyle w:val="ListParagraph"/>
        <w:numPr>
          <w:ilvl w:val="0"/>
          <w:numId w:val="2"/>
        </w:numPr>
        <w:spacing w:before="40" w:after="40"/>
      </w:pPr>
      <w:r>
        <w:rPr>
          <w:rFonts w:ascii="Arial" w:cs="Arial" w:eastAsia="Arial" w:hAnsi="Arial"/>
          <w:color w:val="1C1C1C"/>
          <w:sz w:val="20"/>
          <w:szCs w:val="20"/>
        </w:rPr>
        <w:t xml:space="preserve">S. fuscum (hummock): Carbon uptake increased linearly with precipitation frequency. Frequent rain events progressively offset the drought penalty. This species appears to be a ‘low-inertia’ plant — it activates photosynthesis rapidly after rewetting, an adaptation suited to the erratic water supply of exposed hummock habitats.</w:t>
      </w:r>
    </w:p>
    <w:p>
      <w:pPr>
        <w:pStyle w:val="ListParagraph"/>
        <w:numPr>
          <w:ilvl w:val="0"/>
          <w:numId w:val="2"/>
        </w:numPr>
        <w:spacing w:before="40" w:after="40"/>
      </w:pPr>
      <w:r>
        <w:rPr>
          <w:rFonts w:ascii="Arial" w:cs="Arial" w:eastAsia="Arial" w:hAnsi="Arial"/>
          <w:color w:val="1C1C1C"/>
          <w:sz w:val="20"/>
          <w:szCs w:val="20"/>
        </w:rPr>
        <w:t xml:space="preserve">S. balticum (lawn) and S. majus (hollow): These species responded non-linearly. Carbon uptake was actually depressed at intermediate precipitation frequencies (e.g., once per 4 days), compared to high-frequency events. This counterintuitive result suggests these ‘high-inertia’ species take longer to reactivate photosynthesis, and infrequent rewetting may trigger metabolite leakage without providing sufficient time for productive carbon gain.</w:t>
      </w:r>
    </w:p>
    <w:p>
      <w:pPr>
        <w:pStyle w:val="ListParagraph"/>
        <w:numPr>
          <w:ilvl w:val="0"/>
          <w:numId w:val="2"/>
        </w:numPr>
        <w:spacing w:before="40" w:after="40"/>
      </w:pPr>
      <w:r>
        <w:rPr>
          <w:rFonts w:ascii="Arial" w:cs="Arial" w:eastAsia="Arial" w:hAnsi="Arial"/>
          <w:color w:val="1C1C1C"/>
          <w:sz w:val="20"/>
          <w:szCs w:val="20"/>
        </w:rPr>
        <w:t xml:space="preserve">All species showed no significant effect of precipitation frequency when the water table was high (wet conditions), confirming that frequency effects only matter when capillary supply is inadequate.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1A5276" w:sz="4"/>
              <w:right w:val="single" w:color="1A5276" w:sz="4"/>
            </w:tcBorders>
            <w:shd w:fill="EBF5FB" w:val="clear"/>
            <w:tcMar>
              <w:top w:type="dxa" w:w="120"/>
              <w:left w:type="dxa" w:w="200"/>
              <w:bottom w:type="dxa" w:w="120"/>
              <w:right w:type="dxa" w:w="200"/>
            </w:tcMar>
          </w:tcPr>
          <w:p>
            <w:pPr>
              <w:spacing w:before="40" w:after="60"/>
            </w:pPr>
            <w:r>
              <w:rPr>
                <w:rFonts w:ascii="Arial" w:cs="Arial" w:eastAsia="Arial" w:hAnsi="Arial"/>
                <w:b/>
                <w:bCs/>
                <w:color w:val="1A5276"/>
                <w:sz w:val="20"/>
                <w:szCs w:val="20"/>
              </w:rPr>
              <w:t xml:space="preserve">Critical Moisture Thresholds (S. balticum)</w:t>
            </w:r>
          </w:p>
          <w:p>
            <w:pPr>
              <w:spacing w:before="30" w:after="30"/>
            </w:pPr>
            <w:r>
              <w:rPr>
                <w:rFonts w:ascii="Arial" w:cs="Arial" w:eastAsia="Arial" w:hAnsi="Arial"/>
                <w:color w:val="1C1C1C"/>
                <w:sz w:val="19"/>
                <w:szCs w:val="19"/>
              </w:rPr>
              <w:t xml:space="preserve">A third-order polynomial regression (R² = 0.28) revealed that S. balticum switches from carbon sink to</w:t>
            </w:r>
          </w:p>
          <w:p>
            <w:pPr>
              <w:spacing w:before="30" w:after="30"/>
            </w:pPr>
            <w:r>
              <w:rPr>
                <w:rFonts w:ascii="Arial" w:cs="Arial" w:eastAsia="Arial" w:hAnsi="Arial"/>
                <w:color w:val="1C1C1C"/>
                <w:sz w:val="19"/>
                <w:szCs w:val="19"/>
              </w:rPr>
              <w:t xml:space="preserve">carbon source at a volumetric water content of ~0.48 m³/m³. This tipping point coincided precisely with</w:t>
            </w:r>
          </w:p>
          <w:p>
            <w:pPr>
              <w:spacing w:before="30" w:after="30"/>
            </w:pPr>
            <w:r>
              <w:rPr>
                <w:rFonts w:ascii="Arial" w:cs="Arial" w:eastAsia="Arial" w:hAnsi="Arial"/>
                <w:color w:val="1C1C1C"/>
                <w:sz w:val="19"/>
                <w:szCs w:val="19"/>
              </w:rPr>
              <w:t xml:space="preserve">the VWC at which PSII efficiency dropped sharply (~0.49 m³/m³; R² = 0.55), confirming photosynthesis</w:t>
            </w:r>
          </w:p>
          <w:p>
            <w:pPr>
              <w:spacing w:before="30" w:after="30"/>
            </w:pPr>
            <w:r>
              <w:rPr>
                <w:rFonts w:ascii="Arial" w:cs="Arial" w:eastAsia="Arial" w:hAnsi="Arial"/>
                <w:color w:val="1C1C1C"/>
                <w:sz w:val="19"/>
                <w:szCs w:val="19"/>
              </w:rPr>
              <w:t xml:space="preserve">as the primary driver of carbon balance in the living moss layer. This corresponds to a water table depth of</w:t>
            </w:r>
          </w:p>
          <w:p>
            <w:pPr>
              <w:spacing w:before="30" w:after="30"/>
            </w:pPr>
            <w:r>
              <w:rPr>
                <w:rFonts w:ascii="Arial" w:cs="Arial" w:eastAsia="Arial" w:hAnsi="Arial"/>
                <w:color w:val="1C1C1C"/>
                <w:sz w:val="19"/>
                <w:szCs w:val="19"/>
              </w:rPr>
              <w:t xml:space="preserve">approximately 30 cm. Similar trends were observed for S. majus and S. fuscum.</w:t>
            </w:r>
          </w:p>
        </w:tc>
      </w:tr>
    </w:tbl>
    <w:p>
      <w:pPr>
        <w:spacing w:before="0" w:after="60"/>
      </w:pPr>
      <w:r>
        <w:t xml:space="preserve"/>
      </w:r>
    </w:p>
    <w:p>
      <w:pPr>
        <w:spacing w:before="240" w:after="80"/>
      </w:pPr>
      <w:r>
        <w:rPr>
          <w:rFonts w:ascii="Arial" w:cs="Arial" w:eastAsia="Arial" w:hAnsi="Arial"/>
          <w:b/>
          <w:bCs/>
          <w:color w:val="1A5276"/>
          <w:sz w:val="26"/>
          <w:szCs w:val="26"/>
        </w:rPr>
        <w:t xml:space="preserve">3.3 Post-Drought Recovery</w:t>
      </w:r>
    </w:p>
    <w:p>
      <w:pPr>
        <w:spacing w:before="60" w:after="80"/>
        <w:jc w:val="both"/>
      </w:pPr>
      <w:r>
        <w:rPr>
          <w:rFonts w:ascii="Arial" w:cs="Arial" w:eastAsia="Arial" w:hAnsi="Arial"/>
          <w:color w:val="1C1C1C"/>
          <w:sz w:val="20"/>
          <w:szCs w:val="20"/>
        </w:rPr>
        <w:t xml:space="preserve">Eleven days after water tables were restored to pre-drought levels, S. fuscum nearly fully recovered its carbon uptake (paired t-test: P = 0.081). S. balticum and S. majus showed significantly incomplete recovery, indicating persistent drought legacy effects. For S. balticum, recovery improved with increasing precipitation frequency — highlighting the cumulative benefit of sustained frequent rain. Recovery was not significantly linked to chlorophyll content, suggesting functional rather than structural damage drove the suppressed uptake.</w:t>
      </w:r>
    </w:p>
    <w:p>
      <w:r>
        <w:br w:type="page"/>
      </w:r>
    </w:p>
    <w:p>
      <w:pPr>
        <w:pBdr>
          <w:bottom w:val="single" w:color="1A5276" w:sz="6" w:space="6"/>
        </w:pBdr>
        <w:spacing w:before="360" w:after="120"/>
      </w:pPr>
      <w:r>
        <w:rPr>
          <w:rFonts w:ascii="Arial" w:cs="Arial" w:eastAsia="Arial" w:hAnsi="Arial"/>
          <w:b/>
          <w:bCs/>
          <w:color w:val="1A5276"/>
          <w:sz w:val="36"/>
          <w:szCs w:val="36"/>
        </w:rPr>
        <w:t xml:space="preserve">4. Extended Methodology: Machine Learning &amp; Deep Learning Framework</w:t>
      </w:r>
    </w:p>
    <w:p>
      <w:pPr>
        <w:spacing w:before="60" w:after="80"/>
        <w:jc w:val="both"/>
      </w:pPr>
      <w:r>
        <w:rPr>
          <w:rFonts w:ascii="Arial" w:cs="Arial" w:eastAsia="Arial" w:hAnsi="Arial"/>
          <w:color w:val="1C1C1C"/>
          <w:sz w:val="20"/>
          <w:szCs w:val="20"/>
        </w:rPr>
        <w:t xml:space="preserve">To move beyond traditional polynomial regression and mechanistic modelling, an integrated ML/DL pipeline was developed using the five datasets released alongside Nijp et al. (2014). The framework replaces static curve-fitting with data-driven models capable of capturing complex, species-specific, multi-factor interactions across the carbon cycle, hydrology, and photosynthetic physiology of Sphagnum.</w:t>
      </w:r>
    </w:p>
    <w:p>
      <w:pPr>
        <w:spacing w:before="240" w:after="80"/>
      </w:pPr>
      <w:r>
        <w:rPr>
          <w:rFonts w:ascii="Arial" w:cs="Arial" w:eastAsia="Arial" w:hAnsi="Arial"/>
          <w:b/>
          <w:bCs/>
          <w:color w:val="1A5276"/>
          <w:sz w:val="26"/>
          <w:szCs w:val="26"/>
        </w:rPr>
        <w:t xml:space="preserve">4.1 Dataset Overview</w:t>
      </w:r>
    </w:p>
    <w:p>
      <w:pPr>
        <w:spacing w:before="60" w:after="80"/>
        <w:jc w:val="both"/>
      </w:pPr>
      <w:r>
        <w:rPr>
          <w:rFonts w:ascii="Arial" w:cs="Arial" w:eastAsia="Arial" w:hAnsi="Arial"/>
          <w:color w:val="1C1C1C"/>
          <w:sz w:val="20"/>
          <w:szCs w:val="20"/>
        </w:rPr>
        <w:t xml:space="preserve">Five structured datasets from the original experiment informed the modelling framework. Missing values encoded as -999 were handled during preprocessing. Each dataset targets a distinct ecological process:</w:t>
      </w:r>
    </w:p>
    <w:p>
      <w:pPr>
        <w:pStyle w:val="ListParagraph"/>
        <w:numPr>
          <w:ilvl w:val="0"/>
          <w:numId w:val="2"/>
        </w:numPr>
        <w:spacing w:before="40" w:after="40"/>
      </w:pPr>
      <w:r>
        <w:rPr>
          <w:rFonts w:ascii="Arial" w:cs="Arial" w:eastAsia="Arial" w:hAnsi="Arial"/>
          <w:color w:val="1C1C1C"/>
          <w:sz w:val="20"/>
          <w:szCs w:val="20"/>
        </w:rPr>
        <w:t xml:space="preserve">Dataset 1 (Precipitation_dependence.dat): Fraction of evaporation from retained precipitation (fp) — measures precipitation reliance</w:t>
      </w:r>
    </w:p>
    <w:p>
      <w:pPr>
        <w:pStyle w:val="ListParagraph"/>
        <w:numPr>
          <w:ilvl w:val="0"/>
          <w:numId w:val="2"/>
        </w:numPr>
        <w:spacing w:before="40" w:after="40"/>
      </w:pPr>
      <w:r>
        <w:rPr>
          <w:rFonts w:ascii="Arial" w:cs="Arial" w:eastAsia="Arial" w:hAnsi="Arial"/>
          <w:color w:val="1C1C1C"/>
          <w:sz w:val="20"/>
          <w:szCs w:val="20"/>
        </w:rPr>
        <w:t xml:space="preserve">Dataset 2 (Carbon_fluxes.dat): Net Ecosystem Exchange (NEE) across all species, water table and rain frequency combinations</w:t>
      </w:r>
    </w:p>
    <w:p>
      <w:pPr>
        <w:pStyle w:val="ListParagraph"/>
        <w:numPr>
          <w:ilvl w:val="0"/>
          <w:numId w:val="2"/>
        </w:numPr>
        <w:spacing w:before="40" w:after="40"/>
      </w:pPr>
      <w:r>
        <w:rPr>
          <w:rFonts w:ascii="Arial" w:cs="Arial" w:eastAsia="Arial" w:hAnsi="Arial"/>
          <w:color w:val="1C1C1C"/>
          <w:sz w:val="20"/>
          <w:szCs w:val="20"/>
        </w:rPr>
        <w:t xml:space="preserve">Dataset 3 (VWCvsNEE.dat): Relationship between volumetric water content and carbon balance</w:t>
      </w:r>
    </w:p>
    <w:p>
      <w:pPr>
        <w:pStyle w:val="ListParagraph"/>
        <w:numPr>
          <w:ilvl w:val="0"/>
          <w:numId w:val="2"/>
        </w:numPr>
        <w:spacing w:before="40" w:after="40"/>
      </w:pPr>
      <w:r>
        <w:rPr>
          <w:rFonts w:ascii="Arial" w:cs="Arial" w:eastAsia="Arial" w:hAnsi="Arial"/>
          <w:color w:val="1C1C1C"/>
          <w:sz w:val="20"/>
          <w:szCs w:val="20"/>
        </w:rPr>
        <w:t xml:space="preserve">Dataset 4 (VWCvsPSII.dat): Relationship between VWC and Photosystem II efficiency</w:t>
      </w:r>
    </w:p>
    <w:p>
      <w:pPr>
        <w:pStyle w:val="ListParagraph"/>
        <w:numPr>
          <w:ilvl w:val="0"/>
          <w:numId w:val="2"/>
        </w:numPr>
        <w:spacing w:before="40" w:after="40"/>
      </w:pPr>
      <w:r>
        <w:rPr>
          <w:rFonts w:ascii="Arial" w:cs="Arial" w:eastAsia="Arial" w:hAnsi="Arial"/>
          <w:color w:val="1C1C1C"/>
          <w:sz w:val="20"/>
          <w:szCs w:val="20"/>
        </w:rPr>
        <w:t xml:space="preserve">Dataset 5 (Recovery.dat): Post-drought recovery of carbon exchange per species and rain treatment</w:t>
      </w:r>
    </w:p>
    <w:p>
      <w:pPr>
        <w:spacing w:before="0" w:after="60"/>
      </w:pPr>
      <w:r>
        <w:t xml:space="preserve"/>
      </w:r>
    </w:p>
    <w:p>
      <w:pPr>
        <w:spacing w:before="240" w:after="80"/>
      </w:pPr>
      <w:r>
        <w:rPr>
          <w:rFonts w:ascii="Arial" w:cs="Arial" w:eastAsia="Arial" w:hAnsi="Arial"/>
          <w:b/>
          <w:bCs/>
          <w:color w:val="1A5276"/>
          <w:sz w:val="26"/>
          <w:szCs w:val="26"/>
        </w:rPr>
        <w:t xml:space="preserve">4.2 Model Architecture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3260"/>
      </w:tblGrid>
      <w:tr>
        <w:tc>
          <w:tcPr>
            <w:tcW w:type="dxa" w:w="1600"/>
            <w:tcBorders>
              <w:top w:val="single" w:color="AAAAAA" w:sz="2"/>
              <w:left w:val="single" w:color="AAAAAA" w:sz="2"/>
              <w:bottom w:val="single" w:color="AAAAAA" w:sz="2"/>
              <w:right w:val="single" w:color="AAAAAA" w:sz="2"/>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Model</w:t>
            </w:r>
          </w:p>
        </w:tc>
        <w:tc>
          <w:tcPr>
            <w:tcW w:type="dxa" w:w="2000"/>
            <w:tcBorders>
              <w:top w:val="single" w:color="AAAAAA" w:sz="2"/>
              <w:left w:val="single" w:color="AAAAAA" w:sz="2"/>
              <w:bottom w:val="single" w:color="AAAAAA" w:sz="2"/>
              <w:right w:val="single" w:color="AAAAAA" w:sz="2"/>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Variable</w:t>
            </w:r>
          </w:p>
        </w:tc>
        <w:tc>
          <w:tcPr>
            <w:tcW w:type="dxa" w:w="2500"/>
            <w:tcBorders>
              <w:top w:val="single" w:color="AAAAAA" w:sz="2"/>
              <w:left w:val="single" w:color="AAAAAA" w:sz="2"/>
              <w:bottom w:val="single" w:color="AAAAAA" w:sz="2"/>
              <w:right w:val="single" w:color="AAAAAA" w:sz="2"/>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Feature</w:t>
            </w:r>
          </w:p>
        </w:tc>
        <w:tc>
          <w:tcPr>
            <w:tcW w:type="dxa" w:w="3260"/>
            <w:tcBorders>
              <w:top w:val="single" w:color="AAAAAA" w:sz="2"/>
              <w:left w:val="single" w:color="AAAAAA" w:sz="2"/>
              <w:bottom w:val="single" w:color="AAAAAA" w:sz="2"/>
              <w:right w:val="single" w:color="AAAAAA" w:sz="2"/>
            </w:tcBorders>
            <w:shd w:fill="1A527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Justification</w:t>
            </w:r>
          </w:p>
        </w:tc>
      </w:tr>
      <w:tr>
        <w:tc>
          <w:tcPr>
            <w:tcW w:type="dxa" w:w="1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XGBoost</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Net Ecosystem Exchange (NEE)</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Species, Rain Freq, Water Table</w:t>
            </w:r>
          </w:p>
        </w:tc>
        <w:tc>
          <w:tcPr>
            <w:tcW w:type="dxa" w:w="32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Handles mixed tabular data; captures non-linear interactions</w:t>
            </w:r>
          </w:p>
        </w:tc>
      </w:tr>
      <w:tr>
        <w:tc>
          <w:tcPr>
            <w:tcW w:type="dxa" w:w="160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SVR (RBF Kernel)</w:t>
            </w:r>
          </w:p>
        </w:tc>
        <w:tc>
          <w:tcPr>
            <w:tcW w:type="dxa" w:w="200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PSII Efficiency</w:t>
            </w:r>
          </w:p>
        </w:tc>
        <w:tc>
          <w:tcPr>
            <w:tcW w:type="dxa" w:w="250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Species, VWC</w:t>
            </w:r>
          </w:p>
        </w:tc>
        <w:tc>
          <w:tcPr>
            <w:tcW w:type="dxa" w:w="326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RBF kernel maps the photosynthetic shutdown threshold</w:t>
            </w:r>
          </w:p>
        </w:tc>
      </w:tr>
      <w:tr>
        <w:tc>
          <w:tcPr>
            <w:tcW w:type="dxa" w:w="1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LSTM (PyTorch)</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Drought NEE</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Sequential Wet/Moist NEE</w:t>
            </w:r>
          </w:p>
        </w:tc>
        <w:tc>
          <w:tcPr>
            <w:tcW w:type="dxa" w:w="32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Models drying history as time-series for drought forecast</w:t>
            </w:r>
          </w:p>
        </w:tc>
      </w:tr>
      <w:tr>
        <w:tc>
          <w:tcPr>
            <w:tcW w:type="dxa" w:w="160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Random Forest</w:t>
            </w:r>
          </w:p>
        </w:tc>
        <w:tc>
          <w:tcPr>
            <w:tcW w:type="dxa" w:w="200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Precipitation Dependence (fp)</w:t>
            </w:r>
          </w:p>
        </w:tc>
        <w:tc>
          <w:tcPr>
            <w:tcW w:type="dxa" w:w="250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Water Table, Rain Freq</w:t>
            </w:r>
          </w:p>
        </w:tc>
        <w:tc>
          <w:tcPr>
            <w:tcW w:type="dxa" w:w="3260"/>
            <w:tcBorders>
              <w:top w:val="single" w:color="AAAAAA" w:sz="2"/>
              <w:left w:val="single" w:color="AAAAAA" w:sz="2"/>
              <w:bottom w:val="single" w:color="AAAAAA" w:sz="2"/>
              <w:right w:val="single" w:color="AAAAAA" w:sz="2"/>
            </w:tcBorders>
            <w:shd w:fill="EBF5FB"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Robust baseline for multi-factor tabular regression</w:t>
            </w:r>
          </w:p>
        </w:tc>
      </w:tr>
      <w:tr>
        <w:tc>
          <w:tcPr>
            <w:tcW w:type="dxa" w:w="1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Ridge Regression</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Recovery NEE</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Pre-drought NEE, Species</w:t>
            </w:r>
          </w:p>
        </w:tc>
        <w:tc>
          <w:tcPr>
            <w:tcW w:type="dxa" w:w="32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18"/>
                <w:szCs w:val="18"/>
              </w:rPr>
              <w:t xml:space="preserve">Interpretable linear baseline for post-drought response</w:t>
            </w:r>
          </w:p>
        </w:tc>
      </w:tr>
    </w:tbl>
    <w:p>
      <w:pPr>
        <w:spacing w:before="0" w:after="60"/>
      </w:pPr>
      <w:r>
        <w:t xml:space="preserve"/>
      </w:r>
    </w:p>
    <w:p>
      <w:pPr>
        <w:spacing w:before="240" w:after="80"/>
      </w:pPr>
      <w:r>
        <w:rPr>
          <w:rFonts w:ascii="Arial" w:cs="Arial" w:eastAsia="Arial" w:hAnsi="Arial"/>
          <w:b/>
          <w:bCs/>
          <w:color w:val="1A5276"/>
          <w:sz w:val="26"/>
          <w:szCs w:val="26"/>
        </w:rPr>
        <w:t xml:space="preserve">4.3 Model Details</w:t>
      </w:r>
    </w:p>
    <w:p>
      <w:pPr>
        <w:spacing w:before="160" w:after="60"/>
      </w:pPr>
      <w:r>
        <w:rPr>
          <w:rFonts w:ascii="Arial" w:cs="Arial" w:eastAsia="Arial" w:hAnsi="Arial"/>
          <w:b/>
          <w:bCs/>
          <w:color w:val="F39C12"/>
          <w:sz w:val="22"/>
          <w:szCs w:val="22"/>
        </w:rPr>
        <w:t xml:space="preserve">XGBoost: Carbon Flux Predictor (xgboost_nee.py)</w:t>
      </w:r>
    </w:p>
    <w:p>
      <w:pPr>
        <w:spacing w:before="60" w:after="80"/>
        <w:jc w:val="both"/>
      </w:pPr>
      <w:r>
        <w:rPr>
          <w:rFonts w:ascii="Arial" w:cs="Arial" w:eastAsia="Arial" w:hAnsi="Arial"/>
          <w:color w:val="1C1C1C"/>
          <w:sz w:val="20"/>
          <w:szCs w:val="20"/>
        </w:rPr>
        <w:t xml:space="preserve">XGBoost was selected for NEE prediction because it naturally handles the mixed data structure of this experiment: categorical species labels alongside continuous precipitation and water table values. Gradient boosting iteratively corrects residuals, making it well-suited to the non-linear, species-specific relationships between drought intensity and carbon exchange documented by Nijp et al. (2014). Output includes a confusion matrix classifying mesocosms as carbon sinks (NEE &lt; 0) or sources (NEE &gt; 0), directly linking model performance to ecological interpretation.</w:t>
      </w:r>
    </w:p>
    <w:p>
      <w:pPr>
        <w:spacing w:before="160" w:after="60"/>
      </w:pPr>
      <w:r>
        <w:rPr>
          <w:rFonts w:ascii="Arial" w:cs="Arial" w:eastAsia="Arial" w:hAnsi="Arial"/>
          <w:b/>
          <w:bCs/>
          <w:color w:val="F39C12"/>
          <w:sz w:val="22"/>
          <w:szCs w:val="22"/>
        </w:rPr>
        <w:t xml:space="preserve">Support Vector Regression (Photosynthesis.py)</w:t>
      </w:r>
    </w:p>
    <w:p>
      <w:pPr>
        <w:spacing w:before="60" w:after="80"/>
        <w:jc w:val="both"/>
      </w:pPr>
      <w:r>
        <w:rPr>
          <w:rFonts w:ascii="Arial" w:cs="Arial" w:eastAsia="Arial" w:hAnsi="Arial"/>
          <w:color w:val="1C1C1C"/>
          <w:sz w:val="20"/>
          <w:szCs w:val="20"/>
        </w:rPr>
        <w:t xml:space="preserve">An RBF-kernel SVR was applied to model PSII efficiency as a function of VWC and species identity. The RBF kernel is mathematically well-matched to the sharp, sigmoidal photosynthetic shutdown identified by the logistic function fits in Nijp et al. (2014, Equation 3), where PSII efficiency drops rapidly around a critical VWC threshold (~0.49 m³/m³ for S. balticum). The model outputs an Active/Inactive photosynthesis confusion matrix, echoing the ecological tipping-point framing of the original study.</w:t>
      </w:r>
    </w:p>
    <w:p>
      <w:pPr>
        <w:spacing w:before="160" w:after="60"/>
      </w:pPr>
      <w:r>
        <w:rPr>
          <w:rFonts w:ascii="Arial" w:cs="Arial" w:eastAsia="Arial" w:hAnsi="Arial"/>
          <w:b/>
          <w:bCs/>
          <w:color w:val="F39C12"/>
          <w:sz w:val="22"/>
          <w:szCs w:val="22"/>
        </w:rPr>
        <w:t xml:space="preserve">LSTM: Drought Sequence Predictor (lstm_drought_pytorch.py)</w:t>
      </w:r>
    </w:p>
    <w:p>
      <w:pPr>
        <w:spacing w:before="60" w:after="80"/>
        <w:jc w:val="both"/>
      </w:pPr>
      <w:r>
        <w:rPr>
          <w:rFonts w:ascii="Arial" w:cs="Arial" w:eastAsia="Arial" w:hAnsi="Arial"/>
          <w:color w:val="1C1C1C"/>
          <w:sz w:val="20"/>
          <w:szCs w:val="20"/>
        </w:rPr>
        <w:t xml:space="preserve">The LSTM treats the drying phases (Wet → Moist) as a temporal sequence, learning the trajectory of NEE decline in order to forecast final drought-state carbon uptake. This aligns with the sequential water table design of the original experiment and captures memory-dependent processes — such as the incomplete photosynthetic recovery observed in hollow and lawn species. The PyTorch implementation saves model weights (.pth) and outputs a Sink vs. Source confusion matrix.</w:t>
      </w:r>
    </w:p>
    <w:p>
      <w:r>
        <w:br w:type="page"/>
      </w:r>
    </w:p>
    <w:p>
      <w:pPr>
        <w:pBdr>
          <w:bottom w:val="single" w:color="1A5276" w:sz="6" w:space="6"/>
        </w:pBdr>
        <w:spacing w:before="360" w:after="120"/>
      </w:pPr>
      <w:r>
        <w:rPr>
          <w:rFonts w:ascii="Arial" w:cs="Arial" w:eastAsia="Arial" w:hAnsi="Arial"/>
          <w:b/>
          <w:bCs/>
          <w:color w:val="1A5276"/>
          <w:sz w:val="36"/>
          <w:szCs w:val="36"/>
        </w:rPr>
        <w:t xml:space="preserve">5. Synthesis: Bridging Ecology and Computational Modelling</w:t>
      </w:r>
    </w:p>
    <w:p>
      <w:pPr>
        <w:spacing w:before="240" w:after="80"/>
      </w:pPr>
      <w:r>
        <w:rPr>
          <w:rFonts w:ascii="Arial" w:cs="Arial" w:eastAsia="Arial" w:hAnsi="Arial"/>
          <w:b/>
          <w:bCs/>
          <w:color w:val="1A5276"/>
          <w:sz w:val="26"/>
          <w:szCs w:val="26"/>
        </w:rPr>
        <w:t xml:space="preserve">5.1 What the Original Study Could Not Capture</w:t>
      </w:r>
    </w:p>
    <w:p>
      <w:pPr>
        <w:spacing w:before="60" w:after="80"/>
        <w:jc w:val="both"/>
      </w:pPr>
      <w:r>
        <w:rPr>
          <w:rFonts w:ascii="Arial" w:cs="Arial" w:eastAsia="Arial" w:hAnsi="Arial"/>
          <w:color w:val="1C1C1C"/>
          <w:sz w:val="20"/>
          <w:szCs w:val="20"/>
        </w:rPr>
        <w:t xml:space="preserve">The Nijp et al. (2014) study made a foundational contribution: demonstrating that precipitation frequency, not just amount, shapes peatmoss carbon dynamics under drought. However, its analytical tools — polynomial regressions, logistic functions, and mixed linear models — are inherently limited in their capacity to generalise across the interactive, multi-species, multi-factor space of the experiment. The authors themselves noted that ecosystem models relying solely on water table depth as a proxy for Sphagnum water availability will have reduced predictive power when deep water tables prevail and precipitation becomes dominant (Nijp et al., 2014, Discussion).</w:t>
      </w:r>
    </w:p>
    <w:p>
      <w:pPr>
        <w:spacing w:before="60" w:after="80"/>
        <w:jc w:val="both"/>
      </w:pPr>
      <w:r>
        <w:rPr>
          <w:rFonts w:ascii="Arial" w:cs="Arial" w:eastAsia="Arial" w:hAnsi="Arial"/>
          <w:color w:val="1C1C1C"/>
          <w:sz w:val="20"/>
          <w:szCs w:val="20"/>
        </w:rPr>
        <w:t xml:space="preserve">The ML/DL framework directly addresses this limitation. By training on the full multi-dimensional dataset, XGBoost and the LSTM can implicitly learn species-by-frequency-by-water-table interactions that would require multiple separate statistical tests in a classical approach — and may generalise to untested combinations.</w:t>
      </w:r>
    </w:p>
    <w:p>
      <w:pPr>
        <w:spacing w:before="240" w:after="80"/>
      </w:pPr>
      <w:r>
        <w:rPr>
          <w:rFonts w:ascii="Arial" w:cs="Arial" w:eastAsia="Arial" w:hAnsi="Arial"/>
          <w:b/>
          <w:bCs/>
          <w:color w:val="1A5276"/>
          <w:sz w:val="26"/>
          <w:szCs w:val="26"/>
        </w:rPr>
        <w:t xml:space="preserve">5.2 Ecological Significance of Model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4"/>
                    <w:left w:val="single" w:color="1A5276" w:sz="4"/>
                    <w:bottom w:val="single" w:color="1A5276" w:sz="4"/>
                    <w:right w:val="single" w:color="1A5276" w:sz="4"/>
                  </w:tcBorders>
                  <w:shd w:fill="EBF5FB" w:val="clear"/>
                  <w:tcMar>
                    <w:top w:type="dxa" w:w="120"/>
                    <w:left w:type="dxa" w:w="200"/>
                    <w:bottom w:type="dxa" w:w="120"/>
                    <w:right w:type="dxa" w:w="200"/>
                  </w:tcMar>
                </w:tcPr>
                <w:p>
                  <w:pPr>
                    <w:spacing w:before="40" w:after="60"/>
                  </w:pPr>
                  <w:r>
                    <w:rPr>
                      <w:rFonts w:ascii="Arial" w:cs="Arial" w:eastAsia="Arial" w:hAnsi="Arial"/>
                      <w:b/>
                      <w:bCs/>
                      <w:color w:val="1A5276"/>
                      <w:sz w:val="20"/>
                      <w:szCs w:val="20"/>
                    </w:rPr>
                    <w:t xml:space="preserve">Low-Inertia vs High-Inertia Species</w:t>
                  </w:r>
                </w:p>
                <w:p>
                  <w:pPr>
                    <w:spacing w:before="30" w:after="30"/>
                  </w:pPr>
                  <w:r>
                    <w:rPr>
                      <w:rFonts w:ascii="Arial" w:cs="Arial" w:eastAsia="Arial" w:hAnsi="Arial"/>
                      <w:color w:val="1C1C1C"/>
                      <w:sz w:val="19"/>
                      <w:szCs w:val="19"/>
                    </w:rPr>
                    <w:t xml:space="preserve">S. fuscum (hummock) reactivates quickly</w:t>
                  </w:r>
                </w:p>
                <w:p>
                  <w:pPr>
                    <w:spacing w:before="30" w:after="30"/>
                  </w:pPr>
                  <w:r>
                    <w:rPr>
                      <w:rFonts w:ascii="Arial" w:cs="Arial" w:eastAsia="Arial" w:hAnsi="Arial"/>
                      <w:color w:val="1C1C1C"/>
                      <w:sz w:val="19"/>
                      <w:szCs w:val="19"/>
                    </w:rPr>
                    <w:t xml:space="preserve">after rewetting — modelled well by XGBoost's</w:t>
                  </w:r>
                </w:p>
                <w:p>
                  <w:pPr>
                    <w:spacing w:before="30" w:after="30"/>
                  </w:pPr>
                  <w:r>
                    <w:rPr>
                      <w:rFonts w:ascii="Arial" w:cs="Arial" w:eastAsia="Arial" w:hAnsi="Arial"/>
                      <w:color w:val="1C1C1C"/>
                      <w:sz w:val="19"/>
                      <w:szCs w:val="19"/>
                    </w:rPr>
                    <w:t xml:space="preserve">linear frequency-uptake relationship.</w:t>
                  </w:r>
                </w:p>
                <w:p>
                  <w:pPr>
                    <w:spacing w:before="30" w:after="30"/>
                  </w:pPr>
                  <w:r>
                    <w:rPr>
                      <w:rFonts w:ascii="Arial" w:cs="Arial" w:eastAsia="Arial" w:hAnsi="Arial"/>
                      <w:color w:val="1C1C1C"/>
                      <w:sz w:val="19"/>
                      <w:szCs w:val="19"/>
                    </w:rPr>
                    <w:t xml:space="preserve"/>
                  </w:r>
                </w:p>
                <w:p>
                  <w:pPr>
                    <w:spacing w:before="30" w:after="30"/>
                  </w:pPr>
                  <w:r>
                    <w:rPr>
                      <w:rFonts w:ascii="Arial" w:cs="Arial" w:eastAsia="Arial" w:hAnsi="Arial"/>
                      <w:color w:val="1C1C1C"/>
                      <w:sz w:val="19"/>
                      <w:szCs w:val="19"/>
                    </w:rPr>
                    <w:t xml:space="preserve">S. balticum &amp; S. majus (lawn/hollow) show</w:t>
                  </w:r>
                </w:p>
                <w:p>
                  <w:pPr>
                    <w:spacing w:before="30" w:after="30"/>
                  </w:pPr>
                  <w:r>
                    <w:rPr>
                      <w:rFonts w:ascii="Arial" w:cs="Arial" w:eastAsia="Arial" w:hAnsi="Arial"/>
                      <w:color w:val="1C1C1C"/>
                      <w:sz w:val="19"/>
                      <w:szCs w:val="19"/>
                    </w:rPr>
                    <w:t xml:space="preserve">non-linear, delayed recovery — the LSTM's</w:t>
                  </w:r>
                </w:p>
                <w:p>
                  <w:pPr>
                    <w:spacing w:before="30" w:after="30"/>
                  </w:pPr>
                  <w:r>
                    <w:rPr>
                      <w:rFonts w:ascii="Arial" w:cs="Arial" w:eastAsia="Arial" w:hAnsi="Arial"/>
                      <w:color w:val="1C1C1C"/>
                      <w:sz w:val="19"/>
                      <w:szCs w:val="19"/>
                    </w:rPr>
                    <w:t xml:space="preserve">sequential memory is uniquely suited to</w:t>
                  </w:r>
                </w:p>
                <w:p>
                  <w:pPr>
                    <w:spacing w:before="30" w:after="30"/>
                  </w:pPr>
                  <w:r>
                    <w:rPr>
                      <w:rFonts w:ascii="Arial" w:cs="Arial" w:eastAsia="Arial" w:hAnsi="Arial"/>
                      <w:color w:val="1C1C1C"/>
                      <w:sz w:val="19"/>
                      <w:szCs w:val="19"/>
                    </w:rPr>
                    <w:t xml:space="preserve">capturing this time-dependent behaviour.</w:t>
                  </w:r>
                </w:p>
              </w:tc>
            </w:tr>
          </w:tbl>
          <w:p/>
        </w:tc>
        <w:tc>
          <w:tcPr>
            <w:tcW w:type="dxa" w:w="4860"/>
            <w:tcBorders>
              <w:top w:val="none" w:color="FFFFFF" w:sz="0"/>
              <w:left w:val="none" w:color="FFFFFF" w:sz="0"/>
              <w:bottom w:val="none" w:color="FFFFFF" w:sz="0"/>
              <w:right w:val="none" w:color="FFFFFF" w:sz="0"/>
            </w:tcBorders>
            <w:tcMar>
              <w:top w:type="dxa" w:w="60"/>
              <w:left w:type="dxa" w:w="20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single" w:color="F39C12" w:sz="4"/>
                    <w:bottom w:val="single" w:color="F39C12" w:sz="4"/>
                    <w:right w:val="single" w:color="F39C12" w:sz="4"/>
                  </w:tcBorders>
                  <w:shd w:fill="FEF9E7" w:val="clear"/>
                  <w:tcMar>
                    <w:top w:type="dxa" w:w="120"/>
                    <w:left w:type="dxa" w:w="200"/>
                    <w:bottom w:type="dxa" w:w="120"/>
                    <w:right w:type="dxa" w:w="200"/>
                  </w:tcMar>
                </w:tcPr>
                <w:p>
                  <w:pPr>
                    <w:spacing w:before="40" w:after="60"/>
                  </w:pPr>
                  <w:r>
                    <w:rPr>
                      <w:rFonts w:ascii="Arial" w:cs="Arial" w:eastAsia="Arial" w:hAnsi="Arial"/>
                      <w:b/>
                      <w:bCs/>
                      <w:color w:val="F39C12"/>
                      <w:sz w:val="20"/>
                      <w:szCs w:val="20"/>
                    </w:rPr>
                    <w:t xml:space="preserve">Climate Change Implications</w:t>
                  </w:r>
                </w:p>
                <w:p>
                  <w:pPr>
                    <w:spacing w:before="30" w:after="30"/>
                  </w:pPr>
                  <w:r>
                    <w:rPr>
                      <w:rFonts w:ascii="Arial" w:cs="Arial" w:eastAsia="Arial" w:hAnsi="Arial"/>
                      <w:color w:val="1C1C1C"/>
                      <w:sz w:val="19"/>
                      <w:szCs w:val="19"/>
                    </w:rPr>
                    <w:t xml:space="preserve">Projections of less frequent but more</w:t>
                  </w:r>
                </w:p>
                <w:p>
                  <w:pPr>
                    <w:spacing w:before="30" w:after="30"/>
                  </w:pPr>
                  <w:r>
                    <w:rPr>
                      <w:rFonts w:ascii="Arial" w:cs="Arial" w:eastAsia="Arial" w:hAnsi="Arial"/>
                      <w:color w:val="1C1C1C"/>
                      <w:sz w:val="19"/>
                      <w:szCs w:val="19"/>
                    </w:rPr>
                    <w:t xml:space="preserve">intense precipitation (IPCC, 2007) are most</w:t>
                  </w:r>
                </w:p>
                <w:p>
                  <w:pPr>
                    <w:spacing w:before="30" w:after="30"/>
                  </w:pPr>
                  <w:r>
                    <w:rPr>
                      <w:rFonts w:ascii="Arial" w:cs="Arial" w:eastAsia="Arial" w:hAnsi="Arial"/>
                      <w:color w:val="1C1C1C"/>
                      <w:sz w:val="19"/>
                      <w:szCs w:val="19"/>
                    </w:rPr>
                    <w:t xml:space="preserve">damaging for hollow &amp; lawn species.</w:t>
                  </w:r>
                </w:p>
                <w:p>
                  <w:pPr>
                    <w:spacing w:before="30" w:after="30"/>
                  </w:pPr>
                  <w:r>
                    <w:rPr>
                      <w:rFonts w:ascii="Arial" w:cs="Arial" w:eastAsia="Arial" w:hAnsi="Arial"/>
                      <w:color w:val="1C1C1C"/>
                      <w:sz w:val="19"/>
                      <w:szCs w:val="19"/>
                    </w:rPr>
                    <w:t xml:space="preserve"/>
                  </w:r>
                </w:p>
                <w:p>
                  <w:pPr>
                    <w:spacing w:before="30" w:after="30"/>
                  </w:pPr>
                  <w:r>
                    <w:rPr>
                      <w:rFonts w:ascii="Arial" w:cs="Arial" w:eastAsia="Arial" w:hAnsi="Arial"/>
                      <w:color w:val="1C1C1C"/>
                      <w:sz w:val="19"/>
                      <w:szCs w:val="19"/>
                    </w:rPr>
                    <w:t xml:space="preserve">S. fuscum may gain competitive advantage</w:t>
                  </w:r>
                </w:p>
                <w:p>
                  <w:pPr>
                    <w:spacing w:before="30" w:after="30"/>
                  </w:pPr>
                  <w:r>
                    <w:rPr>
                      <w:rFonts w:ascii="Arial" w:cs="Arial" w:eastAsia="Arial" w:hAnsi="Arial"/>
                      <w:color w:val="1C1C1C"/>
                      <w:sz w:val="19"/>
                      <w:szCs w:val="19"/>
                    </w:rPr>
                    <w:t xml:space="preserve">as events become sparser — shifting peatland</w:t>
                  </w:r>
                </w:p>
                <w:p>
                  <w:pPr>
                    <w:spacing w:before="30" w:after="30"/>
                  </w:pPr>
                  <w:r>
                    <w:rPr>
                      <w:rFonts w:ascii="Arial" w:cs="Arial" w:eastAsia="Arial" w:hAnsi="Arial"/>
                      <w:color w:val="1C1C1C"/>
                      <w:sz w:val="19"/>
                      <w:szCs w:val="19"/>
                    </w:rPr>
                    <w:t xml:space="preserve">community composition and long-term</w:t>
                  </w:r>
                </w:p>
                <w:p>
                  <w:pPr>
                    <w:spacing w:before="30" w:after="30"/>
                  </w:pPr>
                  <w:r>
                    <w:rPr>
                      <w:rFonts w:ascii="Arial" w:cs="Arial" w:eastAsia="Arial" w:hAnsi="Arial"/>
                      <w:color w:val="1C1C1C"/>
                      <w:sz w:val="19"/>
                      <w:szCs w:val="19"/>
                    </w:rPr>
                    <w:t xml:space="preserve">carbon balance trajectories.</w:t>
                  </w:r>
                </w:p>
              </w:tc>
            </w:tr>
          </w:tbl>
          <w:p/>
        </w:tc>
      </w:tr>
    </w:tbl>
    <w:p>
      <w:pPr>
        <w:spacing w:before="0" w:after="60"/>
      </w:pPr>
      <w:r>
        <w:t xml:space="preserve"/>
      </w:r>
    </w:p>
    <w:p>
      <w:pPr>
        <w:spacing w:before="240" w:after="80"/>
      </w:pPr>
      <w:r>
        <w:rPr>
          <w:rFonts w:ascii="Arial" w:cs="Arial" w:eastAsia="Arial" w:hAnsi="Arial"/>
          <w:b/>
          <w:bCs/>
          <w:color w:val="1A5276"/>
          <w:sz w:val="26"/>
          <w:szCs w:val="26"/>
        </w:rPr>
        <w:t xml:space="preserve">5.3 Limitations and Future Directions</w:t>
      </w:r>
    </w:p>
    <w:p>
      <w:pPr>
        <w:spacing w:before="60" w:after="80"/>
        <w:jc w:val="both"/>
      </w:pPr>
      <w:r>
        <w:rPr>
          <w:rFonts w:ascii="Arial" w:cs="Arial" w:eastAsia="Arial" w:hAnsi="Arial"/>
          <w:color w:val="1C1C1C"/>
          <w:sz w:val="20"/>
          <w:szCs w:val="20"/>
        </w:rPr>
        <w:t xml:space="preserve">Several important caveats apply. The experiment was conducted under controlled growth-chamber conditions designed to represent average July conditions in southern Sweden. As the authors note, the imposed drought represents a relatively mild scenario; consequently, the study provides a conservative estimate of precipitation's moderating role. Real-world peatlands experience more extreme and prolonged droughts, heterogeneous moss communities, and interactions with vascular plants and microbial communities not captured in the mesocosm design.</w:t>
      </w:r>
    </w:p>
    <w:p>
      <w:pPr>
        <w:spacing w:before="60" w:after="80"/>
        <w:jc w:val="both"/>
      </w:pPr>
      <w:r>
        <w:rPr>
          <w:rFonts w:ascii="Arial" w:cs="Arial" w:eastAsia="Arial" w:hAnsi="Arial"/>
          <w:color w:val="1C1C1C"/>
          <w:sz w:val="20"/>
          <w:szCs w:val="20"/>
        </w:rPr>
        <w:t xml:space="preserve">The ML/DL models face complementary limitations: the dataset, while carefully designed, contains modest sample sizes for deep learning (five replicates per treatment combination). The LSTM in particular may benefit from data augmentation or transfer learning from longer-term peatland flux datasets such as eddy covariance records. Future work should also integrate spatial heterogeneity in moss microhabitats and multi-year precipitation records to upscale findings beyond the single-summer experimental window.</w:t>
      </w:r>
    </w:p>
    <w:p>
      <w:pPr>
        <w:spacing w:before="240" w:after="80"/>
      </w:pPr>
      <w:r>
        <w:rPr>
          <w:rFonts w:ascii="Arial" w:cs="Arial" w:eastAsia="Arial" w:hAnsi="Arial"/>
          <w:b/>
          <w:bCs/>
          <w:color w:val="1A5276"/>
          <w:sz w:val="26"/>
          <w:szCs w:val="26"/>
        </w:rPr>
        <w:t xml:space="preserve">5.4 Conclusions</w:t>
      </w:r>
    </w:p>
    <w:p>
      <w:pPr>
        <w:spacing w:before="60" w:after="80"/>
        <w:jc w:val="both"/>
      </w:pPr>
      <w:r>
        <w:rPr>
          <w:rFonts w:ascii="Arial" w:cs="Arial" w:eastAsia="Arial" w:hAnsi="Arial"/>
          <w:color w:val="1C1C1C"/>
          <w:sz w:val="20"/>
          <w:szCs w:val="20"/>
        </w:rPr>
        <w:t xml:space="preserve">The integration of the Nijp et al. (2014) ecological experiment with a modern ML/DL pipeline creates a powerful two-tier research framework. The original study establishes the mechanistic logic: precipitation frequency is ecologically significant under drought, but its effect is species-specific and tied to intrinsic desiccation-tolerance strategies. The ML/DL methodology operationalises this understanding into predictive models capable of classifying carbon sink/source status, identifying photosynthetic tipping points, and forecasting drought trajectories from temporal sequences of moisture stress.</w:t>
      </w:r>
    </w:p>
    <w:p>
      <w:pPr>
        <w:spacing w:before="60" w:after="80"/>
        <w:jc w:val="both"/>
      </w:pPr>
      <w:r>
        <w:rPr>
          <w:rFonts w:ascii="Arial" w:cs="Arial" w:eastAsia="Arial" w:hAnsi="Arial"/>
          <w:color w:val="1C1C1C"/>
          <w:sz w:val="20"/>
          <w:szCs w:val="20"/>
        </w:rPr>
        <w:t xml:space="preserve">Together, these approaches advance the capacity to predict how northern peatland carbon stores will respond to the altered precipitation regimes anticipated under 21st-century climate change — a question of global significance given the scale of carbon locked within these ecosystems.</w:t>
      </w:r>
    </w:p>
    <w:p>
      <w:pPr>
        <w:spacing w:before="0" w:after="60"/>
      </w:pPr>
      <w:r>
        <w:t xml:space="preserve"/>
      </w:r>
    </w:p>
    <w:p>
      <w:pPr>
        <w:pBdr>
          <w:bottom w:val="single" w:color="1A5276" w:sz="6" w:space="6"/>
        </w:pBdr>
        <w:spacing w:before="360" w:after="120"/>
      </w:pPr>
      <w:r>
        <w:rPr>
          <w:rFonts w:ascii="Arial" w:cs="Arial" w:eastAsia="Arial" w:hAnsi="Arial"/>
          <w:b/>
          <w:bCs/>
          <w:color w:val="1A5276"/>
          <w:sz w:val="36"/>
          <w:szCs w:val="36"/>
        </w:rPr>
        <w:t xml:space="preserve">References</w:t>
      </w:r>
    </w:p>
    <w:p>
      <w:pPr>
        <w:spacing w:before="40" w:after="40"/>
        <w:jc w:val="both"/>
      </w:pPr>
      <w:r>
        <w:rPr>
          <w:rFonts w:ascii="Arial" w:cs="Arial" w:eastAsia="Arial" w:hAnsi="Arial"/>
          <w:i/>
          <w:iCs/>
          <w:color w:val="555555"/>
          <w:sz w:val="18"/>
          <w:szCs w:val="18"/>
        </w:rPr>
        <w:t xml:space="preserve">Allen, M.R. &amp; Ingram, W.J. (2002). Constraints on future changes in climate and the hydrologic cycle. Nature, 419: 224–232.</w:t>
      </w:r>
    </w:p>
    <w:p>
      <w:pPr>
        <w:spacing w:before="40" w:after="40"/>
        <w:jc w:val="both"/>
      </w:pPr>
      <w:r>
        <w:rPr>
          <w:rFonts w:ascii="Arial" w:cs="Arial" w:eastAsia="Arial" w:hAnsi="Arial"/>
          <w:i/>
          <w:iCs/>
          <w:color w:val="555555"/>
          <w:sz w:val="18"/>
          <w:szCs w:val="18"/>
        </w:rPr>
        <w:t xml:space="preserve">IPCC (2007). Climate Change 2007: The Physical Science Basis. Cambridge University Press.</w:t>
      </w:r>
    </w:p>
    <w:p>
      <w:pPr>
        <w:spacing w:before="40" w:after="40"/>
        <w:jc w:val="both"/>
      </w:pPr>
      <w:r>
        <w:rPr>
          <w:rFonts w:ascii="Arial" w:cs="Arial" w:eastAsia="Arial" w:hAnsi="Arial"/>
          <w:i/>
          <w:iCs/>
          <w:color w:val="555555"/>
          <w:sz w:val="18"/>
          <w:szCs w:val="18"/>
        </w:rPr>
        <w:t xml:space="preserve">Nijp, J.J., Limpens, J., Metselaar, K., van der Zee, S.E.A.T.M., Berendse, F. &amp; Robroek, B.J.M. (2014). Can frequent precipitation moderate the impact of drought on peatmoss carbon uptake in northern peatlands? New Phytologist, 203: 70–80. doi: 10.1111/nph.12792</w:t>
      </w:r>
    </w:p>
    <w:p>
      <w:pPr>
        <w:spacing w:before="40" w:after="40"/>
        <w:jc w:val="both"/>
      </w:pPr>
      <w:r>
        <w:rPr>
          <w:rFonts w:ascii="Arial" w:cs="Arial" w:eastAsia="Arial" w:hAnsi="Arial"/>
          <w:i/>
          <w:iCs/>
          <w:color w:val="555555"/>
          <w:sz w:val="18"/>
          <w:szCs w:val="18"/>
        </w:rPr>
        <w:t xml:space="preserve">Turunen, J., Tomppo, E., Tolonen, K. &amp; Reinikainen, A. (2002). Estimating carbon accumulation rates of undrained mires in Finland. The Holocene, 12: 69–80.</w:t>
      </w:r>
    </w:p>
    <w:p>
      <w:pPr>
        <w:spacing w:before="40" w:after="40"/>
        <w:jc w:val="both"/>
      </w:pPr>
      <w:r>
        <w:rPr>
          <w:rFonts w:ascii="Arial" w:cs="Arial" w:eastAsia="Arial" w:hAnsi="Arial"/>
          <w:i/>
          <w:iCs/>
          <w:color w:val="555555"/>
          <w:sz w:val="18"/>
          <w:szCs w:val="18"/>
        </w:rPr>
        <w:t xml:space="preserve">Yu, Z. (2011). Holocene carbon flux histories of the world’s peatlands: global carbon-cycle implications. Holocene, 21: 761–774.</w:t>
      </w:r>
    </w:p>
    <w:p>
      <w:pPr>
        <w:spacing w:before="240" w:after="0"/>
        <w:jc w:val="center"/>
      </w:pPr>
      <w:r>
        <w:rPr>
          <w:rFonts w:ascii="Arial" w:cs="Arial" w:eastAsia="Arial" w:hAnsi="Arial"/>
          <w:i/>
          <w:iCs/>
          <w:color w:val="999999"/>
          <w:sz w:val="18"/>
          <w:szCs w:val="18"/>
        </w:rPr>
        <w:t xml:space="preserve">— End of Research Summary —</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2026-03-24T09:55:07.141Z</dcterms:created>
  <dcterms:modified xsi:type="dcterms:W3CDTF">2026-03-24T09:55:07.142Z</dcterms:modified>
</cp:coreProperties>
</file>

<file path=docProps/custom.xml><?xml version="1.0" encoding="utf-8"?>
<Properties xmlns="http://schemas.openxmlformats.org/officeDocument/2006/custom-properties" xmlns:vt="http://schemas.openxmlformats.org/officeDocument/2006/docPropsVTypes"/>
</file>