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1F3864"/>
          <w:sz w:val="26"/>
          <w:szCs w:val="26"/>
        </w:rPr>
        <w:t xml:space="preserve">JITHENDRAN (JEETH) SELLAMUTHU</w:t>
      </w:r>
    </w:p>
    <w:p>
      <w:pPr>
        <w:spacing w:after="2"/>
      </w:pPr>
      <w:r>
        <w:rPr>
          <w:rFonts w:ascii="Calibri" w:cs="Calibri" w:eastAsia="Calibri" w:hAnsi="Calibri"/>
          <w:b/>
          <w:bCs/>
          <w:i/>
          <w:iCs/>
          <w:color w:val="8C6D1F"/>
          <w:sz w:val="17"/>
          <w:szCs w:val="17"/>
        </w:rPr>
        <w:t xml:space="preserve">Forward Deployed Engineering Equivalence Brief | 28 Years of FDE-Equivalent Work Under Different Titles</w:t>
      </w:r>
    </w:p>
    <w:p>
      <w:pPr>
        <w:spacing w:after="6"/>
      </w:pPr>
      <w:r>
        <w:rPr>
          <w:rFonts w:ascii="Calibri" w:cs="Calibri" w:eastAsia="Calibri" w:hAnsi="Calibri"/>
          <w:sz w:val="16"/>
          <w:szCs w:val="16"/>
        </w:rPr>
        <w:t xml:space="preserve">San Francisco Bay Area (Pleasanton-area) | gsellamu@gmail.com | +1 858.226.0619 | </w:t>
      </w:r>
      <w:hyperlink w:history="1" r:id="rIdsjo1erzeldem9oancqigz">
        <w:r>
          <w:rPr>
            <w:rFonts w:ascii="Calibri" w:cs="Calibri" w:eastAsia="Calibri" w:hAnsi="Calibri"/>
            <w:color w:val="1F3864"/>
            <w:sz w:val="16"/>
            <w:szCs w:val="16"/>
            <w:u w:val="single"/>
          </w:rPr>
          <w:t xml:space="preserve">linkedin.com/in/jeeeth</w:t>
        </w:r>
      </w:hyperlink>
      <w:r>
        <w:rPr>
          <w:rFonts w:ascii="Calibri" w:cs="Calibri" w:eastAsia="Calibri" w:hAnsi="Calibri"/>
          <w:sz w:val="16"/>
          <w:szCs w:val="16"/>
        </w:rPr>
        <w:t xml:space="preserve"> | U.S. Citizen</w:t>
      </w:r>
    </w:p>
    <w:p>
      <w:pPr>
        <w:pBdr>
          <w:bottom w:val="single" w:color="1F3864" w:sz="6" w:space="1"/>
        </w:pBdr>
        <w:spacing w:after="8"/>
      </w:pPr>
      <w:r>
        <w:rPr>
          <w:sz w:val="2"/>
          <w:szCs w:val="2"/>
        </w:rPr>
        <w:t xml:space="preserve"/>
      </w:r>
    </w:p>
    <w:p>
      <w:pPr>
        <w:spacing w:after="8"/>
        <w:jc w:val="both"/>
      </w:pPr>
      <w:r>
        <w:rPr>
          <w:rFonts w:ascii="Calibri" w:cs="Calibri" w:eastAsia="Calibri" w:hAnsi="Calibri"/>
          <w:sz w:val="18"/>
          <w:szCs w:val="18"/>
        </w:rPr>
        <w:t xml:space="preserve">Forward Deployed Engineer (FDE) is a recent title, popularized by Palantir around 2015 and adopted across AI startups (OpenAI, Anthropic, Plasmidsaurus, Liberate, and others). The function — embedded engineering serving specific customers with deep technical work plus customer relationship ownership — has existed for over 30 years under earlier names. My career arc has been a continuous FDE-equivalent function for 28+ years, with its roots six years earlier in embedded customer-site consulting. The title has varied. The work has not.</w:t>
      </w:r>
    </w:p>
    <w:p>
      <w:pPr>
        <w:pBdr>
          <w:bottom w:val="single" w:color="1F3864" w:sz="6" w:space="1"/>
        </w:pBdr>
        <w:spacing w:after="6" w:before="20"/>
      </w:pPr>
      <w:r>
        <w:rPr>
          <w:rFonts w:ascii="Calibri" w:cs="Calibri" w:eastAsia="Calibri" w:hAnsi="Calibri"/>
          <w:b/>
          <w:bCs/>
          <w:color w:val="1F3864"/>
          <w:sz w:val="19"/>
          <w:szCs w:val="19"/>
        </w:rPr>
        <w:t xml:space="preserve">WHAT FORWARD DEPLOYED ENGINEERING MEANS IN PRACTICE</w:t>
      </w:r>
    </w:p>
    <w:p>
      <w:pPr>
        <w:pStyle w:val="ListParagraph"/>
        <w:numPr>
          <w:ilvl w:val="0"/>
          <w:numId w:val="2"/>
        </w:numPr>
        <w:spacing w:after="6"/>
      </w:pPr>
      <w:r>
        <w:rPr>
          <w:rFonts w:ascii="Calibri" w:cs="Calibri" w:eastAsia="Calibri" w:hAnsi="Calibri"/>
          <w:sz w:val="18"/>
          <w:szCs w:val="18"/>
        </w:rPr>
        <w:t xml:space="preserve">Embedded engineering serving specific customers, end to end — from intake through post-launch validation.</w:t>
      </w:r>
    </w:p>
    <w:p>
      <w:pPr>
        <w:pStyle w:val="ListParagraph"/>
        <w:numPr>
          <w:ilvl w:val="0"/>
          <w:numId w:val="2"/>
        </w:numPr>
        <w:spacing w:after="6"/>
      </w:pPr>
      <w:r>
        <w:rPr>
          <w:rFonts w:ascii="Calibri" w:cs="Calibri" w:eastAsia="Calibri" w:hAnsi="Calibri"/>
          <w:sz w:val="18"/>
          <w:szCs w:val="18"/>
        </w:rPr>
        <w:t xml:space="preserve">Operating system for repeatable customer delivery: scoping standards, technical discovery, success metrics, deployment gating, planning cadence.</w:t>
      </w:r>
    </w:p>
    <w:p>
      <w:pPr>
        <w:pStyle w:val="ListParagraph"/>
        <w:numPr>
          <w:ilvl w:val="0"/>
          <w:numId w:val="2"/>
        </w:numPr>
        <w:spacing w:after="6"/>
      </w:pPr>
      <w:r>
        <w:rPr>
          <w:rFonts w:ascii="Calibri" w:cs="Calibri" w:eastAsia="Calibri" w:hAnsi="Calibri"/>
          <w:sz w:val="18"/>
          <w:szCs w:val="18"/>
        </w:rPr>
        <w:t xml:space="preserve">Customer-facing technical leadership — translate ambiguity into a delivery plan and ship against it.</w:t>
      </w:r>
    </w:p>
    <w:p>
      <w:pPr>
        <w:pStyle w:val="ListParagraph"/>
        <w:numPr>
          <w:ilvl w:val="0"/>
          <w:numId w:val="2"/>
        </w:numPr>
        <w:spacing w:after="6"/>
      </w:pPr>
      <w:r>
        <w:rPr>
          <w:rFonts w:ascii="Calibri" w:cs="Calibri" w:eastAsia="Calibri" w:hAnsi="Calibri"/>
          <w:sz w:val="18"/>
          <w:szCs w:val="18"/>
        </w:rPr>
        <w:t xml:space="preserve">Quality bars for engineering systems, reliability, and observability. Hands-on bar setting by writing the code that exemplifies the standards.</w:t>
      </w:r>
    </w:p>
    <w:p>
      <w:pPr>
        <w:pStyle w:val="ListParagraph"/>
        <w:numPr>
          <w:ilvl w:val="0"/>
          <w:numId w:val="2"/>
        </w:numPr>
        <w:spacing w:after="6"/>
      </w:pPr>
      <w:r>
        <w:rPr>
          <w:rFonts w:ascii="Calibri" w:cs="Calibri" w:eastAsia="Calibri" w:hAnsi="Calibri"/>
          <w:sz w:val="18"/>
          <w:szCs w:val="18"/>
        </w:rPr>
        <w:t xml:space="preserve">Cross-functional partnership with Product, Customer Success, Sales, Security, Privacy, Compliance, and Operations.</w:t>
      </w:r>
    </w:p>
    <w:p>
      <w:pPr>
        <w:pBdr>
          <w:bottom w:val="single" w:color="1F3864" w:sz="6" w:space="1"/>
        </w:pBdr>
        <w:spacing w:after="6" w:before="20"/>
      </w:pPr>
      <w:r>
        <w:rPr>
          <w:rFonts w:ascii="Calibri" w:cs="Calibri" w:eastAsia="Calibri" w:hAnsi="Calibri"/>
          <w:b/>
          <w:bCs/>
          <w:color w:val="1F3864"/>
          <w:sz w:val="19"/>
          <w:szCs w:val="19"/>
        </w:rPr>
        <w:t xml:space="preserve">CAREER MAP: EVERY ROLE MAPPED TO FDE FUNCTIONS</w:t>
      </w:r>
    </w:p>
    <w:p>
      <w:pPr>
        <w:spacing w:after="7"/>
        <w:ind w:left="0"/>
      </w:pPr>
      <w:r>
        <w:rPr>
          <w:rFonts w:ascii="Calibri" w:cs="Calibri" w:eastAsia="Calibri" w:hAnsi="Calibri"/>
          <w:b/>
          <w:bCs/>
          <w:color w:val="8C6D1F"/>
          <w:sz w:val="18"/>
          <w:szCs w:val="18"/>
        </w:rPr>
        <w:t xml:space="preserve">1991–1997  </w:t>
      </w:r>
      <w:r>
        <w:rPr>
          <w:rFonts w:ascii="Calibri" w:cs="Calibri" w:eastAsia="Calibri" w:hAnsi="Calibri"/>
          <w:b/>
          <w:bCs/>
          <w:sz w:val="18"/>
          <w:szCs w:val="18"/>
        </w:rPr>
        <w:t xml:space="preserve">HCL-HP Consultant, C/C++ Systems Engineer. </w:t>
      </w:r>
      <w:r>
        <w:rPr>
          <w:rFonts w:ascii="Calibri" w:cs="Calibri" w:eastAsia="Calibri" w:hAnsi="Calibri"/>
          <w:sz w:val="18"/>
          <w:szCs w:val="18"/>
        </w:rPr>
        <w:t xml:space="preserve">Embedded engineering consultant deployed to specific customers' production environments. Built bespoke C/C++ systems inside customer networks at British Telecom (telecom network management), Nortel (switch software), Credit Suisse First Boston (financial trading), and GlobalStar Satellite Base Station Software (USA). The original embedded-engineer-at-customer-site pattern, before FDE was a phrase.</w:t>
      </w:r>
    </w:p>
    <w:p>
      <w:pPr>
        <w:spacing w:after="7"/>
        <w:ind w:left="0"/>
      </w:pPr>
      <w:r>
        <w:rPr>
          <w:rFonts w:ascii="Calibri" w:cs="Calibri" w:eastAsia="Calibri" w:hAnsi="Calibri"/>
          <w:b/>
          <w:bCs/>
          <w:color w:val="8C6D1F"/>
          <w:sz w:val="18"/>
          <w:szCs w:val="18"/>
        </w:rPr>
        <w:t xml:space="preserve">1997–2014  </w:t>
      </w:r>
      <w:r>
        <w:rPr>
          <w:rFonts w:ascii="Calibri" w:cs="Calibri" w:eastAsia="Calibri" w:hAnsi="Calibri"/>
          <w:b/>
          <w:bCs/>
          <w:sz w:val="18"/>
          <w:szCs w:val="18"/>
        </w:rPr>
        <w:t xml:space="preserve">Qualcomm QIS Push-to-Talk, Founding Engineer to Director of Engineering. </w:t>
      </w:r>
      <w:r>
        <w:rPr>
          <w:rFonts w:ascii="Calibri" w:cs="Calibri" w:eastAsia="Calibri" w:hAnsi="Calibri"/>
          <w:sz w:val="18"/>
          <w:szCs w:val="18"/>
        </w:rPr>
        <w:t xml:space="preserve">P&amp;L, SoW-based turn-key solutions customized to customers — owning and leading end-to-end engineering, from RFC through development, deployment, integration, rollout, and post-launch support and maintenance — for 17 years; every one of 40+ engineers was forward-deployed on-rotation to support Tier-1/2 carrier customer engagement. Direct C-level partnership across Sprint (first commercial QChat launch replacing Motorola iDEN), Nextel, and Iusacell Mexico. Carrier-grade VoIP to 40M+ users at 99.999 percent, $50M annual run-rate per release, never breached. Co-inventor U.S. Patent 8,655,833.</w:t>
      </w:r>
    </w:p>
    <w:p>
      <w:pPr>
        <w:spacing w:after="7"/>
        <w:ind w:left="0"/>
      </w:pPr>
      <w:r>
        <w:rPr>
          <w:rFonts w:ascii="Calibri" w:cs="Calibri" w:eastAsia="Calibri" w:hAnsi="Calibri"/>
          <w:b/>
          <w:bCs/>
          <w:color w:val="8C6D1F"/>
          <w:sz w:val="18"/>
          <w:szCs w:val="18"/>
        </w:rPr>
        <w:t xml:space="preserve">2015–2016  </w:t>
      </w:r>
      <w:r>
        <w:rPr>
          <w:rFonts w:ascii="Calibri" w:cs="Calibri" w:eastAsia="Calibri" w:hAnsi="Calibri"/>
          <w:b/>
          <w:bCs/>
          <w:sz w:val="18"/>
          <w:szCs w:val="18"/>
        </w:rPr>
        <w:t xml:space="preserve">GE Healthcare / API Healthcare, Enterprise Architect. </w:t>
      </w:r>
      <w:r>
        <w:rPr>
          <w:rFonts w:ascii="Calibri" w:cs="Calibri" w:eastAsia="Calibri" w:hAnsi="Calibri"/>
          <w:sz w:val="18"/>
          <w:szCs w:val="18"/>
        </w:rPr>
        <w:t xml:space="preserve">Multi-product unification across customer hospital environments; HL7 v2 / FHIR / Azure interop with hospital EMR and EHR systems. Customer-facing technical authority — bridging customer, product, business, and engineering on integration and solutioning. HIPAA-aligned, SOC 2.</w:t>
      </w:r>
    </w:p>
    <w:p>
      <w:pPr>
        <w:spacing w:after="7"/>
        <w:ind w:left="0"/>
      </w:pPr>
      <w:r>
        <w:rPr>
          <w:rFonts w:ascii="Calibri" w:cs="Calibri" w:eastAsia="Calibri" w:hAnsi="Calibri"/>
          <w:b/>
          <w:bCs/>
          <w:color w:val="8C6D1F"/>
          <w:sz w:val="18"/>
          <w:szCs w:val="18"/>
        </w:rPr>
        <w:t xml:space="preserve">2016–2019  </w:t>
      </w:r>
      <w:r>
        <w:rPr>
          <w:rFonts w:ascii="Calibri" w:cs="Calibri" w:eastAsia="Calibri" w:hAnsi="Calibri"/>
          <w:b/>
          <w:bCs/>
          <w:sz w:val="18"/>
          <w:szCs w:val="18"/>
        </w:rPr>
        <w:t xml:space="preserve">Mitchell International, Senior Director of Cloud Software Engineering. </w:t>
      </w:r>
      <w:r>
        <w:rPr>
          <w:rFonts w:ascii="Calibri" w:cs="Calibri" w:eastAsia="Calibri" w:hAnsi="Calibri"/>
          <w:sz w:val="18"/>
          <w:szCs w:val="18"/>
        </w:rPr>
        <w:t xml:space="preserve">250-engineer organization with 95+ roll-up across multiple forward-deployed pods — including customer- and market-specific exclusive Scrum Teams, and Value Stream Solution &amp; Delivery Engineering, each serving a different carrier customer/market. AI/ML Smart Solutions deployed end-to-end in production at Progressive, Hartford, and Allstate. SAFe Value Stream architecture applied to customer-deployment pods. Customer Trust Index −80 to +80 with Progressive; on-time delivery 70 to 95 percent; defect escape to zero.</w:t>
      </w:r>
    </w:p>
    <w:p>
      <w:pPr>
        <w:spacing w:after="7"/>
        <w:ind w:left="0"/>
      </w:pPr>
      <w:r>
        <w:rPr>
          <w:rFonts w:ascii="Calibri" w:cs="Calibri" w:eastAsia="Calibri" w:hAnsi="Calibri"/>
          <w:b/>
          <w:bCs/>
          <w:color w:val="8C6D1F"/>
          <w:sz w:val="18"/>
          <w:szCs w:val="18"/>
        </w:rPr>
        <w:t xml:space="preserve">2019–2020  </w:t>
      </w:r>
      <w:r>
        <w:rPr>
          <w:rFonts w:ascii="Calibri" w:cs="Calibri" w:eastAsia="Calibri" w:hAnsi="Calibri"/>
          <w:b/>
          <w:bCs/>
          <w:sz w:val="18"/>
          <w:szCs w:val="18"/>
        </w:rPr>
        <w:t xml:space="preserve">Alpha Ori Technologies (SMARTShip), VP Engineering and Enterprise Architect. </w:t>
      </w:r>
      <w:r>
        <w:rPr>
          <w:rFonts w:ascii="Calibri" w:cs="Calibri" w:eastAsia="Calibri" w:hAnsi="Calibri"/>
          <w:sz w:val="18"/>
          <w:szCs w:val="18"/>
        </w:rPr>
        <w:t xml:space="preserve">Forward-deployed maritime IoT platform engineering across 200+ vessels with 5,000+ sensor points each. Vessel-by-vessel on-site equipment deployment; multi-shipping-line customer leadership; distributed engineering across the United States and Singapore. Advanced AI-assisted remote monitoring and predictive maintenance per I-IoT Industry 4.0 standards.</w:t>
      </w:r>
    </w:p>
    <w:p>
      <w:pPr>
        <w:spacing w:after="7"/>
        <w:ind w:left="0"/>
      </w:pPr>
      <w:r>
        <w:rPr>
          <w:rFonts w:ascii="Calibri" w:cs="Calibri" w:eastAsia="Calibri" w:hAnsi="Calibri"/>
          <w:b/>
          <w:bCs/>
          <w:color w:val="8C6D1F"/>
          <w:sz w:val="18"/>
          <w:szCs w:val="18"/>
        </w:rPr>
        <w:t xml:space="preserve">2020–2021  </w:t>
      </w:r>
      <w:r>
        <w:rPr>
          <w:rFonts w:ascii="Calibri" w:cs="Calibri" w:eastAsia="Calibri" w:hAnsi="Calibri"/>
          <w:b/>
          <w:bCs/>
          <w:sz w:val="18"/>
          <w:szCs w:val="18"/>
        </w:rPr>
        <w:t xml:space="preserve">KETOS, Director of Software Engineering and Embedded Systems Lead. </w:t>
      </w:r>
      <w:r>
        <w:rPr>
          <w:rFonts w:ascii="Calibri" w:cs="Calibri" w:eastAsia="Calibri" w:hAnsi="Calibri"/>
          <w:sz w:val="18"/>
          <w:szCs w:val="18"/>
        </w:rPr>
        <w:t xml:space="preserve">Forward-deployed regulated water-quality IoT and AI/ML platform serving 50+ municipal and industrial customer facilities. Customer-side embedded device deployment, facility-specific calibration, and state/federal environmental regulatory engagement. Hands-on C/C++ embedded firmware for customer-side device orchestration; advanced and embedded field engineering with AI-assisted support.</w:t>
      </w:r>
    </w:p>
    <w:p>
      <w:pPr>
        <w:spacing w:after="7"/>
        <w:ind w:left="0"/>
      </w:pPr>
      <w:r>
        <w:rPr>
          <w:rFonts w:ascii="Calibri" w:cs="Calibri" w:eastAsia="Calibri" w:hAnsi="Calibri"/>
          <w:b/>
          <w:bCs/>
          <w:color w:val="8C6D1F"/>
          <w:sz w:val="18"/>
          <w:szCs w:val="18"/>
        </w:rPr>
        <w:t xml:space="preserve">2021–2024  </w:t>
      </w:r>
      <w:r>
        <w:rPr>
          <w:rFonts w:ascii="Calibri" w:cs="Calibri" w:eastAsia="Calibri" w:hAnsi="Calibri"/>
          <w:b/>
          <w:bCs/>
          <w:sz w:val="18"/>
          <w:szCs w:val="18"/>
        </w:rPr>
        <w:t xml:space="preserve">Amazon Product Assurance, Risk, and Safety, Software Development Manager. </w:t>
      </w:r>
      <w:r>
        <w:rPr>
          <w:rFonts w:ascii="Calibri" w:cs="Calibri" w:eastAsia="Calibri" w:hAnsi="Calibri"/>
          <w:sz w:val="18"/>
          <w:szCs w:val="18"/>
        </w:rPr>
        <w:t xml:space="preserve">Direct FDE-pattern precedent in internal-customer mode: platform serving AI/ML Selling Partner onboarding, risk and safety, Legal, Cybersecurity, Privacy, and Compliance as internal customers, each with bespoke integration requirements and policy gates. Six-nines availability, 50M+ events per day, zero security breaches across three years.</w:t>
      </w:r>
    </w:p>
    <w:p>
      <w:pPr>
        <w:spacing w:after="7"/>
        <w:ind w:left="0"/>
      </w:pPr>
      <w:r>
        <w:rPr>
          <w:rFonts w:ascii="Calibri" w:cs="Calibri" w:eastAsia="Calibri" w:hAnsi="Calibri"/>
          <w:b/>
          <w:bCs/>
          <w:color w:val="8C6D1F"/>
          <w:sz w:val="18"/>
          <w:szCs w:val="18"/>
        </w:rPr>
        <w:t xml:space="preserve">2025–Present  </w:t>
      </w:r>
      <w:r>
        <w:rPr>
          <w:rFonts w:ascii="Calibri" w:cs="Calibri" w:eastAsia="Calibri" w:hAnsi="Calibri"/>
          <w:b/>
          <w:bCs/>
          <w:sz w:val="18"/>
          <w:szCs w:val="18"/>
        </w:rPr>
        <w:t xml:space="preserve">Stealth GenAI Startup, Head of Engineering. </w:t>
      </w:r>
      <w:r>
        <w:rPr>
          <w:rFonts w:ascii="Calibri" w:cs="Calibri" w:eastAsia="Calibri" w:hAnsi="Calibri"/>
          <w:sz w:val="18"/>
          <w:szCs w:val="18"/>
        </w:rPr>
        <w:t xml:space="preserve">Pre-customer FDE architecture phase. 80-microservice platform architected from day one for forward-deployed customer environments: multi-tenant isolation, per-customer policy customization through a four-state policy engine, and multi-cloud deployment automation across AWS, Azure, and GCP. ~213,000 lines of Python and TypeScript over 11 months at ~9 FTE-equivalent throughput, on HIPAA-aligned infrastructure.</w:t>
      </w:r>
    </w:p>
    <w:p>
      <w:pPr>
        <w:spacing w:after="0" w:before="12"/>
        <w:jc w:val="both"/>
      </w:pPr>
      <w:r>
        <w:rPr>
          <w:rFonts w:ascii="Calibri" w:cs="Calibri" w:eastAsia="Calibri" w:hAnsi="Calibri"/>
          <w:i/>
          <w:iCs/>
          <w:color w:val="595959"/>
          <w:sz w:val="18"/>
          <w:szCs w:val="18"/>
        </w:rPr>
        <w:t xml:space="preserve">The modern FDE title came from Palantir around 2015. Before that, the same role was Consultant, Solution Engineer, Customer Engineer, Value Stream Engineer, Enterprise Architect, Senior Director, or Vice President of Engineering. The titles changed. The work pattern did not.</w:t>
      </w:r>
    </w:p>
    <w:sectPr>
      <w:pgSz w:w="12240" w:h="15840" w:orient="portrait"/>
      <w:pgMar w:top="576" w:right="720" w:bottom="504"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30" w:hanging="170"/>
      </w:pPr>
      <w:rPr>
        <w:color w:val="1F386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jo1erzeldem9oancqigz" Type="http://schemas.openxmlformats.org/officeDocument/2006/relationships/hyperlink" Target="https://linkedin.com/in/jeeeth"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2026-06-05T22:36:41.390Z</dcterms:created>
  <dcterms:modified xsi:type="dcterms:W3CDTF">2026-06-05T22:36:41.390Z</dcterms:modified>
</cp:coreProperties>
</file>

<file path=docProps/custom.xml><?xml version="1.0" encoding="utf-8"?>
<Properties xmlns="http://schemas.openxmlformats.org/officeDocument/2006/custom-properties" xmlns:vt="http://schemas.openxmlformats.org/officeDocument/2006/docPropsVTypes"/>
</file>