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C9952F"/>
          <w:spacing w:val="50"/>
          <w:sz w:val="18"/>
          <w:szCs w:val="18"/>
        </w:rPr>
        <w:t xml:space="preserve">FDE PRACTICE ACTIVATION · ADDENDUM 09</w:t>
      </w:r>
    </w:p>
    <w:p>
      <w:pPr>
        <w:pStyle w:val="Title"/>
      </w:pPr>
      <w:r>
        <w:t xml:space="preserve">The 30 / 60 / 90 in OKR &amp; STAR Format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5B6B7E"/>
          <w:sz w:val="23"/>
          <w:szCs w:val="23"/>
        </w:rPr>
        <w:t xml:space="preserve">Objectives and Key Results for execution · STAR narratives for the board and the room</w:t>
      </w:r>
    </w:p>
    <w:p>
      <w:pPr>
        <w:pBdr>
          <w:bottom w:val="single" w:color="DCE3EC" w:sz="6" w:space="1"/>
        </w:pBdr>
        <w:spacing w:after="150"/>
      </w:pPr>
    </w:p>
    <w:p>
      <w:pPr>
        <w:spacing w:after="120" w:line="276"/>
      </w:pPr>
      <w:r>
        <w:rPr>
          <w:b/>
          <w:bCs/>
          <w:color w:val="16263F"/>
        </w:rPr>
        <w:t xml:space="preserve">What this adds.  </w:t>
      </w:r>
      <w:r>
        <w:t xml:space="preserve">The charter's Section 4 already lays out a 30/60/90 plan as themes, tasks, and exit criteria, and Sections 5 and 6.3 define the metrics and KPIs. This addendum re-expresses that same plan in two canonical formats it did not yet carry: </w:t>
      </w:r>
      <w:r>
        <w:rPr>
          <w:b/>
          <w:bCs/>
        </w:rPr>
        <w:t xml:space="preserve">OKRs</w:t>
      </w:r>
      <w:r>
        <w:t xml:space="preserve"> (an Objective with measurable Key Results, for planning and tracking) and </w:t>
      </w:r>
      <w:r>
        <w:rPr>
          <w:b/>
          <w:bCs/>
        </w:rPr>
        <w:t xml:space="preserve">STAR narratives</w:t>
      </w:r>
      <w:r>
        <w:t xml:space="preserve"> (Situation – Task – Action – Result, for interviews, board updates, and case studies). No new claims are introduced — only new structure over the existing plan.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60"/>
        <w:gridCol w:w="2800"/>
      </w:tblGrid>
      <w:tr>
        <w:trPr>
          <w:tblHeader/>
        </w:trP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5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is for</w:t>
            </w:r>
          </w:p>
        </w:tc>
        <w:tc>
          <w:tcPr>
            <w:tcW w:type="dxa" w:w="28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Read it as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b/>
                <w:bCs/>
                <w:color w:val="2E5A88"/>
                <w:sz w:val="17"/>
                <w:szCs w:val="17"/>
              </w:rPr>
              <w:t xml:space="preserve">OKR</w:t>
            </w:r>
          </w:p>
        </w:tc>
        <w:tc>
          <w:tcPr>
            <w:tcW w:type="dxa" w:w="5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Aligning and tracking execution. An Objective is qualitative and time-bound; Key Results are measurable outcomes (not tasks), scored 0.0–1.0, where ~0.7 is “good.”</w:t>
            </w:r>
          </w:p>
        </w:tc>
        <w:tc>
          <w:tcPr>
            <w:tcW w:type="dxa" w:w="28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The operating contract for each horizon.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b/>
                <w:bCs/>
                <w:color w:val="B07A1E"/>
                <w:sz w:val="17"/>
                <w:szCs w:val="17"/>
              </w:rPr>
              <w:t xml:space="preserve">STAR</w:t>
            </w:r>
          </w:p>
        </w:tc>
        <w:tc>
          <w:tcPr>
            <w:tcW w:type="dxa" w:w="5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Telling the story. Situation → Task → Action → Result — the structure interviewers, boards, and case studies expect.</w:t>
            </w:r>
          </w:p>
        </w:tc>
        <w:tc>
          <w:tcPr>
            <w:tcW w:type="dxa" w:w="28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The narrative behind each horizon.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HONESTY FLAG (CARRIED FROM THE SUITE)</w:t>
            </w:r>
          </w:p>
          <w:p>
            <w:pPr>
              <w:spacing w:line="276"/>
            </w:pPr>
            <w:r>
              <w:t xml:space="preserve">The three horizon STARs are </w:t>
            </w:r>
            <w:r>
              <w:rPr>
                <w:b/>
                <w:bCs/>
                <w:color w:val="E8A816"/>
              </w:rPr>
              <w:t xml:space="preserve">forward-looking</w:t>
            </w:r>
            <w:r>
              <w:t xml:space="preserve"> — the plan rendered as narrative, not work already completed. The one retrospective STAR is the Modutecture pilot, which remains framed as a </w:t>
            </w:r>
            <w:r>
              <w:rPr>
                <w:b/>
                <w:bCs/>
                <w:color w:val="E8A816"/>
              </w:rPr>
              <w:t xml:space="preserve">validated demonstration, not a closed-and-scaled account.</w:t>
            </w:r>
            <w:r>
              <w:t xml:space="preserve"> Targets in the Key Results are the charter's stated targets, pending verification where they originate from June-2026 source briefings.</w:t>
            </w:r>
          </w:p>
        </w:tc>
      </w:tr>
    </w:tbl>
    <w:p>
      <w:pPr>
        <w:spacing w:after="30"/>
      </w:pPr>
    </w:p>
    <w:p>
      <w:r>
        <w:rPr>
          <w:color w:val="8090A4"/>
          <w:sz w:val="17"/>
          <w:szCs w:val="17"/>
        </w:rPr>
        <w:t xml:space="preserve">Companion to: 01 Charter · 02 Cookbook · 03 Runbook · 00 Master Reference   |   Addendum 09 · June 2026</w:t>
      </w:r>
    </w:p>
    <w:p>
      <w:r>
        <w:br w:type="page"/>
      </w:r>
    </w:p>
    <w:p>
      <w:pPr>
        <w:spacing w:after="40" w:before="900"/>
      </w:pPr>
      <w:r>
        <w:rPr>
          <w:rFonts w:ascii="Cambria" w:cs="Cambria" w:eastAsia="Cambria" w:hAnsi="Cambria"/>
          <w:b/>
          <w:bCs/>
          <w:color w:val="C9952F"/>
          <w:sz w:val="60"/>
          <w:szCs w:val="60"/>
        </w:rPr>
        <w:t xml:space="preserve">A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6263F"/>
          <w:sz w:val="38"/>
          <w:szCs w:val="38"/>
        </w:rPr>
        <w:t xml:space="preserve">The OKRs</w:t>
      </w:r>
    </w:p>
    <w:p>
      <w:pPr>
        <w:spacing w:after="120"/>
      </w:pPr>
      <w:r>
        <w:rPr>
          <w:i/>
          <w:iCs/>
          <w:color w:val="5B6B7E"/>
          <w:sz w:val="23"/>
          <w:szCs w:val="23"/>
        </w:rPr>
        <w:t xml:space="preserve">The 30/60/90 as three Objectives, each with measurable Key Results</w:t>
      </w:r>
    </w:p>
    <w:p>
      <w:pPr>
        <w:pBdr>
          <w:bottom w:val="single" w:color="C9952F" w:sz="12" w:space="4"/>
        </w:pBdr>
        <w:spacing w:after="120"/>
      </w:pPr>
    </w:p>
    <w:p>
      <w:pPr>
        <w:spacing w:after="120" w:line="276"/>
      </w:pPr>
      <w:r>
        <w:t xml:space="preserve">Three Objectives, one per horizon. Each Key Result is an outcome with a target drawn from the charter's success metrics (§5) and agentic-transformation KPIs (§6.3), so the OKRs and the existing metric tables stay one-to-one.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7D8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DAYS 0–30  ·  Land &amp; Charter</w:t>
            </w:r>
          </w:p>
          <w:p>
            <w:pPr>
              <w:spacing w:line="272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Objective:  </w:t>
            </w:r>
            <w:r>
              <w:rPr>
                <w:i/>
                <w:iCs/>
                <w:color w:val="FFFFFF"/>
                <w:sz w:val="22"/>
                <w:szCs w:val="22"/>
              </w:rPr>
              <w:t xml:space="preserve">Establish FDE as a credible, chartered practice anchored by a live customer reference.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Result (outcome)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1.1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Modutecture engagement formalized as the practice's first reference; FDE Charter v1 signed.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Signed + referenceable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1.2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Target accounts identified and scored for embedded-FDE fit.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3–5 accounts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1.3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Charter v1 published — definition, FDE↔GCC model, FDE Loop™ v1, metrics baselined.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1.4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Time-to-First-Value baseline established on the pilot.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Trajectory &lt; 14 days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§6.3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DAYS 31–60  ·  Codify &amp; Prove</w:t>
            </w:r>
          </w:p>
          <w:p>
            <w:pPr>
              <w:spacing w:line="272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Objective:  </w:t>
            </w:r>
            <w:r>
              <w:rPr>
                <w:i/>
                <w:iCs/>
                <w:color w:val="FFFFFF"/>
                <w:sz w:val="22"/>
                <w:szCs w:val="22"/>
              </w:rPr>
              <w:t xml:space="preserve">Convert one success into a repeatable, staffed practice that demonstrably transfers beyond the pilot.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Result (outcome)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2.1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Loop™ Cookbook + Landing Runbook published — teachable and branded.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Both published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2.2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FDEs identified / onboarding, each paired with an offshore pod.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2–3 FDEs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2.3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Second account landed using the FDE Loop™ (proves transfer).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1 account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2.4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Client-Authored Spec Ratio on the pilot by end of Month 2.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&gt; 60%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§6.3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2.5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Agentic PR Merge Rate, with Human Intervention Rate held flat.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&gt; 90% merge; &lt; 2 / 1k LOC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§6.3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A5BA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DAYS 61–90  ·  Productize &amp; Scale</w:t>
            </w:r>
          </w:p>
          <w:p>
            <w:pPr>
              <w:spacing w:line="272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Objective:  </w:t>
            </w:r>
            <w:r>
              <w:rPr>
                <w:i/>
                <w:iCs/>
                <w:color w:val="FFFFFF"/>
                <w:sz w:val="22"/>
                <w:szCs w:val="22"/>
              </w:rPr>
              <w:t xml:space="preserve">Make FDE a named, sellable, scaling practice line with a pipeline, a dashboard, and a co-sell motion.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Result (outcome)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62"/>
              <w:left w:type="dxa" w:w="94"/>
              <w:bottom w:type="dxa" w:w="62"/>
              <w:right w:type="dxa" w:w="9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3.1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“StatusNeo FDE” live as a named practice on the site and in the sales motion.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3.2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practice dashboard live — accounts landed, expansion revenue, offshore-pull ratio, time-to-trust, NPS.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Reporting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3.3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Reference accounts documented.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2–4 accounts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3.4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Co-sell enablement delivered to all regions (West Coast, East Coast, EMEA, APAC).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All regions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§4, §5</w:t>
            </w:r>
          </w:p>
        </w:tc>
      </w:tr>
      <w:tr>
        <w:tc>
          <w:tcPr>
            <w:tcW w:type="dxa" w:w="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KR 3.5</w:t>
            </w:r>
          </w:p>
        </w:tc>
        <w:tc>
          <w:tcPr>
            <w:tcW w:type="dxa" w:w="5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System Adoption Velocity, and Platform Contribution Rate (Spoke → Hub).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&gt; 75%; ≥ 2 / pilot</w:t>
            </w:r>
          </w:p>
        </w:tc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2"/>
              <w:left w:type="dxa" w:w="94"/>
              <w:bottom w:type="dxa" w:w="52"/>
              <w:right w:type="dxa" w:w="94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§6.3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HOW TO SCORE THESE</w:t>
            </w:r>
          </w:p>
          <w:p>
            <w:pPr>
              <w:spacing w:line="276"/>
            </w:pPr>
            <w:r>
              <w:t xml:space="preserve">At each horizon close, score every Key Result 0.0–1.0 (fraction of target achieved). The horizon's score is the mean of its KRs. Treat ~0.7 as on-track, not failure; a steady 1.0 means the targets were set too low. Binary KRs (signed / published / live) score 0 or 1. The Objective itself is not scored — only its Key Results.</w:t>
            </w:r>
          </w:p>
        </w:tc>
      </w:tr>
    </w:tbl>
    <w:p>
      <w:r>
        <w:br w:type="page"/>
      </w:r>
    </w:p>
    <w:p>
      <w:pPr>
        <w:spacing w:after="40" w:before="900"/>
      </w:pPr>
      <w:r>
        <w:rPr>
          <w:rFonts w:ascii="Cambria" w:cs="Cambria" w:eastAsia="Cambria" w:hAnsi="Cambria"/>
          <w:b/>
          <w:bCs/>
          <w:color w:val="C9952F"/>
          <w:sz w:val="60"/>
          <w:szCs w:val="60"/>
        </w:rPr>
        <w:t xml:space="preserve">B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6263F"/>
          <w:sz w:val="38"/>
          <w:szCs w:val="38"/>
        </w:rPr>
        <w:t xml:space="preserve">The STAR Narratives</w:t>
      </w:r>
    </w:p>
    <w:p>
      <w:pPr>
        <w:spacing w:after="120"/>
      </w:pPr>
      <w:r>
        <w:rPr>
          <w:i/>
          <w:iCs/>
          <w:color w:val="5B6B7E"/>
          <w:sz w:val="23"/>
          <w:szCs w:val="23"/>
        </w:rPr>
        <w:t xml:space="preserve">The same 30/60/90 as story — plus the Modutecture pilot that proves it</w:t>
      </w:r>
    </w:p>
    <w:p>
      <w:pPr>
        <w:pBdr>
          <w:bottom w:val="single" w:color="C9952F" w:sz="12" w:space="4"/>
        </w:pBdr>
        <w:spacing w:after="120"/>
      </w:pPr>
    </w:p>
    <w:p>
      <w:pPr>
        <w:spacing w:after="120" w:line="276"/>
      </w:pPr>
      <w:r>
        <w:t xml:space="preserve">OKRs are how the practice is tracked; STAR is how it is told — in an interview, a board update, or a reference case. The three horizon narratives below are the plan as a forward-looking story; the fourth is the live proof the plan is grounded in.</w:t>
      </w:r>
    </w:p>
    <w:p>
      <w:pPr>
        <w:spacing w:after="30"/>
      </w:pPr>
    </w:p>
    <w:p>
      <w:pPr>
        <w:pStyle w:val="Heading3"/>
      </w:pPr>
      <w:r>
        <w:rPr>
          <w:color w:val="C9952F"/>
        </w:rPr>
        <w:t xml:space="preserve">Horizon STAR — Days 0–30: Land &amp;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StatusNeo has world-class frameworks (the OS Fabric™, the AuthenticAI™ Loop) and deep offshore scale, but no named onshore embedded-delivery motion — and the live Modutecture engagement, though the CTO is enthusiastic, is still informal.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Convert that live momentum into a chartered practice with a referenceable pilot and a qualified target pipeline — in 30 days.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Ran leadership immersion; audited active accounts for the 3–5 where an embedded FDE would have prevented churn or unlocked expansion; formalized Modutecture as the first reference; authored FDE Charter v1 (definition, FDE↔GCC model, FDE Loop™ v1, baselined metrics).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C7D8C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Charter signed; Modutecture referenceable as the pilot; 3–5 targets identified and scored; Time-to-First-Value baseline set on a sub-14-day trajectory.</w:t>
            </w:r>
          </w:p>
        </w:tc>
      </w:tr>
    </w:tbl>
    <w:p>
      <w:pPr>
        <w:spacing w:after="30"/>
      </w:pPr>
    </w:p>
    <w:p>
      <w:pPr>
        <w:pStyle w:val="Heading3"/>
      </w:pPr>
      <w:r>
        <w:rPr>
          <w:color w:val="C9952F"/>
        </w:rPr>
        <w:t xml:space="preserve">Horizon STAR — Days 31–60: Codify &amp; 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One success (Modutecture) proves the embedded motion works, but it is a single data point — not yet repeatable, staffed, or shown to transfer.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Make the motion repeatable and prove it transfers to a second account, with a staffed FDE cadre behind it.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Published the FDE Loop™ Cookbook and the Landing Runbook; identified and began onboarding 2–3 FDEs, each paired with an offshore pod; applied the FDE Loop™ to land a second account; coached client engineers to author their own Gherkin specs.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Methodology documented and teachable; 2–3 FDEs onboarding; second account landed; Client-Authored Spec Ratio &gt; 60%, Agentic PR Merge Rate &gt; 90%, Human Intervention Rate &lt; 2 / 1k LOC.</w:t>
            </w:r>
          </w:p>
        </w:tc>
      </w:tr>
    </w:tbl>
    <w:p>
      <w:pPr>
        <w:spacing w:after="30"/>
      </w:pPr>
    </w:p>
    <w:p>
      <w:pPr>
        <w:pStyle w:val="Heading3"/>
      </w:pPr>
      <w:r>
        <w:rPr>
          <w:color w:val="C9952F"/>
        </w:rPr>
        <w:t xml:space="preserve">Horizon STAR — Days 61–90: Productize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motion is proven and repeatable across two accounts, but it is not yet a named, sellable practice line with its own pipeline.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Institutionalize FDE as a productized, co-sold practice with a pipeline, a health dashboard, and regional enablement.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Launched “StatusNeo FDE” on the site and in the sales motion; stood up the practice dashboard (accounts, expansion revenue, offshore-pull ratio, time-to-trust, NPS); enabled regional co-sell across West Coast, East Coast, EMEA, APAC; published the thought-leadership whitepaper extending the 2026 trilogy.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7A5BA8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Named practice live with a pipeline; dashboard reporting to the sponsor; 2–4 reference accounts; all regions enabled; System Adoption Velocity &gt; 75%; Platform Contribution Rate ≥ 2 / pilot.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6263F"/>
        </w:rPr>
        <w:t xml:space="preserve">Anchor STAR — the Modutecture pilot (the live proof)</w:t>
      </w:r>
    </w:p>
    <w:p>
      <w:pPr>
        <w:spacing w:after="90"/>
      </w:pPr>
      <w:r>
        <w:t xml:space="preserve">The one retrospective narrative — the engagement that makes the whole charter credible. Framed honestly as a validated demonstration.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Modutecture — a StatusNeo customer in the healthcare-AEC space — had compelling but siloed prototypes and no production-grade path: validation “had no home,” and the regulated, air-gapped context raised the bar for any solution.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Prove that an embedded FDE plus governed agentic AI could land a production-grade, customer-validated slice on the customer's own stack and de-risk the path to scale — without overclaiming.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Diagnosed the load-bearing gap live and validated it with the customer; architected the contextual-construction twin approach; built the thinnest end-to-end vertical slice on their actual stack; enforced the deterministic correctness gate (model proposes, gate disposes); labeled every deliverable built / proven / next.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8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 working, customer-validated demonstration on the customer's stack; the CTO was enthusiastic and invited a deeper engagement; the work became the pilot and reference case for the entire FDE practice — explicitly a validated demonstration, not a closed-and-scaled account.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ADDENDUM IN ONE LINE</w:t>
            </w:r>
          </w:p>
          <w:p>
            <w:pPr>
              <w:spacing w:line="276"/>
            </w:pPr>
            <w:r>
              <w:t xml:space="preserve">Same 30/60/90 plan, two new lenses: OKRs make each horizon measurable and trackable; STAR makes it tellable — with the Modutecture pilot as the live proof under both.</w:t>
            </w:r>
          </w:p>
        </w:tc>
      </w:tr>
    </w:tbl>
    <w:p>
      <w:pPr>
        <w:spacing w:after="30"/>
      </w:pPr>
    </w:p>
    <w:p>
      <w:r>
        <w:rPr>
          <w:color w:val="8090A4"/>
          <w:sz w:val="17"/>
          <w:szCs w:val="17"/>
        </w:rPr>
        <w:t xml:space="preserve">The StatusNeo Agentic FDE Practice · Addendum 09 · 30/60/90 in OKR &amp; STAR format · June 2026 · targets per charter, pending verification where source-derived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50"/>
      </w:pPr>
    </w:lvl>
    <w:lvl w:ilvl="1" w15:tentative="1">
      <w:start w:val="1"/>
      <w:numFmt w:val="bullet"/>
      <w:lvlText w:val="–"/>
      <w:lvlJc w:val="left"/>
      <w:pPr>
        <w:ind w:left="91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mbria" w:cs="Cambria" w:eastAsia="Cambria" w:hAnsi="Cambria"/>
      <w:b/>
      <w:bCs/>
      <w:color w:val="16263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Calibri" w:cs="Calibri" w:eastAsia="Calibri" w:hAnsi="Calibri"/>
      <w:b/>
      <w:bCs/>
      <w:color w:val="C9952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2026-06-27T04:54:46.469Z</dcterms:created>
  <dcterms:modified xsi:type="dcterms:W3CDTF">2026-06-27T04:54:46.469Z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