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6"/>
      </w:pPr>
      <w:r>
        <w:rPr>
          <w:b/>
          <w:bCs/>
          <w:color w:val="C9952F"/>
          <w:spacing w:val="40"/>
          <w:sz w:val="17"/>
          <w:szCs w:val="17"/>
        </w:rPr>
        <w:t xml:space="preserve">FDE PRACTICE ACTIVATION · ADDENDUM 10 · TRACKING SHEET</w:t>
      </w:r>
    </w:p>
    <w:p>
      <w:pPr>
        <w:pStyle w:val="Title"/>
      </w:pPr>
      <w:r>
        <w:t xml:space="preserve">FDE 30 / 60 / 90 — OKR Scorecard</w:t>
      </w:r>
    </w:p>
    <w:p>
      <w:pPr>
        <w:spacing w:after="120"/>
      </w:pPr>
      <w:r>
        <w:rPr>
          <w:rFonts w:ascii="Cambria" w:cs="Cambria" w:eastAsia="Cambria" w:hAnsi="Cambria"/>
          <w:i/>
          <w:iCs/>
          <w:color w:val="5B6B7E"/>
          <w:sz w:val="21"/>
          <w:szCs w:val="21"/>
        </w:rPr>
        <w:t xml:space="preserve">Fill Actual at each horizon close · score every Key Result 0.0–1.0 · a horizon’s score is the mean of its KRs</w:t>
      </w:r>
    </w:p>
    <w:p>
      <w:pPr>
        <w:pBdr>
          <w:bottom w:val="single" w:color="DCE3EC" w:sz="6" w:space="1"/>
        </w:pBdr>
        <w:spacing w:after="140"/>
      </w:pPr>
    </w:p>
    <w:p>
      <w:pPr>
        <w:spacing w:after="110" w:line="268"/>
      </w:pPr>
      <w:r>
        <w:rPr>
          <w:b/>
          <w:bCs/>
          <w:color w:val="16263F"/>
        </w:rPr>
        <w:t xml:space="preserve">How to use.  </w:t>
      </w:r>
      <w:r>
        <w:t xml:space="preserve">This is the companion tracking grid to Addendum 09. The Key Results and Targets are fixed; the three right-hand columns are for you to complete. At each 30 / 60 / 90 checkpoint, record the </w:t>
      </w:r>
      <w:r>
        <w:rPr>
          <w:b/>
          <w:bCs/>
        </w:rPr>
        <w:t xml:space="preserve">Actual</w:t>
      </w:r>
      <w:r>
        <w:t xml:space="preserve">, score the KR </w:t>
      </w:r>
      <w:r>
        <w:rPr>
          <w:b/>
          <w:bCs/>
        </w:rPr>
        <w:t xml:space="preserve">0.0–1.0</w:t>
      </w:r>
      <w:r>
        <w:t xml:space="preserve"> (the fraction of target achieved — binary KRs score 0 or 1), and mark its status. Average a horizon’s KR scores for its headline number. Treat ~0.7 as on-track; a steady 1.0 means the targets were set too low.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90"/>
            </w:tcMar>
          </w:tcPr>
          <w:p>
            <w:r>
              <w:rPr>
                <w:b/>
                <w:bCs/>
                <w:color w:val="1E7A4C"/>
                <w:sz w:val="20"/>
                <w:szCs w:val="20"/>
              </w:rPr>
              <w:t xml:space="preserve">●  </w:t>
            </w:r>
            <w:r>
              <w:rPr>
                <w:color w:val="1F2A38"/>
                <w:sz w:val="16"/>
                <w:szCs w:val="16"/>
              </w:rPr>
              <w:t xml:space="preserve">Green — score ≥ 0.70 (on-track)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90"/>
            </w:tcMar>
          </w:tcPr>
          <w:p>
            <w:r>
              <w:rPr>
                <w:b/>
                <w:bCs/>
                <w:color w:val="B8860B"/>
                <w:sz w:val="20"/>
                <w:szCs w:val="20"/>
              </w:rPr>
              <w:t xml:space="preserve">●  </w:t>
            </w:r>
            <w:r>
              <w:rPr>
                <w:color w:val="1F2A38"/>
                <w:sz w:val="16"/>
                <w:szCs w:val="16"/>
              </w:rPr>
              <w:t xml:space="preserve">Amber — 0.40–0.69 (at-risk)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90"/>
            </w:tcMar>
          </w:tcPr>
          <w:p>
            <w:r>
              <w:rPr>
                <w:b/>
                <w:bCs/>
                <w:color w:val="9A3B3B"/>
                <w:sz w:val="20"/>
                <w:szCs w:val="20"/>
              </w:rPr>
              <w:t xml:space="preserve">●  </w:t>
            </w:r>
            <w:r>
              <w:rPr>
                <w:color w:val="1F2A38"/>
                <w:sz w:val="16"/>
                <w:szCs w:val="16"/>
              </w:rPr>
              <w:t xml:space="preserve">Red — &lt; 0.40 (off-track)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c>
          <w:tcPr>
            <w:tcW w:type="dxa" w:w="7060"/>
            <w:tcBorders>
              <w:top w:val="none"/>
              <w:left w:val="none"/>
              <w:bottom w:val="none"/>
              <w:right w:val="none"/>
            </w:tcBorders>
            <w:shd w:fill="2C7D8C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6"/>
            </w:pPr>
            <w:r>
              <w:rPr>
                <w:b/>
                <w:bCs/>
                <w:color w:val="FFFFFF"/>
                <w:spacing w:val="30"/>
                <w:sz w:val="15"/>
                <w:szCs w:val="15"/>
              </w:rPr>
              <w:t xml:space="preserve">DAYS 0–30  ·  Land &amp; Charter</w:t>
            </w:r>
          </w:p>
          <w:p>
            <w:pPr>
              <w:spacing w:line="264"/>
            </w:pPr>
            <w:r>
              <w:rPr>
                <w:b/>
                <w:bCs/>
                <w:color w:val="E8A816"/>
                <w:sz w:val="20"/>
                <w:szCs w:val="20"/>
              </w:rPr>
              <w:t xml:space="preserve">Objective: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Establish FDE as a credible, chartered practice anchored by a live customer reference.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2C7D8C" w:val="clear"/>
            <w:tcMar>
              <w:top w:type="dxa" w:w="120"/>
              <w:left w:type="dxa" w:w="12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pacing w:val="20"/>
                <w:sz w:val="13"/>
                <w:szCs w:val="13"/>
              </w:rPr>
              <w:t xml:space="preserve">HORIZON SCORE</w:t>
            </w:r>
          </w:p>
          <w:p>
            <w:pPr>
              <w:jc w:val="center"/>
            </w:pPr>
            <w:r>
              <w:rPr>
                <w:b/>
                <w:bCs/>
                <w:color w:val="E8A816"/>
                <w:sz w:val="22"/>
                <w:szCs w:val="22"/>
              </w:rPr>
              <w:t xml:space="preserve">______ / 1.0</w:t>
            </w:r>
          </w:p>
        </w:tc>
      </w:tr>
    </w:tbl>
    <w:p>
      <w:pPr>
        <w:spacing w:after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760"/>
        <w:gridCol w:w="1820"/>
        <w:gridCol w:w="1360"/>
        <w:gridCol w:w="760"/>
        <w:gridCol w:w="1100"/>
      </w:tblGrid>
      <w:tr>
        <w:trPr>
          <w:tblHeader/>
        </w:trP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263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263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Key Result (outcome)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263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A81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6263F"/>
                <w:sz w:val="16"/>
                <w:szCs w:val="16"/>
              </w:rPr>
              <w:t xml:space="preserve">Actual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A81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6263F"/>
                <w:sz w:val="16"/>
                <w:szCs w:val="16"/>
              </w:rPr>
              <w:t xml:space="preserve">Score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A81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6263F"/>
                <w:sz w:val="16"/>
                <w:szCs w:val="16"/>
              </w:rPr>
              <w:t xml:space="preserve">R/A/G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1.1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Modutecture formalized as first reference; FDE Charter v1 signed.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5B6B7E"/>
                <w:sz w:val="17"/>
                <w:szCs w:val="17"/>
              </w:rPr>
              <w:t xml:space="preserve">Signed + ref.</w:t>
            </w:r>
          </w:p>
        </w:tc>
        <w:tc>
          <w:tcPr>
            <w:tcW w:type="dxa" w:w="13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1.2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Target accounts identified and scored for embedded-FDE fit.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5B6B7E"/>
                <w:sz w:val="17"/>
                <w:szCs w:val="17"/>
              </w:rPr>
              <w:t xml:space="preserve">3–5 accounts</w:t>
            </w:r>
          </w:p>
        </w:tc>
        <w:tc>
          <w:tcPr>
            <w:tcW w:type="dxa" w:w="13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1.3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FDE Charter v1 published (definition, FDE↔GCC, Loop™ v1, metrics).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5B6B7E"/>
                <w:sz w:val="17"/>
                <w:szCs w:val="17"/>
              </w:rPr>
              <w:t xml:space="preserve">Published</w:t>
            </w:r>
          </w:p>
        </w:tc>
        <w:tc>
          <w:tcPr>
            <w:tcW w:type="dxa" w:w="13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1.4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Time-to-First-Value baseline established on the pilot.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5B6B7E"/>
                <w:sz w:val="17"/>
                <w:szCs w:val="17"/>
              </w:rPr>
              <w:t xml:space="preserve">&lt; 14 days</w:t>
            </w:r>
          </w:p>
        </w:tc>
        <w:tc>
          <w:tcPr>
            <w:tcW w:type="dxa" w:w="13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c>
          <w:tcPr>
            <w:tcW w:type="dxa" w:w="7060"/>
            <w:tcBorders>
              <w:top w:val="none"/>
              <w:left w:val="none"/>
              <w:bottom w:val="none"/>
              <w:right w:val="none"/>
            </w:tcBorders>
            <w:shd w:fill="2E5A8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6"/>
            </w:pPr>
            <w:r>
              <w:rPr>
                <w:b/>
                <w:bCs/>
                <w:color w:val="FFFFFF"/>
                <w:spacing w:val="30"/>
                <w:sz w:val="15"/>
                <w:szCs w:val="15"/>
              </w:rPr>
              <w:t xml:space="preserve">DAYS 31–60  ·  Codify &amp; Prove</w:t>
            </w:r>
          </w:p>
          <w:p>
            <w:pPr>
              <w:spacing w:line="264"/>
            </w:pPr>
            <w:r>
              <w:rPr>
                <w:b/>
                <w:bCs/>
                <w:color w:val="E8A816"/>
                <w:sz w:val="20"/>
                <w:szCs w:val="20"/>
              </w:rPr>
              <w:t xml:space="preserve">Objective: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Convert one success into a repeatable, staffed practice that demonstrably transfers.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pacing w:val="20"/>
                <w:sz w:val="13"/>
                <w:szCs w:val="13"/>
              </w:rPr>
              <w:t xml:space="preserve">HORIZON SCORE</w:t>
            </w:r>
          </w:p>
          <w:p>
            <w:pPr>
              <w:jc w:val="center"/>
            </w:pPr>
            <w:r>
              <w:rPr>
                <w:b/>
                <w:bCs/>
                <w:color w:val="E8A816"/>
                <w:sz w:val="22"/>
                <w:szCs w:val="22"/>
              </w:rPr>
              <w:t xml:space="preserve">______ / 1.0</w:t>
            </w:r>
          </w:p>
        </w:tc>
      </w:tr>
    </w:tbl>
    <w:p>
      <w:pPr>
        <w:spacing w:after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760"/>
        <w:gridCol w:w="1820"/>
        <w:gridCol w:w="1360"/>
        <w:gridCol w:w="760"/>
        <w:gridCol w:w="1100"/>
      </w:tblGrid>
      <w:tr>
        <w:trPr>
          <w:tblHeader/>
        </w:trP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263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263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Key Result (outcome)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263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A81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6263F"/>
                <w:sz w:val="16"/>
                <w:szCs w:val="16"/>
              </w:rPr>
              <w:t xml:space="preserve">Actual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A81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6263F"/>
                <w:sz w:val="16"/>
                <w:szCs w:val="16"/>
              </w:rPr>
              <w:t xml:space="preserve">Score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A81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6263F"/>
                <w:sz w:val="16"/>
                <w:szCs w:val="16"/>
              </w:rPr>
              <w:t xml:space="preserve">R/A/G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2.1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FDE Loop™ Cookbook + Landing Runbook published (teachable, branded).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5B6B7E"/>
                <w:sz w:val="17"/>
                <w:szCs w:val="17"/>
              </w:rPr>
              <w:t xml:space="preserve">Both published</w:t>
            </w:r>
          </w:p>
        </w:tc>
        <w:tc>
          <w:tcPr>
            <w:tcW w:type="dxa" w:w="13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2.2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FDEs identified / onboarding, each paired with an offshore pod.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5B6B7E"/>
                <w:sz w:val="17"/>
                <w:szCs w:val="17"/>
              </w:rPr>
              <w:t xml:space="preserve">2–3 FDEs</w:t>
            </w:r>
          </w:p>
        </w:tc>
        <w:tc>
          <w:tcPr>
            <w:tcW w:type="dxa" w:w="13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2.3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Second account landed using the FDE Loop™ (proves transfer).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5B6B7E"/>
                <w:sz w:val="17"/>
                <w:szCs w:val="17"/>
              </w:rPr>
              <w:t xml:space="preserve">1 account</w:t>
            </w:r>
          </w:p>
        </w:tc>
        <w:tc>
          <w:tcPr>
            <w:tcW w:type="dxa" w:w="13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2.4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Client-Authored Spec Ratio on the pilot by end of Month 2.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5B6B7E"/>
                <w:sz w:val="17"/>
                <w:szCs w:val="17"/>
              </w:rPr>
              <w:t xml:space="preserve">&gt; 60%</w:t>
            </w:r>
          </w:p>
        </w:tc>
        <w:tc>
          <w:tcPr>
            <w:tcW w:type="dxa" w:w="13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2.5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Agentic PR Merge Rate / Human Intervention Rate held flat.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5B6B7E"/>
                <w:sz w:val="17"/>
                <w:szCs w:val="17"/>
              </w:rPr>
              <w:t xml:space="preserve">&gt; 90% / &lt; 2 per 1k</w:t>
            </w:r>
          </w:p>
        </w:tc>
        <w:tc>
          <w:tcPr>
            <w:tcW w:type="dxa" w:w="13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c>
          <w:tcPr>
            <w:tcW w:type="dxa" w:w="7060"/>
            <w:tcBorders>
              <w:top w:val="none"/>
              <w:left w:val="none"/>
              <w:bottom w:val="none"/>
              <w:right w:val="none"/>
            </w:tcBorders>
            <w:shd w:fill="7A5BA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6"/>
            </w:pPr>
            <w:r>
              <w:rPr>
                <w:b/>
                <w:bCs/>
                <w:color w:val="FFFFFF"/>
                <w:spacing w:val="30"/>
                <w:sz w:val="15"/>
                <w:szCs w:val="15"/>
              </w:rPr>
              <w:t xml:space="preserve">DAYS 61–90  ·  Productize &amp; Scale</w:t>
            </w:r>
          </w:p>
          <w:p>
            <w:pPr>
              <w:spacing w:line="264"/>
            </w:pPr>
            <w:r>
              <w:rPr>
                <w:b/>
                <w:bCs/>
                <w:color w:val="E8A816"/>
                <w:sz w:val="20"/>
                <w:szCs w:val="20"/>
              </w:rPr>
              <w:t xml:space="preserve">Objective:  </w:t>
            </w:r>
            <w:r>
              <w:rPr>
                <w:i/>
                <w:iCs/>
                <w:color w:val="FFFFFF"/>
                <w:sz w:val="20"/>
                <w:szCs w:val="20"/>
              </w:rPr>
              <w:t xml:space="preserve">Make FDE a named, sellable, scaling practice line with a pipeline, dashboard, and co-sell.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7A5BA8" w:val="clear"/>
            <w:tcMar>
              <w:top w:type="dxa" w:w="120"/>
              <w:left w:type="dxa" w:w="120"/>
              <w:bottom w:type="dxa" w:w="12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pacing w:val="20"/>
                <w:sz w:val="13"/>
                <w:szCs w:val="13"/>
              </w:rPr>
              <w:t xml:space="preserve">HORIZON SCORE</w:t>
            </w:r>
          </w:p>
          <w:p>
            <w:pPr>
              <w:jc w:val="center"/>
            </w:pPr>
            <w:r>
              <w:rPr>
                <w:b/>
                <w:bCs/>
                <w:color w:val="E8A816"/>
                <w:sz w:val="22"/>
                <w:szCs w:val="22"/>
              </w:rPr>
              <w:t xml:space="preserve">______ / 1.0</w:t>
            </w:r>
          </w:p>
        </w:tc>
      </w:tr>
    </w:tbl>
    <w:p>
      <w:pPr>
        <w:spacing w:after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760"/>
        <w:gridCol w:w="1820"/>
        <w:gridCol w:w="1360"/>
        <w:gridCol w:w="760"/>
        <w:gridCol w:w="1100"/>
      </w:tblGrid>
      <w:tr>
        <w:trPr>
          <w:tblHeader/>
        </w:trP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263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263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Key Result (outcome)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263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A81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6263F"/>
                <w:sz w:val="16"/>
                <w:szCs w:val="16"/>
              </w:rPr>
              <w:t xml:space="preserve">Actual</w:t>
            </w:r>
          </w:p>
        </w:tc>
        <w:tc>
          <w:tcPr>
            <w:tcW w:type="dxa" w:w="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A81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6263F"/>
                <w:sz w:val="16"/>
                <w:szCs w:val="16"/>
              </w:rPr>
              <w:t xml:space="preserve">Score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A81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6263F"/>
                <w:sz w:val="16"/>
                <w:szCs w:val="16"/>
              </w:rPr>
              <w:t xml:space="preserve">R/A/G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3.1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“StatusNeo FDE” live as a named practice on the site and sales motion.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5B6B7E"/>
                <w:sz w:val="17"/>
                <w:szCs w:val="17"/>
              </w:rPr>
              <w:t xml:space="preserve">Live</w:t>
            </w:r>
          </w:p>
        </w:tc>
        <w:tc>
          <w:tcPr>
            <w:tcW w:type="dxa" w:w="13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3.2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FDE practice dashboard live (accounts, expansion, pull-ratio, trust, NPS).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5B6B7E"/>
                <w:sz w:val="17"/>
                <w:szCs w:val="17"/>
              </w:rPr>
              <w:t xml:space="preserve">Reporting</w:t>
            </w:r>
          </w:p>
        </w:tc>
        <w:tc>
          <w:tcPr>
            <w:tcW w:type="dxa" w:w="13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3.3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Reference accounts documented.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5B6B7E"/>
                <w:sz w:val="17"/>
                <w:szCs w:val="17"/>
              </w:rPr>
              <w:t xml:space="preserve">2–4 accounts</w:t>
            </w:r>
          </w:p>
        </w:tc>
        <w:tc>
          <w:tcPr>
            <w:tcW w:type="dxa" w:w="13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3.4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Co-sell enablement delivered to all regions (WC, EC, EMEA, APAC).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5B6B7E"/>
                <w:sz w:val="17"/>
                <w:szCs w:val="17"/>
              </w:rPr>
              <w:t xml:space="preserve">All regions</w:t>
            </w:r>
          </w:p>
        </w:tc>
        <w:tc>
          <w:tcPr>
            <w:tcW w:type="dxa" w:w="13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3.5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System Adoption Velocity / Platform Contribution Rate (Spoke→Hub).</w:t>
            </w:r>
          </w:p>
        </w:tc>
        <w:tc>
          <w:tcPr>
            <w:tcW w:type="dxa" w:w="18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rPr>
                <w:b/>
                <w:bCs/>
                <w:color w:val="5B6B7E"/>
                <w:sz w:val="17"/>
                <w:szCs w:val="17"/>
              </w:rPr>
              <w:t xml:space="preserve">&gt; 75% / ≥ 2</w:t>
            </w:r>
          </w:p>
        </w:tc>
        <w:tc>
          <w:tcPr>
            <w:tcW w:type="dxa" w:w="13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76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single" w:color="D8C99B" w:sz="1"/>
              <w:left w:val="single" w:color="D8C99B" w:sz="1"/>
              <w:bottom w:val="single" w:color="D8C99B" w:sz="1"/>
              <w:right w:val="single" w:color="D8C99B" w:sz="1"/>
            </w:tcBorders>
            <w:shd w:fill="FCFBF6" w:val="clear"/>
            <w:tcMar>
              <w:top w:type="dxa" w:w="130"/>
              <w:left w:type="dxa" w:w="90"/>
              <w:bottom w:type="dxa" w:w="130"/>
              <w:right w:type="dxa" w:w="9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p>
      <w:pPr>
        <w:spacing w:after="70"/>
      </w:pPr>
      <w:r>
        <w:rPr>
          <w:b/>
          <w:bCs/>
          <w:color w:val="16263F"/>
          <w:spacing w:val="20"/>
          <w:sz w:val="18"/>
          <w:szCs w:val="18"/>
        </w:rPr>
        <w:t xml:space="preserve">OVERALL ROLLUP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C7D8C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Days 0–30</w:t>
            </w:r>
          </w:p>
          <w:p>
            <w:pPr>
              <w:jc w:val="center"/>
            </w:pPr>
            <w:r>
              <w:rPr>
                <w:b/>
                <w:bCs/>
                <w:color w:val="E8A816"/>
                <w:sz w:val="19"/>
                <w:szCs w:val="19"/>
              </w:rPr>
              <w:t xml:space="preserve">____ / 1.0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E5A88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Days 31–60</w:t>
            </w:r>
          </w:p>
          <w:p>
            <w:pPr>
              <w:jc w:val="center"/>
            </w:pPr>
            <w:r>
              <w:rPr>
                <w:b/>
                <w:bCs/>
                <w:color w:val="E8A816"/>
                <w:sz w:val="19"/>
                <w:szCs w:val="19"/>
              </w:rPr>
              <w:t xml:space="preserve">____ / 1.0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A5BA8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Days 61–90</w:t>
            </w:r>
          </w:p>
          <w:p>
            <w:pPr>
              <w:jc w:val="center"/>
            </w:pPr>
            <w:r>
              <w:rPr>
                <w:b/>
                <w:bCs/>
                <w:color w:val="E8A816"/>
                <w:sz w:val="19"/>
                <w:szCs w:val="19"/>
              </w:rPr>
              <w:t xml:space="preserve">____ / 1.0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263F" w:val="clear"/>
            <w:tcMar>
              <w:top w:type="dxa" w:w="90"/>
              <w:left w:type="dxa" w:w="110"/>
              <w:bottom w:type="dxa" w:w="9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E8A816"/>
                <w:sz w:val="14"/>
                <w:szCs w:val="14"/>
              </w:rPr>
              <w:t xml:space="preserve">90-DAY MEAN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____ / 1.0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344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54"/>
            </w:pPr>
            <w:r>
              <w:rPr>
                <w:b/>
                <w:bCs/>
                <w:color w:val="E8A816"/>
                <w:sz w:val="19"/>
                <w:szCs w:val="19"/>
              </w:rPr>
              <w:t xml:space="preserve">BEFORE YOU COMMIT TO THESE TARGETS</w:t>
            </w:r>
          </w:p>
          <w:p>
            <w:pPr>
              <w:spacing w:line="272"/>
            </w:pPr>
            <w:r>
              <w:t xml:space="preserve">Several targets here — TTFV &lt; 14 days, Spec Ratio &gt; 60%, PR Merge &gt; 90%, and the economics behind them — originate from June-2026 source briefings and are </w:t>
            </w:r>
            <w:r>
              <w:rPr>
                <w:b/>
                <w:bCs/>
                <w:color w:val="E8A816"/>
              </w:rPr>
              <w:t xml:space="preserve">pending verification.</w:t>
            </w:r>
            <w:r>
              <w:t xml:space="preserve"> A scorecard turns a target into a commitment you will be measured against. Confirm each number you are willing to own before this grid goes to the sponsor; adjust any that are aspirational rather than agreed.</w:t>
            </w:r>
          </w:p>
        </w:tc>
      </w:tr>
    </w:tbl>
    <w:p>
      <w:pPr>
        <w:spacing w:after="20"/>
      </w:pPr>
    </w:p>
    <w:p>
      <w:r>
        <w:rPr>
          <w:color w:val="8090A4"/>
          <w:sz w:val="16"/>
          <w:szCs w:val="16"/>
        </w:rPr>
        <w:t xml:space="preserve">The StatusNeo Agentic FDE Practice · Addendum 10 · OKR Scorecard · companion to Addendum 09 · June 2026</w:t>
      </w:r>
    </w:p>
    <w:sectPr>
      <w:pgSz w:w="12240" w:h="15840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70"/>
      <w:outlineLvl w:val="0"/>
    </w:pPr>
    <w:rPr>
      <w:rFonts w:ascii="Cambria" w:cs="Cambria" w:eastAsia="Cambria" w:hAnsi="Cambria"/>
      <w:b/>
      <w:bCs/>
      <w:color w:val="16263F"/>
      <w:sz w:val="42"/>
      <w:szCs w:val="4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2026-06-27T05:15:12.948Z</dcterms:created>
  <dcterms:modified xsi:type="dcterms:W3CDTF">2026-06-27T05:15:12.961Z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