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50"/>
          <w:sz w:val="18"/>
          <w:szCs w:val="18"/>
        </w:rPr>
        <w:t xml:space="preserve">CAPABILITY DIRECTORY · JUNE 2026</w:t>
      </w:r>
    </w:p>
    <w:p>
      <w:pPr>
        <w:pStyle w:val="Title"/>
      </w:pPr>
      <w:r>
        <w:t xml:space="preserve">Multi-Cloud Agentic FDE Ecosystem &amp; Tooling Directory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Generic, AWS, GCP &amp; Azure agentic toolchains mapped to Embedded &amp; Remote FDE PODs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rPr>
          <w:b/>
          <w:bCs/>
          <w:color w:val="16263F"/>
        </w:rPr>
        <w:t xml:space="preserve">Purpose:  </w:t>
      </w:r>
      <w:r>
        <w:t xml:space="preserve">A current reference of the agentic-AI tooling landscape for forward-deployed engineering, organized so a practice can pick a stack per cloud and per topology. For each provider it separates </w:t>
      </w:r>
      <w:r>
        <w:rPr>
          <w:b/>
          <w:bCs/>
        </w:rPr>
        <w:t xml:space="preserve">Embedded FDE options</w:t>
      </w:r>
      <w:r>
        <w:t xml:space="preserve"> (human-in-the-loop, IDE-native) from </w:t>
      </w:r>
      <w:r>
        <w:rPr>
          <w:b/>
          <w:bCs/>
        </w:rPr>
        <w:t xml:space="preserve">Remote FDE options</w:t>
      </w:r>
      <w:r>
        <w:t xml:space="preserve"> (autonomous, managed-runtime).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READ THIS FIRST — A DATING CAVEAT</w:t>
            </w:r>
          </w:p>
          <w:p>
            <w:pPr>
              <w:spacing w:line="276"/>
            </w:pPr>
            <w:r>
              <w:t xml:space="preserve">This directory names specific 2026 products and dates (AgentCore, Kiro, Agent Framework 1.0, and others). The agentic market moves monthly. </w:t>
            </w:r>
            <w:r>
              <w:rPr>
                <w:b/>
                <w:bCs/>
                <w:color w:val="E8A816"/>
              </w:rPr>
              <w:t xml:space="preserve">Verify every named product and date against the vendor's own docs before quoting this.</w:t>
            </w:r>
            <w:r>
              <w:t xml:space="preserve"> The durable layer is the structure (Embedded vs. Remote); the perishable layer is the tool names.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6B7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◉  GENERIC &amp; CLOUD-AGNOSTIC ORCHESTRATION</w:t>
            </w:r>
          </w:p>
        </w:tc>
      </w:tr>
    </w:tbl>
    <w:p>
      <w:pPr>
        <w:spacing w:after="80"/>
      </w:pPr>
    </w:p>
    <w:p>
      <w:pPr>
        <w:spacing w:after="120" w:line="278"/>
      </w:pPr>
      <w:r>
        <w:t xml:space="preserve">Generic frameworks provide the foundational logic for multi-agent coordination without cloud lock-in — ideal for hybrid deployments where agents span multiple environments or legacy local systems. They are the portable core beneath any cloud-native binding.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010"/>
        <w:gridCol w:w="2100"/>
        <w:gridCol w:w="2100"/>
      </w:tblGrid>
      <w:tr>
        <w:trPr>
          <w:tblHeader/>
        </w:trP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5B6B7E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5B6B7E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5B6B7E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Embedded fit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5B6B7E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Remote fit</w:t>
            </w:r>
          </w:p>
        </w:tc>
      </w:tr>
      <w:t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LangGraph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Complex, stateful graphs and cyclic workflows.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embeds as local state machines in apps.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deployable as persistent micro-services.</w:t>
            </w:r>
          </w:p>
        </w:tc>
      </w:tr>
      <w:t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CrewAI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Role-based collaborative agent squads.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ideal for local “coding squads” in IDEs.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Medium — typically needs a managed backend (CrewAI Enterprise).</w:t>
            </w:r>
          </w:p>
        </w:tc>
      </w:tr>
      <w:t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AutoGen 2.0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Conversation-based multi-agent teams.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Medium — best for interactive chat-based dev.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powerful for autonomous, headless loops.</w:t>
            </w:r>
          </w:p>
        </w:tc>
      </w:tr>
      <w:t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LlamaIndex Workflows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RAG-heavy agents needing massive data reasoning.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embedded search &amp; retrieval agents.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remote data-syncing agents.</w:t>
            </w:r>
          </w:p>
        </w:tc>
      </w:tr>
      <w:tr>
        <w:tc>
          <w:tcPr>
            <w:tcW w:type="dxa" w:w="21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Dify</w:t>
            </w:r>
          </w:p>
        </w:tc>
        <w:tc>
          <w:tcPr>
            <w:tcW w:type="dxa" w:w="30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Visual orchestration and managed platform.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Low — primarily a centralized platform.</w:t>
            </w:r>
          </w:p>
        </w:tc>
        <w:tc>
          <w:tcPr>
            <w:tcW w:type="dxa" w:w="21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High — ready-to-use remote agent infrastructure.</w:t>
            </w:r>
          </w:p>
        </w:tc>
      </w:tr>
    </w:tbl>
    <w:p>
      <w:pPr>
        <w:pStyle w:val="Heading3"/>
      </w:pPr>
      <w:r>
        <w:rPr>
          <w:color w:val="C9952F"/>
        </w:rPr>
        <w:t xml:space="preserve">The critical enterprise choice</w:t>
      </w:r>
    </w:p>
    <w:p>
      <w:pPr>
        <w:spacing w:after="120" w:line="278"/>
      </w:pPr>
      <w:r>
        <w:t xml:space="preserve">The decision that matters most for adoption is </w:t>
      </w:r>
      <w:r>
        <w:rPr>
          <w:b/>
          <w:bCs/>
        </w:rPr>
        <w:t xml:space="preserve">managed platform vs. developer framework</w:t>
      </w:r>
      <w:r>
        <w:t xml:space="preserve">: platforms (Dify, Nexus-class) trade control for speed-to-deploy; frameworks (LangGraph, CrewAI) trade setup effort for portability and control. Regulated/air-gapped buyers usually need the framework path; fast-moving product teams often prefer the platform path.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9762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☁  AWS AGENTIC ECOSYSTEM  (June 2026)</w:t>
            </w:r>
          </w:p>
        </w:tc>
      </w:tr>
    </w:tbl>
    <w:p>
      <w:pPr>
        <w:spacing w:after="80"/>
      </w:pPr>
    </w:p>
    <w:p>
      <w:pPr>
        <w:spacing w:after="120" w:line="278"/>
      </w:pPr>
      <w:r>
        <w:t xml:space="preserve">Per the source: following the June 2026 AWS NY Summit, AWS shifted from “Copilots” to “AgentCore” infrastructure — positioning agents as a combination of models plus managed harnesses. </w:t>
      </w:r>
      <w:r>
        <w:rPr>
          <w:i/>
          <w:iCs/>
          <w:color w:val="5B6B7E"/>
        </w:rPr>
        <w:t xml:space="preserve">[Verify product names/dates before use.]</w:t>
      </w:r>
    </w:p>
    <w:p>
      <w:pPr>
        <w:pStyle w:val="Heading3"/>
      </w:pPr>
      <w:r>
        <w:rPr>
          <w:color w:val="C9952F"/>
        </w:rPr>
        <w:t xml:space="preserve">Embedded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Kiro — </w:t>
      </w:r>
      <w:r>
        <w:t xml:space="preserve">a developer toolchain with a mobile app and IDE integration for validating infrastructure and testing.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AWS DevOps Agent — </w:t>
      </w:r>
      <w:r>
        <w:t xml:space="preserve">automated release-readiness and remediation, working directly inside CI/CD pipelines.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Strands Agents SDK (v1.0) — </w:t>
      </w:r>
      <w:r>
        <w:t xml:space="preserve">open-source toolkit for production agents with integrated chaos testing and context management.</w:t>
      </w:r>
    </w:p>
    <w:p>
      <w:pPr>
        <w:pStyle w:val="Heading3"/>
      </w:pPr>
      <w:r>
        <w:rPr>
          <w:color w:val="C9952F"/>
        </w:rPr>
        <w:t xml:space="preserve">Remote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AgentCore Harness — </w:t>
      </w:r>
      <w:r>
        <w:t xml:space="preserve">a managed execution environment that decouples agent logic from models; runs agents on isolated micro-VMs, handling state persistence and error recovery autonomously.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AWS Context Service — </w:t>
      </w:r>
      <w:r>
        <w:t xml:space="preserve">unified knowledge-graph construction so remote agents maintain consistent codebase topology.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C9762F"/>
        </w:rPr>
        <w:t xml:space="preserve">Amazon Q Enterprise — </w:t>
      </w:r>
      <w:r>
        <w:t xml:space="preserve">an enterprise-wide AI assistant deployable as an autonomous service for codebase modernization.</w:t>
      </w:r>
    </w:p>
    <w:p>
      <w:pPr>
        <w:pStyle w:val="Heading3"/>
      </w:pPr>
      <w:r>
        <w:rPr>
          <w:color w:val="C9952F"/>
        </w:rPr>
        <w:t xml:space="preserve">Performance &amp; infrastructure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Compute: </w:t>
      </w:r>
      <w:r>
        <w:t xml:space="preserve">EC2 G7 instances with NVIDIA Blackwell GPUs for high-speed agent inference.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Retrieval: </w:t>
      </w:r>
      <w:r>
        <w:t xml:space="preserve">Web Search on Amazon Bedrock AgentCore.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FB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☁  GOOGLE CLOUD (GCP) AGENTIC ECOSYSTEM</w:t>
            </w:r>
          </w:p>
        </w:tc>
      </w:tr>
    </w:tbl>
    <w:p>
      <w:pPr>
        <w:spacing w:after="80"/>
      </w:pPr>
    </w:p>
    <w:p>
      <w:pPr>
        <w:spacing w:after="120" w:line="278"/>
      </w:pPr>
      <w:r>
        <w:t xml:space="preserve">Per the source: GCP consolidated its offerings into the Gemini Enterprise Agent Platform (formerly Vertex AI), focusing on long-running autonomous agents and multimodal reasoning. </w:t>
      </w:r>
      <w:r>
        <w:rPr>
          <w:i/>
          <w:iCs/>
          <w:color w:val="5B6B7E"/>
        </w:rPr>
        <w:t xml:space="preserve">[Verify product names/dates before use.]</w:t>
      </w:r>
    </w:p>
    <w:p>
      <w:pPr>
        <w:pStyle w:val="Heading3"/>
      </w:pPr>
      <w:r>
        <w:rPr>
          <w:color w:val="C9952F"/>
        </w:rPr>
        <w:t xml:space="preserve">Embedded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Google ADK — </w:t>
      </w:r>
      <w:r>
        <w:t xml:space="preserve">the native framework for building agents on Gemini; stable v1.0 across four languages in 2026.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Workspace Studio — </w:t>
      </w:r>
      <w:r>
        <w:t xml:space="preserve">a no-code agent builder embedded in Google Workspace for process-specific business agents.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Agentic Vision — </w:t>
      </w:r>
      <w:r>
        <w:t xml:space="preserve">a Gemini 3 Flash capability letting embedded agents process visual development assets in real time.</w:t>
      </w:r>
    </w:p>
    <w:p>
      <w:pPr>
        <w:pStyle w:val="Heading3"/>
      </w:pPr>
      <w:r>
        <w:rPr>
          <w:color w:val="C9952F"/>
        </w:rPr>
        <w:t xml:space="preserve">Remote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Gemini Enterprise Agent Platform — </w:t>
      </w:r>
      <w:r>
        <w:t xml:space="preserve">supports long-running agents that independently solve complex problems over several days.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Agent Engine (Agent Runtime) — </w:t>
      </w:r>
      <w:r>
        <w:t xml:space="preserve">a managed service providing secure code execution, sessions, and “Memory Banks” for remote agents (billing live Feb 11, 2026 per source).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E6FB0"/>
        </w:rPr>
        <w:t xml:space="preserve">A2A Protocol v1.0 — </w:t>
      </w:r>
      <w:r>
        <w:t xml:space="preserve">an agent-to-agent communication standard, reported in production at 150+ organizations for multi-cloud interoperability.</w:t>
      </w:r>
    </w:p>
    <w:p>
      <w:pPr>
        <w:pStyle w:val="Heading3"/>
      </w:pPr>
      <w:r>
        <w:rPr>
          <w:color w:val="C9952F"/>
        </w:rPr>
        <w:t xml:space="preserve">Performance &amp; infrastructure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Compute: </w:t>
      </w:r>
      <w:r>
        <w:t xml:space="preserve">TPU 8t (training) and TPU 8i (inference), engineered for the agentic era.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7D8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☁  MICROSOFT AZURE AGENTIC ECOSYSTEM</w:t>
            </w:r>
          </w:p>
        </w:tc>
      </w:tr>
    </w:tbl>
    <w:p>
      <w:pPr>
        <w:spacing w:after="80"/>
      </w:pPr>
    </w:p>
    <w:p>
      <w:pPr>
        <w:spacing w:after="120" w:line="278"/>
      </w:pPr>
      <w:r>
        <w:t xml:space="preserve">Per the source: Microsoft launched Agent Framework 1.0 (April 2026), the production-ready convergence of Semantic Kernel and AutoGen into a single unified SDK. </w:t>
      </w:r>
      <w:r>
        <w:rPr>
          <w:i/>
          <w:iCs/>
          <w:color w:val="5B6B7E"/>
        </w:rPr>
        <w:t xml:space="preserve">[Verify product names/dates before use.]</w:t>
      </w:r>
    </w:p>
    <w:p>
      <w:pPr>
        <w:pStyle w:val="Heading3"/>
      </w:pPr>
      <w:r>
        <w:rPr>
          <w:color w:val="C9952F"/>
        </w:rPr>
        <w:t xml:space="preserve">Embedded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Agent Framework 1.0 — </w:t>
      </w:r>
      <w:r>
        <w:t xml:space="preserve">native .NET and Python support with stable APIs for embedding agentic logic into enterprise apps.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Microsoft Foundry VS Code Extension — </w:t>
      </w:r>
      <w:r>
        <w:t xml:space="preserve">GA as of June 3, 2026; deploy hosted agents and browse 1,900+ models in the editor.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Azure Cosmos DB Agent Memory Toolkit — </w:t>
      </w:r>
      <w:r>
        <w:t xml:space="preserve">standardizes persistent agent memory using local emulators for dev/test without cloud dependency.</w:t>
      </w:r>
    </w:p>
    <w:p>
      <w:pPr>
        <w:pStyle w:val="Heading3"/>
      </w:pPr>
      <w:r>
        <w:rPr>
          <w:color w:val="C9952F"/>
        </w:rPr>
        <w:t xml:space="preserve">Remote FDE options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Azure AI Agent Service — </w:t>
      </w:r>
      <w:r>
        <w:t xml:space="preserve">a managed service for multi-agent systems, integrating with Foundry for evaluations and memory stores.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Foundry Agent Service (BYOM) — </w:t>
      </w:r>
      <w:r>
        <w:t xml:space="preserve">“Bring Your Own Model” — remote agents can use fine-tuned or third-party models behind Azure API Management.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  <w:color w:val="2C7D8C"/>
        </w:rPr>
        <w:t xml:space="preserve">Azure Container Apps Dynamic Sessions — </w:t>
      </w:r>
      <w:r>
        <w:t xml:space="preserve">specialized compute for fast, secure isolation of remote agent code execution.</w:t>
      </w:r>
    </w:p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V  ·  PARALLEL ROLLOUT CROSSWALK — EMBEDDED vs. REMOTE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The adoption pattern across every cloud is the same: deploy </w:t>
      </w:r>
      <w:r>
        <w:rPr>
          <w:b/>
          <w:bCs/>
        </w:rPr>
        <w:t xml:space="preserve">Embedded</w:t>
      </w:r>
      <w:r>
        <w:t xml:space="preserve"> for trust-building and developer speed, and </w:t>
      </w:r>
      <w:r>
        <w:rPr>
          <w:b/>
          <w:bCs/>
        </w:rPr>
        <w:t xml:space="preserve">Remote</w:t>
      </w:r>
      <w:r>
        <w:t xml:space="preserve"> for high-scale autonomous service delivery. This crosswalk maps the two topologies across personas, interfaces, tools, and gates.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755"/>
        <w:gridCol w:w="3755"/>
      </w:tblGrid>
      <w:tr>
        <w:trPr>
          <w:tblHeader/>
        </w:trP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Embedded PODs (Human-in-the-Loop)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6"/>
              <w:bottom w:type="dxa" w:w="64"/>
              <w:right w:type="dxa" w:w="96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Remote PODs (Autonomous Services)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User persona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Individual developers, team leads.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DevOps engineers, SREs, product owners.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Primary interface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IDE (VS Code, Cursor), Slack, GitHub PRs.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API gateway, event bus (Kafka/SQS).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Core tools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Kiro, Foundry VS Code, Strands SDK.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Bedrock AgentCore, GCP Agent Runtime, AutoGen.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Orchestration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LangGraph, Semantic Kernel.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Azure AI Agent Service, Gemini Platform.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b/>
                <w:bCs/>
                <w:color w:val="16263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Human code review / approval gate.</w:t>
            </w:r>
          </w:p>
        </w:tc>
        <w:tc>
          <w:tcPr>
            <w:tcW w:type="dxa" w:w="3755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r>
              <w:rPr>
                <w:color w:val="1F2A38"/>
                <w:sz w:val="17"/>
                <w:szCs w:val="17"/>
              </w:rPr>
              <w:t xml:space="preserve">Automated evaluations / canary deployments.</w:t>
            </w:r>
          </w:p>
        </w:tc>
      </w:tr>
    </w:tbl>
    <w:p>
      <w:pPr>
        <w:pStyle w:val="Heading2"/>
      </w:pPr>
      <w:r>
        <w:rPr>
          <w:color w:val="16263F"/>
        </w:rPr>
        <w:t xml:space="preserve">Mapping the directory to the 80:20 model</w:t>
      </w:r>
    </w:p>
    <w:p>
      <w:pPr>
        <w:spacing w:after="120" w:line="278"/>
      </w:pPr>
      <w:r>
        <w:t xml:space="preserve">This crosswalk is the tooling expression of the 80:20 split. </w:t>
      </w:r>
      <w:r>
        <w:rPr>
          <w:b/>
          <w:bCs/>
        </w:rPr>
        <w:t xml:space="preserve">Embedded = ~70:30</w:t>
      </w:r>
      <w:r>
        <w:t xml:space="preserve"> (the human holds the approval gate in the IDE); </w:t>
      </w:r>
      <w:r>
        <w:rPr>
          <w:b/>
          <w:bCs/>
        </w:rPr>
        <w:t xml:space="preserve">Remote = ~90:10</w:t>
      </w:r>
      <w:r>
        <w:t xml:space="preserve"> (automated evaluations and canary deploys hold the gate, under human-set policy). Same accountability, different interaction surface — exactly the topology split defined in the FDE 80:20 lifecycle.</w:t>
      </w:r>
    </w:p>
    <w:p>
      <w:pPr>
        <w:pStyle w:val="Heading2"/>
      </w:pPr>
      <w:r>
        <w:rPr>
          <w:color w:val="16263F"/>
        </w:rPr>
        <w:t xml:space="preserve">Industry trends (June 2026, per source)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Agentic SDLC: </w:t>
      </w:r>
      <w:r>
        <w:t xml:space="preserve">over 70% of teams report high GenAI usage across the full development lifecycle.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Talent shift: </w:t>
      </w:r>
      <w:r>
        <w:t xml:space="preserve">entry-level coding roles are shifting toward senior-agent collaboration — agents perform tasks formerly assigned to junior engineers.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Managed vs. framework: </w:t>
      </w:r>
      <w:r>
        <w:t xml:space="preserve">the distinction between managed platforms and developer frameworks is the most critical enterprise adoption decision.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HOW TO USE THIS DIRECTORY</w:t>
            </w:r>
          </w:p>
          <w:p>
            <w:pPr>
              <w:spacing w:line="276"/>
            </w:pPr>
            <w:r>
              <w:t xml:space="preserve">Pick per cloud and per topology, not per hype. Choose the portable core (LangGraph/CrewAI) first, then bind to the client's cloud-native runtime (AgentCore / Agent Engine / Azure AI Agent Service). Start Embedded to earn trust, graduate to Remote to scale.</w:t>
            </w:r>
          </w:p>
        </w:tc>
      </w:tr>
    </w:tbl>
    <w:p>
      <w:pPr>
        <w:spacing w:after="40"/>
      </w:pPr>
    </w:p>
    <w:p>
      <w:r>
        <w:rPr>
          <w:color w:val="8090A4"/>
          <w:sz w:val="17"/>
          <w:szCs w:val="17"/>
        </w:rPr>
        <w:t xml:space="preserve">Multi-Cloud Agentic FDE Ecosystem &amp; Tooling Directory · June 2026 · product/version claims per source, pending verification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5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Cambria" w:cs="Cambria" w:eastAsia="Cambria" w:hAnsi="Cambria"/>
      <w:b/>
      <w:bCs/>
      <w:color w:val="16263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mbria" w:cs="Cambria" w:eastAsia="Cambria" w:hAnsi="Cambria"/>
      <w:b/>
      <w:bCs/>
      <w:color w:val="16263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Calibri" w:cs="Calibri" w:eastAsia="Calibri" w:hAnsi="Calibri"/>
      <w:b/>
      <w:bCs/>
      <w:color w:val="C9952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2026-06-23T04:57:26.388Z</dcterms:created>
  <dcterms:modified xsi:type="dcterms:W3CDTF">2026-06-23T04:57:26.388Z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