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9952F"/>
          <w:spacing w:val="50"/>
          <w:sz w:val="18"/>
          <w:szCs w:val="18"/>
        </w:rPr>
        <w:t xml:space="preserve">INTERNAL &amp; EXTERNAL · PR-FAQ + EXECUTION PLAYBOOK</w:t>
      </w:r>
    </w:p>
    <w:p>
      <w:pPr>
        <w:pStyle w:val="Title"/>
      </w:pPr>
      <w:r>
        <w:t xml:space="preserve">StatusNeo Forward Deployed Engineering</w:t>
      </w:r>
    </w:p>
    <w:p>
      <w:pPr>
        <w:spacing w:after="140"/>
      </w:pPr>
      <w:r>
        <w:rPr>
          <w:rFonts w:ascii="Cambria" w:cs="Cambria" w:eastAsia="Cambria" w:hAnsi="Cambria"/>
          <w:i/>
          <w:iCs/>
          <w:color w:val="5B6B7E"/>
          <w:sz w:val="26"/>
          <w:szCs w:val="26"/>
        </w:rPr>
        <w:t xml:space="preserve">The onshore tip of the spear for AuthenticAI™ delivery</w:t>
      </w:r>
    </w:p>
    <w:p>
      <w:pPr>
        <w:pBdr>
          <w:bottom w:val="single" w:color="DCE3EC"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one"/>
              <w:left w:val="none"/>
              <w:bottom w:val="none"/>
              <w:right w:val="none"/>
            </w:tcBorders>
            <w:tcMar>
              <w:top w:type="dxa" w:w="40"/>
              <w:left w:type="dxa" w:w="0"/>
              <w:bottom w:type="dxa" w:w="40"/>
              <w:right w:type="dxa" w:w="120"/>
            </w:tcMar>
          </w:tcPr>
          <w:p>
            <w:r>
              <w:rPr>
                <w:b/>
                <w:bCs/>
                <w:color w:val="16263F"/>
                <w:sz w:val="21"/>
                <w:szCs w:val="21"/>
              </w:rPr>
              <w:t xml:space="preserve">Document type</w:t>
            </w:r>
          </w:p>
        </w:tc>
        <w:tc>
          <w:tcPr>
            <w:tcW w:type="dxa" w:w="7260"/>
            <w:tcBorders>
              <w:top w:val="none"/>
              <w:left w:val="none"/>
              <w:bottom w:val="none"/>
              <w:right w:val="none"/>
            </w:tcBorders>
            <w:tcMar>
              <w:top w:type="dxa" w:w="40"/>
              <w:left w:type="dxa" w:w="0"/>
              <w:bottom w:type="dxa" w:w="40"/>
              <w:right w:type="dxa" w:w="0"/>
            </w:tcMar>
          </w:tcPr>
          <w:p>
            <w:r>
              <w:rPr>
                <w:color w:val="1F2A38"/>
                <w:sz w:val="21"/>
                <w:szCs w:val="21"/>
              </w:rPr>
              <w:t xml:space="preserve">Amazon-style PR-FAQ (working-backwards), extended into a prescriptive execution playbook.</w:t>
            </w:r>
          </w:p>
        </w:tc>
      </w:tr>
      <w:tr>
        <w:tc>
          <w:tcPr>
            <w:tcW w:type="dxa" w:w="2100"/>
            <w:tcBorders>
              <w:top w:val="none"/>
              <w:left w:val="none"/>
              <w:bottom w:val="none"/>
              <w:right w:val="none"/>
            </w:tcBorders>
            <w:tcMar>
              <w:top w:type="dxa" w:w="40"/>
              <w:left w:type="dxa" w:w="0"/>
              <w:bottom w:type="dxa" w:w="40"/>
              <w:right w:type="dxa" w:w="120"/>
            </w:tcMar>
          </w:tcPr>
          <w:p>
            <w:r>
              <w:rPr>
                <w:b/>
                <w:bCs/>
                <w:color w:val="16263F"/>
                <w:sz w:val="21"/>
                <w:szCs w:val="21"/>
              </w:rPr>
              <w:t xml:space="preserve">Audience</w:t>
            </w:r>
          </w:p>
        </w:tc>
        <w:tc>
          <w:tcPr>
            <w:tcW w:type="dxa" w:w="7260"/>
            <w:tcBorders>
              <w:top w:val="none"/>
              <w:left w:val="none"/>
              <w:bottom w:val="none"/>
              <w:right w:val="none"/>
            </w:tcBorders>
            <w:tcMar>
              <w:top w:type="dxa" w:w="40"/>
              <w:left w:type="dxa" w:w="0"/>
              <w:bottom w:type="dxa" w:w="40"/>
              <w:right w:type="dxa" w:w="0"/>
            </w:tcMar>
          </w:tcPr>
          <w:p>
            <w:r>
              <w:rPr>
                <w:color w:val="1F2A38"/>
                <w:sz w:val="21"/>
                <w:szCs w:val="21"/>
              </w:rPr>
              <w:t xml:space="preserve">Internal — Board, leadership, delivery, sales, the offshore pods.  External — customers, partners, prospective FDE hires, the market.</w:t>
            </w:r>
          </w:p>
        </w:tc>
      </w:tr>
      <w:tr>
        <w:tc>
          <w:tcPr>
            <w:tcW w:type="dxa" w:w="2100"/>
            <w:tcBorders>
              <w:top w:val="none"/>
              <w:left w:val="none"/>
              <w:bottom w:val="none"/>
              <w:right w:val="none"/>
            </w:tcBorders>
            <w:tcMar>
              <w:top w:type="dxa" w:w="40"/>
              <w:left w:type="dxa" w:w="0"/>
              <w:bottom w:type="dxa" w:w="40"/>
              <w:right w:type="dxa" w:w="120"/>
            </w:tcMar>
          </w:tcPr>
          <w:p>
            <w:r>
              <w:rPr>
                <w:b/>
                <w:bCs/>
                <w:color w:val="16263F"/>
                <w:sz w:val="21"/>
                <w:szCs w:val="21"/>
              </w:rPr>
              <w:t xml:space="preserve">Author / owner</w:t>
            </w:r>
          </w:p>
        </w:tc>
        <w:tc>
          <w:tcPr>
            <w:tcW w:type="dxa" w:w="7260"/>
            <w:tcBorders>
              <w:top w:val="none"/>
              <w:left w:val="none"/>
              <w:bottom w:val="none"/>
              <w:right w:val="none"/>
            </w:tcBorders>
            <w:tcMar>
              <w:top w:type="dxa" w:w="40"/>
              <w:left w:type="dxa" w:w="0"/>
              <w:bottom w:type="dxa" w:w="40"/>
              <w:right w:type="dxa" w:w="0"/>
            </w:tcMar>
          </w:tcPr>
          <w:p>
            <w:r>
              <w:rPr>
                <w:color w:val="1F2A38"/>
                <w:sz w:val="21"/>
                <w:szCs w:val="21"/>
              </w:rPr>
              <w:t xml:space="preserve">Jithendran (Jeeth) Sellamuthu, Head of Forward Deployed Engineering (proposed)</w:t>
            </w:r>
          </w:p>
        </w:tc>
      </w:tr>
      <w:tr>
        <w:tc>
          <w:tcPr>
            <w:tcW w:type="dxa" w:w="2100"/>
            <w:tcBorders>
              <w:top w:val="none"/>
              <w:left w:val="none"/>
              <w:bottom w:val="none"/>
              <w:right w:val="none"/>
            </w:tcBorders>
            <w:tcMar>
              <w:top w:type="dxa" w:w="40"/>
              <w:left w:type="dxa" w:w="0"/>
              <w:bottom w:type="dxa" w:w="40"/>
              <w:right w:type="dxa" w:w="120"/>
            </w:tcMar>
          </w:tcPr>
          <w:p>
            <w:r>
              <w:rPr>
                <w:b/>
                <w:bCs/>
                <w:color w:val="16263F"/>
                <w:sz w:val="21"/>
                <w:szCs w:val="21"/>
              </w:rPr>
              <w:t xml:space="preserve">Status</w:t>
            </w:r>
          </w:p>
        </w:tc>
        <w:tc>
          <w:tcPr>
            <w:tcW w:type="dxa" w:w="7260"/>
            <w:tcBorders>
              <w:top w:val="none"/>
              <w:left w:val="none"/>
              <w:bottom w:val="none"/>
              <w:right w:val="none"/>
            </w:tcBorders>
            <w:tcMar>
              <w:top w:type="dxa" w:w="40"/>
              <w:left w:type="dxa" w:w="0"/>
              <w:bottom w:type="dxa" w:w="40"/>
              <w:right w:type="dxa" w:w="0"/>
            </w:tcMar>
          </w:tcPr>
          <w:p>
            <w:r>
              <w:rPr>
                <w:color w:val="1F2A38"/>
                <w:sz w:val="21"/>
                <w:szCs w:val="21"/>
              </w:rPr>
              <w:t xml:space="preserve">Proposal for Board review, June 2026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263F" w:val="clear"/>
            <w:tcMar>
              <w:top w:type="dxa" w:w="140"/>
              <w:left w:type="dxa" w:w="180"/>
              <w:bottom w:type="dxa" w:w="140"/>
              <w:right w:type="dxa" w:w="180"/>
            </w:tcMar>
          </w:tcPr>
          <w:p>
            <w:pPr>
              <w:spacing w:after="60"/>
            </w:pPr>
            <w:r>
              <w:rPr>
                <w:b/>
                <w:bCs/>
                <w:color w:val="E8A816"/>
                <w:sz w:val="20"/>
                <w:szCs w:val="20"/>
              </w:rPr>
              <w:t xml:space="preserve">HOW TO READ THIS DOCUMENT</w:t>
            </w:r>
          </w:p>
          <w:p>
            <w:pPr>
              <w:spacing w:line="276"/>
            </w:pPr>
            <w:r>
              <w:rPr>
                <w:color w:val="FFFFFF"/>
              </w:rPr>
              <w:t xml:space="preserve">Pages 1–3 are the </w:t>
            </w:r>
            <w:r>
              <w:rPr>
                <w:b/>
                <w:bCs/>
                <w:color w:val="E8A816"/>
              </w:rPr>
              <w:t xml:space="preserve">PR-FAQ</w:t>
            </w:r>
            <w:r>
              <w:rPr>
                <w:color w:val="FFFFFF"/>
              </w:rPr>
              <w:t xml:space="preserve"> — a press release written as if the practice has already launched, plus the questions every stakeholder asks. Pages 4–8 are the </w:t>
            </w:r>
            <w:r>
              <w:rPr>
                <w:b/>
                <w:bCs/>
                <w:color w:val="E8A816"/>
              </w:rPr>
              <w:t xml:space="preserve">Execution Playbook</w:t>
            </w:r>
            <w:r>
              <w:rPr>
                <w:color w:val="FFFFFF"/>
              </w:rPr>
              <w:t xml:space="preserve"> — the prescriptive WHO/WHAT/WHERE/WHEN/HOW. The release is the destination; the playbook is the road.</w:t>
            </w:r>
          </w:p>
        </w:tc>
      </w:tr>
    </w:tbl>
    <w:p>
      <w:r>
        <w:br w:type="page"/>
      </w:r>
    </w:p>
    <w:p>
      <w:pPr>
        <w:spacing w:after="40"/>
      </w:pPr>
      <w:r>
        <w:rPr>
          <w:b/>
          <w:bCs/>
          <w:color w:val="C9952F"/>
          <w:spacing w:val="40"/>
          <w:sz w:val="18"/>
          <w:szCs w:val="18"/>
        </w:rPr>
        <w:t xml:space="preserve">PART I  ·  THE PRESS RELEASE</w:t>
      </w:r>
    </w:p>
    <w:p>
      <w:pPr>
        <w:spacing w:after="120"/>
      </w:pPr>
      <w:r>
        <w:rPr>
          <w:i/>
          <w:iCs/>
          <w:color w:val="5B6B7E"/>
          <w:sz w:val="21"/>
          <w:szCs w:val="21"/>
        </w:rPr>
        <w:t xml:space="preserve">Written from the future — as if the practice has already launched and delivered.</w:t>
      </w:r>
    </w:p>
    <w:p>
      <w:pPr>
        <w:pBdr>
          <w:bottom w:val="single" w:color="DCE3EC" w:sz="6" w:space="1"/>
        </w:pBdr>
        <w:spacing w:after="160"/>
      </w:pPr>
    </w:p>
    <w:p>
      <w:pPr>
        <w:spacing w:after="40"/>
      </w:pPr>
      <w:r>
        <w:rPr>
          <w:b/>
          <w:bCs/>
          <w:color w:val="16263F"/>
          <w:sz w:val="22"/>
          <w:szCs w:val="22"/>
        </w:rPr>
        <w:t xml:space="preserve">FOR IMMEDIATE RELEASE</w:t>
      </w:r>
    </w:p>
    <w:p>
      <w:pPr>
        <w:spacing w:after="120"/>
      </w:pPr>
      <w:r>
        <w:rPr>
          <w:color w:val="5B6B7E"/>
          <w:sz w:val="20"/>
          <w:szCs w:val="20"/>
        </w:rPr>
        <w:t xml:space="preserve">Silicon Valley, CA — Q4 2026</w:t>
      </w:r>
    </w:p>
    <w:p>
      <w:pPr>
        <w:spacing w:after="80"/>
        <w:outlineLvl w:val="0"/>
      </w:pPr>
      <w:r>
        <w:rPr>
          <w:rFonts w:ascii="Cambria" w:cs="Cambria" w:eastAsia="Cambria" w:hAnsi="Cambria"/>
          <w:b/>
          <w:bCs/>
          <w:color w:val="16263F"/>
          <w:sz w:val="30"/>
          <w:szCs w:val="30"/>
        </w:rPr>
        <w:t xml:space="preserve">StatusNeo Launches Forward Deployed Engineering — the Onshore Practice That Lands AuthenticAI™ Inside the Enterprise</w:t>
      </w:r>
    </w:p>
    <w:p>
      <w:pPr>
        <w:spacing w:after="140"/>
      </w:pPr>
      <w:r>
        <w:rPr>
          <w:i/>
          <w:iCs/>
          <w:color w:val="1F2A38"/>
          <w:sz w:val="22"/>
          <w:szCs w:val="22"/>
        </w:rPr>
        <w:t xml:space="preserve">A small cadre of senior, customer-embedded engineers now opens and de-risks the accounts the global delivery org scales — unlocking regulated, air-gapped enterprises that do not buy pure-offshore.</w:t>
      </w:r>
    </w:p>
    <w:p>
      <w:pPr>
        <w:spacing w:after="120" w:line="278"/>
      </w:pPr>
      <w:r>
        <w:t xml:space="preserve">StatusNeo today announced the launch of its Forward Deployed Engineering (FDE) practice, a new onshore capability that places senior, customer-embedded engineers directly inside enterprise environments to land the AuthenticAI™ Loop and the Enterprise OS Fabric™ where they create value: in production, at the customer site. The FDE practice is the onshore tip of the spear that opens and de-risks accounts, which the company's global delivery centers then scale.</w:t>
      </w:r>
    </w:p>
    <w:p>
      <w:pPr>
        <w:spacing w:after="120" w:line="278"/>
      </w:pPr>
      <w:r>
        <w:t xml:space="preserve">“Every enterprise wanting AI transformation faces the same problem: the gap between a brilliant framework and a landed, trusted production system,” said the StatusNeo leadership sponsor. “Our Loops and our OS Fabric are best-in-class. FDE is how they get deployed and </w:t>
      </w:r>
      <w:r>
        <w:rPr>
          <w:i/>
          <w:iCs/>
        </w:rPr>
        <w:t xml:space="preserve">trusted</w:t>
      </w:r>
      <w:r>
        <w:t xml:space="preserve"> inside a customer — not just architected in a deck. One embedded engineer who earns a CISO's confidence is worth more than a hundred slides.”</w:t>
      </w:r>
    </w:p>
    <w:p>
      <w:pPr>
        <w:spacing w:after="120" w:line="278"/>
      </w:pPr>
      <w:r>
        <w:t xml:space="preserve">The practice directly addresses StatusNeo's hardest-to-win segment. Regulated, air-gapped enterprises — in healthcare, banking and financial services, and defense — structurally cannot buy pure-offshore delivery; they require embedded, cleared, onsite engineers with deep regulated-domain fluency. The FDE practice gives StatusNeo the onshore credibility to enter those rooms, while preserving the offshore cost-and-velocity model that scales the work behind a now-trusted relationship.</w:t>
      </w:r>
    </w:p>
    <w:p>
      <w:pPr>
        <w:spacing w:after="120" w:line="278"/>
      </w:pPr>
      <w:r>
        <w:t xml:space="preserve">The launch follows a validated demonstration with an existing StatusNeo customer, Modutecture, where an embedded FDE diagnosed the load-bearing gap in the customer's platform, built a working vertical slice on the customer's own stack, and earned an invitation to expand — the exact “land-and-expand” motion the practice institutionalizes. </w:t>
      </w:r>
      <w:r>
        <w:rPr>
          <w:i/>
          <w:iCs/>
          <w:color w:val="5B6B7E"/>
        </w:rPr>
        <w:t xml:space="preserve">(See FAQ for the precise status of this engagement.)</w:t>
      </w:r>
    </w:p>
    <w:p>
      <w:pPr>
        <w:spacing w:after="120" w:line="278"/>
      </w:pPr>
      <w:r>
        <w:t xml:space="preserve">FDE is built on the principle that distinguishes StatusNeo's entire philosophy: AuthenticAI™ — responsible, not reckless; business-driven, not demo-driven. In FDE engagements, AI proposes and a deterministic gate disposes; correctness and compliance precede velocity; and every claim is labeled built, proven, or next. The practice makes that philosophy real at the point of contact with the customer.</w:t>
      </w:r>
    </w:p>
    <w:p>
      <w:pPr>
        <w:spacing w:after="120" w:line="278"/>
      </w:pPr>
      <w:r>
        <w:t xml:space="preserve">The FDE practice is available now for enterprise engagements. Prospective customers, partners, and senior engineers interested in the practice can contact StatusNeo leadership directly.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2344F" w:val="clear"/>
            <w:tcMar>
              <w:top w:type="dxa" w:w="140"/>
              <w:left w:type="dxa" w:w="180"/>
              <w:bottom w:type="dxa" w:w="140"/>
              <w:right w:type="dxa" w:w="180"/>
            </w:tcMar>
          </w:tcPr>
          <w:p>
            <w:pPr>
              <w:spacing w:after="60"/>
            </w:pPr>
            <w:r>
              <w:rPr>
                <w:b/>
                <w:bCs/>
                <w:color w:val="E8A816"/>
                <w:sz w:val="20"/>
                <w:szCs w:val="20"/>
              </w:rPr>
              <w:t xml:space="preserve">THE ONE-LINE THESIS</w:t>
            </w:r>
          </w:p>
          <w:p>
            <w:pPr>
              <w:spacing w:line="276"/>
            </w:pPr>
            <w:r>
              <w:rPr>
                <w:color w:val="FFFFFF"/>
                <w:sz w:val="21"/>
                <w:szCs w:val="21"/>
              </w:rPr>
              <w:t xml:space="preserve">StatusNeo has the frameworks and the offshore scale. FDE is the missing onshore tip of the spear that lands those frameworks inside the customer, de-risks the handoff, and unlocks the regulated enterprises the air-gapped posture is already built for.</w:t>
            </w:r>
          </w:p>
        </w:tc>
      </w:tr>
    </w:tbl>
    <w:p>
      <w:r>
        <w:br w:type="page"/>
      </w:r>
    </w:p>
    <w:p>
      <w:pPr>
        <w:spacing w:after="40"/>
      </w:pPr>
      <w:r>
        <w:rPr>
          <w:b/>
          <w:bCs/>
          <w:color w:val="C9952F"/>
          <w:spacing w:val="40"/>
          <w:sz w:val="18"/>
          <w:szCs w:val="18"/>
        </w:rPr>
        <w:t xml:space="preserve">PART II  ·  FREQUENTLY ASKED QUESTIONS</w:t>
      </w:r>
    </w:p>
    <w:p>
      <w:pPr>
        <w:spacing w:after="120"/>
      </w:pPr>
      <w:r>
        <w:rPr>
          <w:i/>
          <w:iCs/>
          <w:color w:val="5B6B7E"/>
          <w:sz w:val="21"/>
          <w:szCs w:val="21"/>
        </w:rPr>
        <w:t xml:space="preserve">Organized by the six questions every stakeholder asks: WHY, WHAT, WHO, WHERE, WHEN, HOW.</w:t>
      </w:r>
    </w:p>
    <w:p>
      <w:pPr>
        <w:pBdr>
          <w:bottom w:val="single" w:color="DCE3EC" w:sz="6" w:space="1"/>
        </w:pBdr>
        <w:spacing w:after="160"/>
      </w:pPr>
    </w:p>
    <w:p>
      <w:pPr>
        <w:pStyle w:val="Heading2"/>
      </w:pPr>
      <w:r>
        <w:rPr>
          <w:color w:val="16263F"/>
        </w:rPr>
        <w:t xml:space="preserve">External FAQ — for customers, partners, and the market</w:t>
      </w:r>
    </w:p>
    <w:p>
      <w:pPr>
        <w:spacing w:after="60" w:before="140" w:line="270"/>
      </w:pPr>
      <w:r>
        <w:rPr>
          <w:b/>
          <w:bCs/>
          <w:color w:val="C9952F"/>
          <w:sz w:val="22"/>
          <w:szCs w:val="22"/>
        </w:rPr>
        <w:t xml:space="preserve">Q.  </w:t>
      </w:r>
      <w:r>
        <w:rPr>
          <w:b/>
          <w:bCs/>
          <w:color w:val="16263F"/>
          <w:sz w:val="22"/>
          <w:szCs w:val="22"/>
        </w:rPr>
        <w:t xml:space="preserve">WHY does StatusNeo need a Forward Deployed Engineering practice?</w:t>
      </w:r>
    </w:p>
    <w:p>
      <w:pPr>
        <w:spacing w:after="90" w:line="274"/>
        <w:ind w:left="0"/>
      </w:pPr>
      <w:r>
        <w:rPr>
          <w:b/>
          <w:bCs/>
          <w:color w:val="5B6B7E"/>
          <w:sz w:val="22"/>
          <w:szCs w:val="22"/>
        </w:rPr>
        <w:t xml:space="preserve">A.  </w:t>
      </w:r>
      <w:r>
        <w:t xml:space="preserve">Because the highest-value enterprise AI work fails in the same place: the gap between a framework and a landed, trusted production system. StatusNeo's AuthenticAI™ Loop and Enterprise OS Fabric™ are excellent, but frameworks don't deploy themselves inside a customer's constraints, politics, and regulated data. FDE is the human bridge that crosses that gap — and it unlocks the regulated, air-gapped enterprises (healthcare, BFSI, defense) that will not buy pure-offshore delivery.</w:t>
      </w:r>
    </w:p>
    <w:p>
      <w:pPr>
        <w:spacing w:after="60" w:before="140" w:line="270"/>
      </w:pPr>
      <w:r>
        <w:rPr>
          <w:b/>
          <w:bCs/>
          <w:color w:val="C9952F"/>
          <w:sz w:val="22"/>
          <w:szCs w:val="22"/>
        </w:rPr>
        <w:t xml:space="preserve">Q.  </w:t>
      </w:r>
      <w:r>
        <w:rPr>
          <w:b/>
          <w:bCs/>
          <w:color w:val="16263F"/>
          <w:sz w:val="22"/>
          <w:szCs w:val="22"/>
        </w:rPr>
        <w:t xml:space="preserve">WHAT exactly is an FDE engagement — what do we get?</w:t>
      </w:r>
    </w:p>
    <w:p>
      <w:pPr>
        <w:spacing w:after="90" w:line="274"/>
        <w:ind w:left="0"/>
      </w:pPr>
      <w:r>
        <w:rPr>
          <w:b/>
          <w:bCs/>
          <w:color w:val="5B6B7E"/>
          <w:sz w:val="22"/>
          <w:szCs w:val="22"/>
        </w:rPr>
        <w:t xml:space="preserve">A.  </w:t>
      </w:r>
      <w:r>
        <w:t xml:space="preserve">A senior, onshore engineer embedded inside your environment who owns your outcome end-to-end: diagnoses the real problem, architects the solution, builds a working vertical slice on your actual stack, then pulls a StatusNeo delivery pod in behind them to scale — with no handoff gap. You get architecture authority and onsite trust in one person, backed by StatusNeo's full offshore velocity, IP, and the AuthenticAI™ governance model.</w:t>
      </w:r>
    </w:p>
    <w:p>
      <w:pPr>
        <w:spacing w:after="60" w:before="140" w:line="270"/>
      </w:pPr>
      <w:r>
        <w:rPr>
          <w:b/>
          <w:bCs/>
          <w:color w:val="C9952F"/>
          <w:sz w:val="22"/>
          <w:szCs w:val="22"/>
        </w:rPr>
        <w:t xml:space="preserve">Q.  </w:t>
      </w:r>
      <w:r>
        <w:rPr>
          <w:b/>
          <w:bCs/>
          <w:color w:val="16263F"/>
          <w:sz w:val="22"/>
          <w:szCs w:val="22"/>
        </w:rPr>
        <w:t xml:space="preserve">HOW is this different from staff augmentation or a typical consultancy?</w:t>
      </w:r>
    </w:p>
    <w:p>
      <w:pPr>
        <w:spacing w:after="90" w:line="274"/>
        <w:ind w:left="0"/>
      </w:pPr>
      <w:r>
        <w:rPr>
          <w:b/>
          <w:bCs/>
          <w:color w:val="5B6B7E"/>
          <w:sz w:val="22"/>
          <w:szCs w:val="22"/>
        </w:rPr>
        <w:t xml:space="preserve">A.  </w:t>
      </w:r>
      <w:r>
        <w:rPr>
          <w:color w:val="1F2A38"/>
          <w:sz w:val="22"/>
          <w:szCs w:val="22"/>
        </w:rPr>
        <w:t xml:space="preserve">Staff augmentation gives you hands that execute tickets with no ownership. A typical consultancy gives you a deck and leaves. FDE gives you a single owner who is accountable for a landed, governed, expanding outcome — embedded in your environment, building on your stack, and pulling an entire delivery organization in behind them. The FDE doesn't hand off; the FDE owns the seam.</w:t>
      </w:r>
    </w:p>
    <w:p>
      <w:pPr>
        <w:spacing w:after="60" w:before="140" w:line="270"/>
      </w:pPr>
      <w:r>
        <w:rPr>
          <w:b/>
          <w:bCs/>
          <w:color w:val="C9952F"/>
          <w:sz w:val="22"/>
          <w:szCs w:val="22"/>
        </w:rPr>
        <w:t xml:space="preserve">Q.  </w:t>
      </w:r>
      <w:r>
        <w:rPr>
          <w:b/>
          <w:bCs/>
          <w:color w:val="16263F"/>
          <w:sz w:val="22"/>
          <w:szCs w:val="22"/>
        </w:rPr>
        <w:t xml:space="preserve">WHO is the FDE, and are they qualified for regulated environments?</w:t>
      </w:r>
    </w:p>
    <w:p>
      <w:pPr>
        <w:spacing w:after="90" w:line="274"/>
        <w:ind w:left="0"/>
      </w:pPr>
      <w:r>
        <w:rPr>
          <w:b/>
          <w:bCs/>
          <w:color w:val="5B6B7E"/>
          <w:sz w:val="22"/>
          <w:szCs w:val="22"/>
        </w:rPr>
        <w:t xml:space="preserve">A.  </w:t>
      </w:r>
      <w:r>
        <w:t xml:space="preserve">FDEs are senior, architecture-capable, customer-facing engineers — deliberately a small, high-bar cadre. For regulated accounts they bring domain fluency (e.g., healthcare HL7/FHIR/HIPAA, financial, safety-critical) so they are credible in the room with a CISO or compliance officer, not just an engineering lead. The practice is led by an engineer with 28 years of embedded-at-customer delivery across exactly these regulated verticals.</w:t>
      </w:r>
    </w:p>
    <w:p>
      <w:pPr>
        <w:spacing w:after="60" w:before="140" w:line="270"/>
      </w:pPr>
      <w:r>
        <w:rPr>
          <w:b/>
          <w:bCs/>
          <w:color w:val="C9952F"/>
          <w:sz w:val="22"/>
          <w:szCs w:val="22"/>
        </w:rPr>
        <w:t xml:space="preserve">Q.  </w:t>
      </w:r>
      <w:r>
        <w:rPr>
          <w:b/>
          <w:bCs/>
          <w:color w:val="16263F"/>
          <w:sz w:val="22"/>
          <w:szCs w:val="22"/>
        </w:rPr>
        <w:t xml:space="preserve">HOW do you keep AI safe in our environment?</w:t>
      </w:r>
    </w:p>
    <w:p>
      <w:pPr>
        <w:spacing w:after="90" w:line="274"/>
        <w:ind w:left="0"/>
      </w:pPr>
      <w:r>
        <w:rPr>
          <w:b/>
          <w:bCs/>
          <w:color w:val="5B6B7E"/>
          <w:sz w:val="22"/>
          <w:szCs w:val="22"/>
        </w:rPr>
        <w:t xml:space="preserve">A.  </w:t>
      </w:r>
      <w:r>
        <w:t xml:space="preserve">The governing rule of every FDE engagement: the AI proposes, a deterministic gate disposes. Models are used where they excel — reading messy context, drafting, accelerating — and never as the final authority on a decision that must be correct or compliant. In regulated domains, correctness and compliance precede velocity, always. This is the AuthenticAI™ principle — responsible, not reckless — in running code.</w:t>
      </w:r>
    </w:p>
    <w:p>
      <w:pPr>
        <w:spacing w:after="60" w:before="140" w:line="270"/>
      </w:pPr>
      <w:r>
        <w:rPr>
          <w:b/>
          <w:bCs/>
          <w:color w:val="C9952F"/>
          <w:sz w:val="22"/>
          <w:szCs w:val="22"/>
        </w:rPr>
        <w:t xml:space="preserve">Q.  </w:t>
      </w:r>
      <w:r>
        <w:rPr>
          <w:b/>
          <w:bCs/>
          <w:color w:val="16263F"/>
          <w:sz w:val="22"/>
          <w:szCs w:val="22"/>
        </w:rPr>
        <w:t xml:space="preserve">WHERE and WHEN can we engage?</w:t>
      </w:r>
    </w:p>
    <w:p>
      <w:pPr>
        <w:spacing w:after="90" w:line="274"/>
        <w:ind w:left="0"/>
      </w:pPr>
      <w:r>
        <w:rPr>
          <w:b/>
          <w:bCs/>
          <w:color w:val="5B6B7E"/>
          <w:sz w:val="22"/>
          <w:szCs w:val="22"/>
        </w:rPr>
        <w:t xml:space="preserve">A.  </w:t>
      </w:r>
      <w:r>
        <w:rPr>
          <w:color w:val="1F2A38"/>
          <w:sz w:val="22"/>
          <w:szCs w:val="22"/>
        </w:rPr>
        <w:t xml:space="preserve">The practice is available now for enterprise engagements, onshore in the customer's environment with offshore delivery scaling behind it. A typical first engagement runs a 90-day arc — diagnose, land a working slice, scale with a pod, govern and expand — after which the account is referenceable, governed, and growing.</w:t>
      </w:r>
    </w:p>
    <w:p>
      <w:pPr>
        <w:pStyle w:val="Heading2"/>
      </w:pPr>
      <w:r>
        <w:rPr>
          <w:color w:val="16263F"/>
        </w:rPr>
        <w:t xml:space="preserve">Internal FAQ — for the Board, leadership, delivery, and sales</w:t>
      </w:r>
    </w:p>
    <w:p>
      <w:pPr>
        <w:spacing w:after="60" w:before="140" w:line="270"/>
      </w:pPr>
      <w:r>
        <w:rPr>
          <w:b/>
          <w:bCs/>
          <w:color w:val="C9952F"/>
          <w:sz w:val="22"/>
          <w:szCs w:val="22"/>
        </w:rPr>
        <w:t xml:space="preserve">Q.  </w:t>
      </w:r>
      <w:r>
        <w:rPr>
          <w:b/>
          <w:bCs/>
          <w:color w:val="16263F"/>
          <w:sz w:val="22"/>
          <w:szCs w:val="22"/>
        </w:rPr>
        <w:t xml:space="preserve">WHY now, and why does this matter strategically?</w:t>
      </w:r>
    </w:p>
    <w:p>
      <w:pPr>
        <w:spacing w:after="90" w:line="274"/>
        <w:ind w:left="0"/>
      </w:pPr>
      <w:r>
        <w:rPr>
          <w:b/>
          <w:bCs/>
          <w:color w:val="5B6B7E"/>
          <w:sz w:val="22"/>
          <w:szCs w:val="22"/>
        </w:rPr>
        <w:t xml:space="preserve">A.  </w:t>
      </w:r>
      <w:r>
        <w:rPr>
          <w:color w:val="1F2A38"/>
          <w:sz w:val="22"/>
          <w:szCs w:val="22"/>
        </w:rPr>
        <w:t xml:space="preserve">Three forces converge. One: the market is saturated with AI frameworks and agent-washing; what differentiates is landed, trusted outcomes — exactly what an embedded engineer delivers. Two: our air-gapped OS Fabric posture already targets healthcare, BFSI, and defense, but those buyers won't transact pure-offshore — we are leaving our hardest, highest-value segment on the table without an onshore motion. Three: we have a live, validated demonstration (Modutecture) proving the motion works. The window is open now.</w:t>
      </w:r>
    </w:p>
    <w:p>
      <w:pPr>
        <w:spacing w:after="60" w:before="140" w:line="270"/>
      </w:pPr>
      <w:r>
        <w:rPr>
          <w:b/>
          <w:bCs/>
          <w:color w:val="C9952F"/>
          <w:sz w:val="22"/>
          <w:szCs w:val="22"/>
        </w:rPr>
        <w:t xml:space="preserve">Q.  </w:t>
      </w:r>
      <w:r>
        <w:rPr>
          <w:b/>
          <w:bCs/>
          <w:color w:val="16263F"/>
          <w:sz w:val="22"/>
          <w:szCs w:val="22"/>
        </w:rPr>
        <w:t xml:space="preserve">WHAT is the business model — doesn't onshore destroy our margin?</w:t>
      </w:r>
    </w:p>
    <w:p>
      <w:pPr>
        <w:spacing w:after="90" w:line="274"/>
        <w:ind w:left="0"/>
      </w:pPr>
      <w:r>
        <w:rPr>
          <w:b/>
          <w:bCs/>
          <w:color w:val="5B6B7E"/>
          <w:sz w:val="22"/>
          <w:szCs w:val="22"/>
        </w:rPr>
        <w:t xml:space="preserve">A.  </w:t>
      </w:r>
      <w:r>
        <w:t xml:space="preserve">FDE does not replace offshore; it </w:t>
      </w:r>
      <w:r>
        <w:rPr>
          <w:i/>
          <w:iCs/>
        </w:rPr>
        <w:t xml:space="preserve">multiplies</w:t>
      </w:r>
      <w:r>
        <w:t xml:space="preserve"> it. One onshore FDE is expensive per-head, but their function is to open and de-risk accounts that a 10–20-person offshore pod then scales — accounts we could not have won otherwise. The governing metric is the </w:t>
      </w:r>
      <w:r>
        <w:rPr>
          <w:b/>
          <w:bCs/>
        </w:rPr>
        <w:t xml:space="preserve">offshore-pull ratio</w:t>
      </w:r>
      <w:r>
        <w:t xml:space="preserve">: GCC seats opened per FDE landing. If one FDE opens a regulated enterprise that yields a large offshore engagement, blended margin </w:t>
      </w:r>
      <w:r>
        <w:rPr>
          <w:i/>
          <w:iCs/>
        </w:rPr>
        <w:t xml:space="preserve">improves</w:t>
      </w:r>
      <w:r>
        <w:t xml:space="preserve">. FDE is a revenue-and-access play, not a delivery-cost play.</w:t>
      </w:r>
    </w:p>
    <w:p>
      <w:pPr>
        <w:spacing w:after="60" w:before="140" w:line="270"/>
      </w:pPr>
      <w:r>
        <w:rPr>
          <w:b/>
          <w:bCs/>
          <w:color w:val="C9952F"/>
          <w:sz w:val="22"/>
          <w:szCs w:val="22"/>
        </w:rPr>
        <w:t xml:space="preserve">Q.  </w:t>
      </w:r>
      <w:r>
        <w:rPr>
          <w:b/>
          <w:bCs/>
          <w:color w:val="16263F"/>
          <w:sz w:val="22"/>
          <w:szCs w:val="22"/>
        </w:rPr>
        <w:t xml:space="preserve">WHAT is the honest status of the Modutecture “pilot”?</w:t>
      </w:r>
    </w:p>
    <w:p>
      <w:pPr>
        <w:spacing w:after="90" w:line="274"/>
        <w:ind w:left="0"/>
      </w:pPr>
      <w:r>
        <w:rPr>
          <w:b/>
          <w:bCs/>
          <w:color w:val="5B6B7E"/>
          <w:sz w:val="22"/>
          <w:szCs w:val="22"/>
        </w:rPr>
        <w:t xml:space="preserve">A.  </w:t>
      </w:r>
      <w:r>
        <w:t xml:space="preserve">Precisely stated: Modutecture is a </w:t>
      </w:r>
      <w:r>
        <w:rPr>
          <w:b/>
          <w:bCs/>
        </w:rPr>
        <w:t xml:space="preserve">validated demonstration of the motion, not a signed-and-scaled account</w:t>
      </w:r>
      <w:r>
        <w:t xml:space="preserve">. What is true: the customer's CTO saw the embedded motion succeed and invited expansion. What is not yet true: a closed long-term engagement. We call it the proof of the motion; converting it into the proof of the practice is part of the first 30 days. We label it honestly — that discipline is itself what the FDE practice sells.</w:t>
      </w:r>
    </w:p>
    <w:p>
      <w:pPr>
        <w:spacing w:after="60" w:before="140" w:line="270"/>
      </w:pPr>
      <w:r>
        <w:rPr>
          <w:b/>
          <w:bCs/>
          <w:color w:val="C9952F"/>
          <w:sz w:val="22"/>
          <w:szCs w:val="22"/>
        </w:rPr>
        <w:t xml:space="preserve">Q.  </w:t>
      </w:r>
      <w:r>
        <w:rPr>
          <w:b/>
          <w:bCs/>
          <w:color w:val="16263F"/>
          <w:sz w:val="22"/>
          <w:szCs w:val="22"/>
        </w:rPr>
        <w:t xml:space="preserve">WHO staffs this, and how do we find FDEs?</w:t>
      </w:r>
    </w:p>
    <w:p>
      <w:pPr>
        <w:spacing w:after="90" w:line="274"/>
        <w:ind w:left="0"/>
      </w:pPr>
      <w:r>
        <w:rPr>
          <w:b/>
          <w:bCs/>
          <w:color w:val="5B6B7E"/>
          <w:sz w:val="22"/>
          <w:szCs w:val="22"/>
        </w:rPr>
        <w:t xml:space="preserve">A.  </w:t>
      </w:r>
      <w:r>
        <w:rPr>
          <w:color w:val="1F2A38"/>
          <w:sz w:val="22"/>
          <w:szCs w:val="22"/>
        </w:rPr>
        <w:t xml:space="preserve">A blend: internal promotion of our strongest, most customer-ready architects, plus targeted external hires for regulated-domain depth. The cadre is deliberately small and high-bar — one FDE paired with one offshore pod is the unit of the practice. The practice lead is hands-on and can personally be the FDE on the hardest first accounts while building the cadre.</w:t>
      </w:r>
    </w:p>
    <w:p>
      <w:pPr>
        <w:spacing w:after="60" w:before="140" w:line="270"/>
      </w:pPr>
      <w:r>
        <w:rPr>
          <w:b/>
          <w:bCs/>
          <w:color w:val="C9952F"/>
          <w:sz w:val="22"/>
          <w:szCs w:val="22"/>
        </w:rPr>
        <w:t xml:space="preserve">Q.  </w:t>
      </w:r>
      <w:r>
        <w:rPr>
          <w:b/>
          <w:bCs/>
          <w:color w:val="16263F"/>
          <w:sz w:val="22"/>
          <w:szCs w:val="22"/>
        </w:rPr>
        <w:t xml:space="preserve">HOW do we measure success, and over what horizon?</w:t>
      </w:r>
    </w:p>
    <w:p>
      <w:pPr>
        <w:spacing w:after="90" w:line="274"/>
        <w:ind w:left="0"/>
      </w:pPr>
      <w:r>
        <w:rPr>
          <w:b/>
          <w:bCs/>
          <w:color w:val="5B6B7E"/>
          <w:sz w:val="22"/>
          <w:szCs w:val="22"/>
        </w:rPr>
        <w:t xml:space="preserve">A.  </w:t>
      </w:r>
      <w:r>
        <w:t xml:space="preserve">A 30/60/90 arc with explicit exits. Day 30: charter signed, pilot live, 3–5 target accounts identified. Day 60: methodology documented, 2–3 FDEs onboarding, a second account landed. Day 90: a named, sellable practice with a pipeline, a dashboard, and a co-sell motion across regions. Ongoing metrics: offshore-pull ratio, expansion revenue per FDE, and time-to-trust. </w:t>
      </w:r>
      <w:r>
        <w:rPr>
          <w:i/>
          <w:iCs/>
          <w:color w:val="5B6B7E"/>
        </w:rPr>
        <w:t xml:space="preserve">(Full detail in the playbook.)</w:t>
      </w:r>
    </w:p>
    <w:p>
      <w:pPr>
        <w:spacing w:after="60" w:before="140" w:line="270"/>
      </w:pPr>
      <w:r>
        <w:rPr>
          <w:b/>
          <w:bCs/>
          <w:color w:val="C9952F"/>
          <w:sz w:val="22"/>
          <w:szCs w:val="22"/>
        </w:rPr>
        <w:t xml:space="preserve">Q.  </w:t>
      </w:r>
      <w:r>
        <w:rPr>
          <w:b/>
          <w:bCs/>
          <w:color w:val="16263F"/>
          <w:sz w:val="22"/>
          <w:szCs w:val="22"/>
        </w:rPr>
        <w:t xml:space="preserve">WHERE does FDE sit in the org, and how does it work with the GCC?</w:t>
      </w:r>
    </w:p>
    <w:p>
      <w:pPr>
        <w:spacing w:after="90" w:line="274"/>
        <w:ind w:left="0"/>
      </w:pPr>
      <w:r>
        <w:rPr>
          <w:b/>
          <w:bCs/>
          <w:color w:val="5B6B7E"/>
          <w:sz w:val="22"/>
          <w:szCs w:val="22"/>
        </w:rPr>
        <w:t xml:space="preserve">A.  </w:t>
      </w:r>
      <w:r>
        <w:t xml:space="preserve">FDE is onshore, reporting through the leadership sponsor, and operates as the front edge of the existing delivery org — not a competing silo. The relationship is sequencing, not competition: </w:t>
      </w:r>
      <w:r>
        <w:rPr>
          <w:b/>
          <w:bCs/>
        </w:rPr>
        <w:t xml:space="preserve">FDE lands; GCC scales.</w:t>
      </w:r>
      <w:r>
        <w:t xml:space="preserve"> The FDE owns the customer outcome and architecture authority; the offshore pod owns the volume of delivery behind a trusted relationship. One pod, always on, no handoffs.</w:t>
      </w:r>
    </w:p>
    <w:p>
      <w:pPr>
        <w:spacing w:after="60" w:before="140" w:line="270"/>
      </w:pPr>
      <w:r>
        <w:rPr>
          <w:b/>
          <w:bCs/>
          <w:color w:val="C9952F"/>
          <w:sz w:val="22"/>
          <w:szCs w:val="22"/>
        </w:rPr>
        <w:t xml:space="preserve">Q.  </w:t>
      </w:r>
      <w:r>
        <w:rPr>
          <w:b/>
          <w:bCs/>
          <w:color w:val="16263F"/>
          <w:sz w:val="22"/>
          <w:szCs w:val="22"/>
        </w:rPr>
        <w:t xml:space="preserve">WHAT are the risks, and how do we de-risk them?</w:t>
      </w:r>
    </w:p>
    <w:p>
      <w:pPr>
        <w:spacing w:after="90" w:line="274"/>
        <w:ind w:left="0"/>
      </w:pPr>
      <w:r>
        <w:rPr>
          <w:b/>
          <w:bCs/>
          <w:color w:val="5B6B7E"/>
          <w:sz w:val="22"/>
          <w:szCs w:val="22"/>
        </w:rPr>
        <w:t xml:space="preserve">A.  </w:t>
      </w:r>
      <w:r>
        <w:rPr>
          <w:color w:val="1F2A38"/>
          <w:sz w:val="22"/>
          <w:szCs w:val="22"/>
        </w:rPr>
        <w:t xml:space="preserve">Three honest failure modes. One: FDE gets diluted into just-another-delivery-role and loses the onshore-architecture-authority that makes it work. Two: we pick first accounts that aren't regulated/embedded-shaped, where FDE has no edge over the GCC. Three: the offshore-pull never materializes and FDE stays a cost with no scale behind it. All three are de-risked in the first 30 days: protect the role definition, select the right pilot accounts, and instrument the pull-ratio from day one.</w:t>
      </w:r>
    </w:p>
    <w:p>
      <w:pPr>
        <w:spacing w:after="60" w:before="140" w:line="270"/>
      </w:pPr>
      <w:r>
        <w:rPr>
          <w:b/>
          <w:bCs/>
          <w:color w:val="C9952F"/>
          <w:sz w:val="22"/>
          <w:szCs w:val="22"/>
        </w:rPr>
        <w:t xml:space="preserve">Q.  </w:t>
      </w:r>
      <w:r>
        <w:rPr>
          <w:b/>
          <w:bCs/>
          <w:color w:val="16263F"/>
          <w:sz w:val="22"/>
          <w:szCs w:val="22"/>
        </w:rPr>
        <w:t xml:space="preserve">HOW do we handle organizational resistance — the client saying no to AI?</w:t>
      </w:r>
    </w:p>
    <w:p>
      <w:pPr>
        <w:spacing w:after="90" w:line="274"/>
        <w:ind w:left="0"/>
      </w:pPr>
      <w:r>
        <w:rPr>
          <w:b/>
          <w:bCs/>
          <w:color w:val="5B6B7E"/>
          <w:sz w:val="22"/>
          <w:szCs w:val="22"/>
        </w:rPr>
        <w:t xml:space="preserve">A.  </w:t>
      </w:r>
      <w:r>
        <w:t xml:space="preserve">This is the core of the role, not an afterthought. In an 80:20 agentic model, deploying the software is the easy part; the bottleneck is the client's organizational inertia. The FDE — the </w:t>
      </w:r>
      <w:r>
        <w:rPr>
          <w:b/>
          <w:bCs/>
        </w:rPr>
        <w:t xml:space="preserve">Pod Commander</w:t>
      </w:r>
      <w:r>
        <w:t xml:space="preserve"> — is a change agent who walks the client from skepticism (demanding manual reviews) to acceptance (boilerplate only) to adoption (writing their own specs to feed the swarm). We don't measure this with soft metrics; we instrument it: Client-Authored Spec Ratio, Agentic PR Merge Rate, Human Intervention Rate, and System Adoption Velocity, surfaced on a live C-suite dashboard. The transformation has succeeded when the client stops micromanaging the code and starts managing the specifications.</w:t>
      </w:r>
    </w:p>
    <w:p>
      <w:r>
        <w:br w:type="page"/>
      </w:r>
    </w:p>
    <w:p>
      <w:pPr>
        <w:spacing w:after="40"/>
      </w:pPr>
      <w:r>
        <w:rPr>
          <w:b/>
          <w:bCs/>
          <w:color w:val="C9952F"/>
          <w:spacing w:val="40"/>
          <w:sz w:val="18"/>
          <w:szCs w:val="18"/>
        </w:rPr>
        <w:t xml:space="preserve">PART III  ·  THE EXECUTION PLAYBOOK</w:t>
      </w:r>
    </w:p>
    <w:p>
      <w:pPr>
        <w:spacing w:after="120"/>
      </w:pPr>
      <w:r>
        <w:rPr>
          <w:i/>
          <w:iCs/>
          <w:color w:val="5B6B7E"/>
          <w:sz w:val="21"/>
          <w:szCs w:val="21"/>
        </w:rPr>
        <w:t xml:space="preserve">Beyond the PR-FAQ: the prescriptive WHO / WHAT / WHERE / WHEN / HOW that makes the vision executable.</w:t>
      </w:r>
    </w:p>
    <w:p>
      <w:pPr>
        <w:pBdr>
          <w:bottom w:val="single" w:color="DCE3EC" w:sz="6" w:space="1"/>
        </w:pBdr>
        <w:spacing w:after="160"/>
      </w:pPr>
    </w:p>
    <w:p>
      <w:pPr>
        <w:pStyle w:val="Heading1"/>
      </w:pPr>
      <w:r>
        <w:rPr>
          <w:color w:val="16263F"/>
        </w:rPr>
        <w:t xml:space="preserve">1. The Six Questions, Answered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
            </w:r>
          </w:p>
        </w:tc>
        <w:tc>
          <w:tcPr>
            <w:tcW w:type="dxa" w:w="806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The practice, in one line each</w:t>
            </w:r>
          </w:p>
        </w:tc>
      </w:tr>
      <w:tr>
        <w:tc>
          <w:tcPr>
            <w:tcW w:type="dxa" w:w="13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b/>
                <w:bCs/>
                <w:color w:val="16263F"/>
              </w:rPr>
              <w:t xml:space="preserve">WHY</w:t>
            </w:r>
          </w:p>
        </w:tc>
        <w:tc>
          <w:tcPr>
            <w:tcW w:type="dxa" w:w="80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Frameworks don't land themselves. FDE crosses the gap from deck to trusted production, and unlocks regulated buyers who won't buy pure-offshore.</w:t>
            </w:r>
          </w:p>
        </w:tc>
      </w:tr>
      <w:tr>
        <w:tc>
          <w:tcPr>
            <w:tcW w:type="dxa" w:w="13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b/>
                <w:bCs/>
                <w:color w:val="16263F"/>
              </w:rPr>
              <w:t xml:space="preserve">WHAT</w:t>
            </w:r>
          </w:p>
        </w:tc>
        <w:tc>
          <w:tcPr>
            <w:tcW w:type="dxa" w:w="80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A small onshore cadre of senior embedded engineers who own a customer outcome end-to-end and pull the GCC in behind them.</w:t>
            </w:r>
          </w:p>
        </w:tc>
      </w:tr>
      <w:tr>
        <w:tc>
          <w:tcPr>
            <w:tcW w:type="dxa" w:w="13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b/>
                <w:bCs/>
                <w:color w:val="16263F"/>
              </w:rPr>
              <w:t xml:space="preserve">WHO</w:t>
            </w:r>
          </w:p>
        </w:tc>
        <w:tc>
          <w:tcPr>
            <w:tcW w:type="dxa" w:w="80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Senior, architecture-capable, regulated-domain-fluent engineers. Led hands-on; one FDE paired with one offshore pod is the unit.</w:t>
            </w:r>
          </w:p>
        </w:tc>
      </w:tr>
      <w:tr>
        <w:tc>
          <w:tcPr>
            <w:tcW w:type="dxa" w:w="13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b/>
                <w:bCs/>
                <w:color w:val="16263F"/>
              </w:rPr>
              <w:t xml:space="preserve">WHERE</w:t>
            </w:r>
          </w:p>
        </w:tc>
        <w:tc>
          <w:tcPr>
            <w:tcW w:type="dxa" w:w="80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Onshore, inside the customer's environment (incl. air-gapped), with offshore delivery scaling behind. Starts with healthcare/BFSI/defense.</w:t>
            </w:r>
          </w:p>
        </w:tc>
      </w:tr>
      <w:tr>
        <w:tc>
          <w:tcPr>
            <w:tcW w:type="dxa" w:w="13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b/>
                <w:bCs/>
                <w:color w:val="16263F"/>
              </w:rPr>
              <w:t xml:space="preserve">WHEN</w:t>
            </w:r>
          </w:p>
        </w:tc>
        <w:tc>
          <w:tcPr>
            <w:tcW w:type="dxa" w:w="80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Now. A 30/60/90 stand-up; each customer engagement a 90-day land-and-expand arc.</w:t>
            </w:r>
          </w:p>
        </w:tc>
      </w:tr>
      <w:tr>
        <w:tc>
          <w:tcPr>
            <w:tcW w:type="dxa" w:w="13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b/>
                <w:bCs/>
                <w:color w:val="16263F"/>
              </w:rPr>
              <w:t xml:space="preserve">HOW</w:t>
            </w:r>
          </w:p>
        </w:tc>
        <w:tc>
          <w:tcPr>
            <w:tcW w:type="dxa" w:w="80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Diagnose → land a working slice → pull the pod in → govern &amp; expand. AI proposes; the deterministic gate disposes.</w:t>
            </w:r>
          </w:p>
        </w:tc>
      </w:tr>
    </w:tbl>
    <w:p>
      <w:pPr>
        <w:pStyle w:val="Heading1"/>
      </w:pPr>
      <w:r>
        <w:rPr>
          <w:color w:val="16263F"/>
        </w:rPr>
        <w:t xml:space="preserve">2. WHO — The People &amp; The Operating Unit</w:t>
      </w:r>
    </w:p>
    <w:p>
      <w:pPr>
        <w:pStyle w:val="Heading3"/>
      </w:pPr>
      <w:r>
        <w:rPr>
          <w:color w:val="C9952F"/>
        </w:rPr>
        <w:t xml:space="preserve">The FDE archetype (the hiring bar)</w:t>
      </w:r>
    </w:p>
    <w:p>
      <w:pPr>
        <w:pStyle w:val="ListParagraph"/>
        <w:numPr>
          <w:ilvl w:val="0"/>
          <w:numId w:val="2"/>
        </w:numPr>
        <w:spacing w:after="60" w:line="266"/>
      </w:pPr>
      <w:r>
        <w:rPr>
          <w:b/>
          <w:bCs/>
        </w:rPr>
        <w:t xml:space="preserve">Senior &amp; architecture-capable</w:t>
      </w:r>
      <w:r>
        <w:t xml:space="preserve"> — can diagnose and architect, not just execute.</w:t>
      </w:r>
    </w:p>
    <w:p>
      <w:pPr>
        <w:pStyle w:val="ListParagraph"/>
        <w:numPr>
          <w:ilvl w:val="0"/>
          <w:numId w:val="2"/>
        </w:numPr>
        <w:spacing w:after="60" w:line="266"/>
      </w:pPr>
      <w:r>
        <w:rPr>
          <w:b/>
          <w:bCs/>
        </w:rPr>
        <w:t xml:space="preserve">Customer-facing</w:t>
      </w:r>
      <w:r>
        <w:t xml:space="preserve"> — earns trust in the room; translates ambiguity into a delivery plan.</w:t>
      </w:r>
    </w:p>
    <w:p>
      <w:pPr>
        <w:pStyle w:val="ListParagraph"/>
        <w:numPr>
          <w:ilvl w:val="0"/>
          <w:numId w:val="2"/>
        </w:numPr>
        <w:spacing w:after="60" w:line="266"/>
      </w:pPr>
      <w:r>
        <w:rPr>
          <w:b/>
          <w:bCs/>
        </w:rPr>
        <w:t xml:space="preserve">Regulated-domain fluent</w:t>
      </w:r>
      <w:r>
        <w:t xml:space="preserve"> — credible with a CISO/compliance officer (healthcare, BFSI, defense).</w:t>
      </w:r>
    </w:p>
    <w:p>
      <w:pPr>
        <w:pStyle w:val="ListParagraph"/>
        <w:numPr>
          <w:ilvl w:val="0"/>
          <w:numId w:val="2"/>
        </w:numPr>
        <w:spacing w:after="60" w:line="266"/>
      </w:pPr>
      <w:r>
        <w:rPr>
          <w:b/>
          <w:bCs/>
        </w:rPr>
        <w:t xml:space="preserve">AI-native</w:t>
      </w:r>
      <w:r>
        <w:t xml:space="preserve"> — governed agentic AI is their default; the gate discipline is instinct.</w:t>
      </w:r>
    </w:p>
    <w:p>
      <w:pPr>
        <w:pStyle w:val="ListParagraph"/>
        <w:numPr>
          <w:ilvl w:val="0"/>
          <w:numId w:val="2"/>
        </w:numPr>
        <w:spacing w:after="60" w:line="266"/>
      </w:pPr>
      <w:r>
        <w:rPr>
          <w:b/>
          <w:bCs/>
        </w:rPr>
        <w:t xml:space="preserve">Low-ego, outcome-owning</w:t>
      </w:r>
      <w:r>
        <w:t xml:space="preserve"> — humble about the customer's build, certain about the diagnosis.</w:t>
      </w:r>
    </w:p>
    <w:p>
      <w:pPr>
        <w:pStyle w:val="Heading3"/>
      </w:pPr>
      <w:r>
        <w:rPr>
          <w:color w:val="C9952F"/>
        </w:rPr>
        <w:t xml:space="preserve">The operating unit &amp; the RACI</w:t>
      </w:r>
    </w:p>
    <w:p>
      <w:pPr>
        <w:spacing w:after="120" w:line="278"/>
      </w:pPr>
      <w:r>
        <w:t xml:space="preserve">The unit of the practice is </w:t>
      </w:r>
      <w:r>
        <w:rPr>
          <w:b/>
          <w:bCs/>
        </w:rPr>
        <w:t xml:space="preserve">one FDE + one offshore pod = one account, landed and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Role</w:t>
            </w:r>
          </w:p>
        </w:tc>
        <w:tc>
          <w:tcPr>
            <w:tcW w:type="dxa" w:w="34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Owns</w:t>
            </w:r>
          </w:p>
        </w:tc>
        <w:tc>
          <w:tcPr>
            <w:tcW w:type="dxa" w:w="406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Accountable for</w:t>
            </w:r>
          </w:p>
        </w:tc>
      </w:tr>
      <w:tr>
        <w:tc>
          <w:tcPr>
            <w:tcW w:type="dxa" w:w="19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FDE (onshore)</w:t>
            </w:r>
          </w:p>
        </w:tc>
        <w:tc>
          <w:tcPr>
            <w:tcW w:type="dxa" w:w="34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The customer outcome + architecture authority</w:t>
            </w:r>
          </w:p>
        </w:tc>
        <w:tc>
          <w:tcPr>
            <w:tcW w:type="dxa" w:w="40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Diagnosis, the landed slice, the trust relationship, the expansion path</w:t>
            </w:r>
          </w:p>
        </w:tc>
      </w:tr>
      <w:tr>
        <w:tc>
          <w:tcPr>
            <w:tcW w:type="dxa" w:w="19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Offshore pod</w:t>
            </w:r>
          </w:p>
        </w:tc>
        <w:tc>
          <w:tcPr>
            <w:tcW w:type="dxa" w:w="34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Delivery volume behind the FDE</w:t>
            </w:r>
          </w:p>
        </w:tc>
        <w:tc>
          <w:tcPr>
            <w:tcW w:type="dxa" w:w="40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Scaled build, automation, QA — using StatusNeo IP</w:t>
            </w:r>
          </w:p>
        </w:tc>
      </w:tr>
      <w:tr>
        <w:tc>
          <w:tcPr>
            <w:tcW w:type="dxa" w:w="19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Practice lead</w:t>
            </w:r>
          </w:p>
        </w:tc>
        <w:tc>
          <w:tcPr>
            <w:tcW w:type="dxa" w:w="34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The practice itself</w:t>
            </w:r>
          </w:p>
        </w:tc>
        <w:tc>
          <w:tcPr>
            <w:tcW w:type="dxa" w:w="40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Methodology, hiring the cadre, the dashboard, co-sell enablement</w:t>
            </w:r>
          </w:p>
        </w:tc>
      </w:tr>
      <w:tr>
        <w:tc>
          <w:tcPr>
            <w:tcW w:type="dxa" w:w="19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Leadership sponsor</w:t>
            </w:r>
          </w:p>
        </w:tc>
        <w:tc>
          <w:tcPr>
            <w:tcW w:type="dxa" w:w="34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Executive air cover</w:t>
            </w:r>
          </w:p>
        </w:tc>
        <w:tc>
          <w:tcPr>
            <w:tcW w:type="dxa" w:w="40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Account access, role-definition protection, escalation</w:t>
            </w:r>
          </w:p>
        </w:tc>
      </w:tr>
    </w:tbl>
    <w:p>
      <w:pPr>
        <w:pStyle w:val="Heading1"/>
      </w:pPr>
      <w:r>
        <w:rPr>
          <w:color w:val="16263F"/>
        </w:rPr>
        <w:t xml:space="preserve">3. WHERE — Markets, Accounts &amp; Sequencing</w:t>
      </w:r>
    </w:p>
    <w:p>
      <w:pPr>
        <w:spacing w:after="120" w:line="278"/>
      </w:pPr>
      <w:r>
        <w:t xml:space="preserve">Start where FDE has structural advantage and the GCC alone cannot win: </w:t>
      </w:r>
      <w:r>
        <w:rPr>
          <w:b/>
          <w:bCs/>
        </w:rPr>
        <w:t xml:space="preserve">regulated, air-gapped enterprises</w:t>
      </w:r>
      <w:r>
        <w:t xml:space="preserve"> — healthcare, BFSI, defense — named on StatusNeo's own OS Fabric posture.</w:t>
      </w:r>
    </w:p>
    <w:p>
      <w:pPr>
        <w:pStyle w:val="Heading3"/>
      </w:pPr>
      <w:r>
        <w:rPr>
          <w:color w:val="C9952F"/>
        </w:rPr>
        <w:t xml:space="preserve">Account-selection criteria (the pilot filter)</w:t>
      </w:r>
    </w:p>
    <w:p>
      <w:pPr>
        <w:pStyle w:val="ListParagraph"/>
        <w:numPr>
          <w:ilvl w:val="0"/>
          <w:numId w:val="2"/>
        </w:numPr>
        <w:spacing w:after="60" w:line="266"/>
      </w:pPr>
      <w:r>
        <w:rPr>
          <w:b/>
          <w:bCs/>
        </w:rPr>
        <w:t xml:space="preserve">Regulated/embedded-shaped</w:t>
      </w:r>
      <w:r>
        <w:t xml:space="preserve"> — a buyer who structurally needs onsite, cleared engineers.</w:t>
      </w:r>
    </w:p>
    <w:p>
      <w:pPr>
        <w:pStyle w:val="ListParagraph"/>
        <w:numPr>
          <w:ilvl w:val="0"/>
          <w:numId w:val="2"/>
        </w:numPr>
        <w:spacing w:after="60" w:line="266"/>
      </w:pPr>
      <w:r>
        <w:rPr>
          <w:b/>
          <w:bCs/>
        </w:rPr>
        <w:t xml:space="preserve">High visibility, manageable risk</w:t>
      </w:r>
      <w:r>
        <w:t xml:space="preserve"> — a lighthouse that proves the motion without betting the firm.</w:t>
      </w:r>
    </w:p>
    <w:p>
      <w:pPr>
        <w:pStyle w:val="ListParagraph"/>
        <w:numPr>
          <w:ilvl w:val="0"/>
          <w:numId w:val="2"/>
        </w:numPr>
        <w:spacing w:after="60" w:line="266"/>
      </w:pPr>
      <w:r>
        <w:rPr>
          <w:b/>
          <w:bCs/>
        </w:rPr>
        <w:t xml:space="preserve">Expansion headroom</w:t>
      </w:r>
      <w:r>
        <w:t xml:space="preserve"> — a landed slice can credibly pull a 10–20-person offshore pod.</w:t>
      </w:r>
    </w:p>
    <w:p>
      <w:pPr>
        <w:pStyle w:val="ListParagraph"/>
        <w:numPr>
          <w:ilvl w:val="0"/>
          <w:numId w:val="2"/>
        </w:numPr>
        <w:spacing w:after="60" w:line="266"/>
      </w:pPr>
      <w:r>
        <w:rPr>
          <w:b/>
          <w:bCs/>
        </w:rPr>
        <w:t xml:space="preserve">A real load-bearing gap</w:t>
      </w:r>
      <w:r>
        <w:t xml:space="preserve"> — somewhere the product 'lives between the tools' and correctness has no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2344F" w:val="clear"/>
            <w:tcMar>
              <w:top w:type="dxa" w:w="140"/>
              <w:left w:type="dxa" w:w="180"/>
              <w:bottom w:type="dxa" w:w="140"/>
              <w:right w:type="dxa" w:w="180"/>
            </w:tcMar>
          </w:tcPr>
          <w:p>
            <w:pPr>
              <w:spacing w:after="60"/>
            </w:pPr>
            <w:r>
              <w:rPr>
                <w:b/>
                <w:bCs/>
                <w:color w:val="E8A816"/>
                <w:sz w:val="20"/>
                <w:szCs w:val="20"/>
              </w:rPr>
              <w:t xml:space="preserve">PILOT #0 — MODUTECTURE</w:t>
            </w:r>
          </w:p>
          <w:p>
            <w:pPr>
              <w:spacing w:line="276"/>
            </w:pPr>
            <w:r>
              <w:rPr>
                <w:color w:val="FFFFFF"/>
                <w:sz w:val="21"/>
                <w:szCs w:val="21"/>
              </w:rPr>
              <w:t xml:space="preserve">The validated demonstration: an embedded FDE diagnosed the gap, built a working slice on the customer's own stack, and earned an invitation to expand. It is the proof of the motion, and the template for account selection. Honest status: validated demonstration, not a closed-and-scaled account.</w:t>
            </w:r>
          </w:p>
        </w:tc>
      </w:tr>
    </w:tbl>
    <w:p>
      <w:pPr>
        <w:pStyle w:val="Heading1"/>
      </w:pPr>
      <w:r>
        <w:rPr>
          <w:color w:val="16263F"/>
        </w:rPr>
        <w:t xml:space="preserve">4. WHEN — The 30 / 60 / 90 Stand-Up</w:t>
      </w:r>
    </w:p>
    <w:p>
      <w:pPr>
        <w:pStyle w:val="Heading2"/>
      </w:pPr>
      <w:r>
        <w:rPr>
          <w:color w:val="16263F"/>
        </w:rPr>
        <w:t xml:space="preserve">Days 0–30 — Listen, Map, Land the Pilot</w:t>
      </w:r>
    </w:p>
    <w:p>
      <w:pPr>
        <w:spacing w:after="120" w:line="278"/>
      </w:pPr>
      <w:r>
        <w:rPr>
          <w:b/>
          <w:bCs/>
        </w:rPr>
        <w:t xml:space="preserve">Theme: </w:t>
      </w:r>
      <w:r>
        <w:rPr>
          <w:i/>
          <w:iCs/>
        </w:rPr>
        <w:t xml:space="preserve">credibility through the Modutecture pilot + a documented charter.</w:t>
      </w:r>
    </w:p>
    <w:p>
      <w:pPr>
        <w:pStyle w:val="ListParagraph"/>
        <w:numPr>
          <w:ilvl w:val="0"/>
          <w:numId w:val="2"/>
        </w:numPr>
        <w:spacing w:after="60" w:line="266"/>
      </w:pPr>
      <w:r>
        <w:rPr>
          <w:b/>
          <w:bCs/>
        </w:rPr>
        <w:t xml:space="preserve">Week 1 — Immersion.</w:t>
      </w:r>
      <w:r>
        <w:t xml:space="preserve"> Meet the sponsor, CEO, the CTO/AI lead, regional heads, delivery leads. Read the OS Fabric™, Loops, Agents Library, Maturity Index from the inside; map the handoff failure points.</w:t>
      </w:r>
    </w:p>
    <w:p>
      <w:pPr>
        <w:pStyle w:val="ListParagraph"/>
        <w:numPr>
          <w:ilvl w:val="0"/>
          <w:numId w:val="2"/>
        </w:numPr>
        <w:spacing w:after="60" w:line="266"/>
      </w:pPr>
      <w:r>
        <w:rPr>
          <w:b/>
          <w:bCs/>
        </w:rPr>
        <w:t xml:space="preserve">Week 2 — Account audit.</w:t>
      </w:r>
      <w:r>
        <w:t xml:space="preserve"> Inventory accounts; identify 3–5 where an embedded FDE prevents churn, accelerates landing, or unlocks expansion.</w:t>
      </w:r>
    </w:p>
    <w:p>
      <w:pPr>
        <w:pStyle w:val="ListParagraph"/>
        <w:numPr>
          <w:ilvl w:val="0"/>
          <w:numId w:val="2"/>
        </w:numPr>
        <w:spacing w:after="60" w:line="266"/>
      </w:pPr>
      <w:r>
        <w:rPr>
          <w:b/>
          <w:bCs/>
        </w:rPr>
        <w:t xml:space="preserve">Weeks 3–4 — Land the pilot + draft the charter.</w:t>
      </w:r>
      <w:r>
        <w:t xml:space="preserve"> Formalize Modutecture as reference #1. Produce the FDE Charter v1 with the FDE↔GCC model and metrics.</w:t>
      </w:r>
    </w:p>
    <w:p>
      <w:pPr>
        <w:spacing w:after="120" w:line="278"/>
      </w:pPr>
      <w:r>
        <w:rPr>
          <w:b/>
          <w:bCs/>
          <w:color w:val="1E7A4C"/>
        </w:rPr>
        <w:t xml:space="preserve">Exit (Day 30): </w:t>
      </w:r>
      <w:r>
        <w:t xml:space="preserve">Charter signed; pilot live; 3–5 targets identified; metrics baselined.</w:t>
      </w:r>
    </w:p>
    <w:p>
      <w:pPr>
        <w:pStyle w:val="Heading2"/>
      </w:pPr>
      <w:r>
        <w:rPr>
          <w:color w:val="16263F"/>
        </w:rPr>
        <w:t xml:space="preserve">Days 31–60 — Codify, Staff, Prove</w:t>
      </w:r>
    </w:p>
    <w:p>
      <w:pPr>
        <w:spacing w:after="120" w:line="278"/>
      </w:pPr>
      <w:r>
        <w:rPr>
          <w:b/>
          <w:bCs/>
        </w:rPr>
        <w:t xml:space="preserve">Theme: </w:t>
      </w:r>
      <w:r>
        <w:rPr>
          <w:i/>
          <w:iCs/>
        </w:rPr>
        <w:t xml:space="preserve">turn one success into a repeatable practice.</w:t>
      </w:r>
    </w:p>
    <w:p>
      <w:pPr>
        <w:pStyle w:val="ListParagraph"/>
        <w:numPr>
          <w:ilvl w:val="0"/>
          <w:numId w:val="2"/>
        </w:numPr>
        <w:spacing w:after="60" w:line="266"/>
      </w:pPr>
      <w:r>
        <w:rPr>
          <w:b/>
          <w:bCs/>
        </w:rPr>
        <w:t xml:space="preserve">Codify the FDE Loop™</w:t>
      </w:r>
      <w:r>
        <w:t xml:space="preserve"> (the methodology cookbook) and build the Landing Runbook (the field manual).</w:t>
      </w:r>
    </w:p>
    <w:p>
      <w:pPr>
        <w:pStyle w:val="ListParagraph"/>
        <w:numPr>
          <w:ilvl w:val="0"/>
          <w:numId w:val="2"/>
        </w:numPr>
        <w:spacing w:after="60" w:line="266"/>
      </w:pPr>
      <w:r>
        <w:rPr>
          <w:b/>
          <w:bCs/>
        </w:rPr>
        <w:t xml:space="preserve">Identify/onboard the first 2–3 FDEs</w:t>
      </w:r>
      <w:r>
        <w:t xml:space="preserve">; pair each with an offshore pod.</w:t>
      </w:r>
    </w:p>
    <w:p>
      <w:pPr>
        <w:pStyle w:val="ListParagraph"/>
        <w:numPr>
          <w:ilvl w:val="0"/>
          <w:numId w:val="2"/>
        </w:numPr>
        <w:spacing w:after="60" w:line="266"/>
      </w:pPr>
      <w:r>
        <w:rPr>
          <w:b/>
          <w:bCs/>
        </w:rPr>
        <w:t xml:space="preserve">Land a second account</w:t>
      </w:r>
      <w:r>
        <w:t xml:space="preserve"> — prove the motion transfers beyond Modutecture.</w:t>
      </w:r>
    </w:p>
    <w:p>
      <w:pPr>
        <w:pStyle w:val="ListParagraph"/>
        <w:numPr>
          <w:ilvl w:val="0"/>
          <w:numId w:val="2"/>
        </w:numPr>
        <w:spacing w:after="60" w:line="266"/>
      </w:pPr>
      <w:r>
        <w:rPr>
          <w:b/>
          <w:bCs/>
        </w:rPr>
        <w:t xml:space="preserve">Extend the AI Maturity Index</w:t>
      </w:r>
      <w:r>
        <w:t xml:space="preserve"> with an embedded-delivery readiness vector.</w:t>
      </w:r>
    </w:p>
    <w:p>
      <w:pPr>
        <w:spacing w:after="120" w:line="278"/>
      </w:pPr>
      <w:r>
        <w:rPr>
          <w:b/>
          <w:bCs/>
          <w:color w:val="1E7A4C"/>
        </w:rPr>
        <w:t xml:space="preserve">Exit (Day 60): </w:t>
      </w:r>
      <w:r>
        <w:t xml:space="preserve">Methodology documented; 2–3 FDEs onboarding; second account landed; index extended.</w:t>
      </w:r>
    </w:p>
    <w:p>
      <w:pPr>
        <w:pStyle w:val="Heading2"/>
      </w:pPr>
      <w:r>
        <w:rPr>
          <w:color w:val="16263F"/>
        </w:rPr>
        <w:t xml:space="preserve">Days 61–90 — Scale, Productize, Institutionalize</w:t>
      </w:r>
    </w:p>
    <w:p>
      <w:pPr>
        <w:spacing w:after="120" w:line="278"/>
      </w:pPr>
      <w:r>
        <w:rPr>
          <w:b/>
          <w:bCs/>
        </w:rPr>
        <w:t xml:space="preserve">Theme: </w:t>
      </w:r>
      <w:r>
        <w:rPr>
          <w:i/>
          <w:iCs/>
        </w:rPr>
        <w:t xml:space="preserve">make FDE a named, sellable, scaling practice line.</w:t>
      </w:r>
    </w:p>
    <w:p>
      <w:pPr>
        <w:pStyle w:val="ListParagraph"/>
        <w:numPr>
          <w:ilvl w:val="0"/>
          <w:numId w:val="2"/>
        </w:numPr>
        <w:spacing w:after="60" w:line="266"/>
      </w:pPr>
      <w:r>
        <w:rPr>
          <w:b/>
          <w:bCs/>
        </w:rPr>
        <w:t xml:space="preserve">Productize 'StatusNeo FDE'</w:t>
      </w:r>
      <w:r>
        <w:t xml:space="preserve"> on the site and in the sales motion.</w:t>
      </w:r>
    </w:p>
    <w:p>
      <w:pPr>
        <w:pStyle w:val="ListParagraph"/>
        <w:numPr>
          <w:ilvl w:val="0"/>
          <w:numId w:val="2"/>
        </w:numPr>
        <w:spacing w:after="60" w:line="266"/>
      </w:pPr>
      <w:r>
        <w:rPr>
          <w:b/>
          <w:bCs/>
        </w:rPr>
        <w:t xml:space="preserve">Stand up the practice dashboard</w:t>
      </w:r>
      <w:r>
        <w:t xml:space="preserve"> — accounts landed, expansion revenue, offshore-pull ratio, time-to-trust, NPS.</w:t>
      </w:r>
    </w:p>
    <w:p>
      <w:pPr>
        <w:pStyle w:val="ListParagraph"/>
        <w:numPr>
          <w:ilvl w:val="0"/>
          <w:numId w:val="2"/>
        </w:numPr>
        <w:spacing w:after="60" w:line="266"/>
      </w:pPr>
      <w:r>
        <w:rPr>
          <w:b/>
          <w:bCs/>
        </w:rPr>
        <w:t xml:space="preserve">Enable co-sell across regions</w:t>
      </w:r>
      <w:r>
        <w:t xml:space="preserve"> (West Coast, East Coast, EMEA, APAC).</w:t>
      </w:r>
    </w:p>
    <w:p>
      <w:pPr>
        <w:pStyle w:val="ListParagraph"/>
        <w:numPr>
          <w:ilvl w:val="0"/>
          <w:numId w:val="2"/>
        </w:numPr>
        <w:spacing w:after="60" w:line="266"/>
      </w:pPr>
      <w:r>
        <w:rPr>
          <w:b/>
          <w:bCs/>
        </w:rPr>
        <w:t xml:space="preserve">Publish the thought-leadership whitepaper</w:t>
      </w:r>
      <w:r>
        <w:t xml:space="preserve"> — 'The Embedded Edge', extending the 2026 trilogy.</w:t>
      </w:r>
    </w:p>
    <w:p>
      <w:pPr>
        <w:spacing w:after="120" w:line="278"/>
      </w:pPr>
      <w:r>
        <w:rPr>
          <w:b/>
          <w:bCs/>
          <w:color w:val="1E7A4C"/>
        </w:rPr>
        <w:t xml:space="preserve">Exit (Day 90): </w:t>
      </w:r>
      <w:r>
        <w:t xml:space="preserve">A named practice with pipeline, dashboard, methodology, 2–4 references, and a regional co-sell motion.</w:t>
      </w:r>
    </w:p>
    <w:p>
      <w:pPr>
        <w:pStyle w:val="Heading1"/>
      </w:pPr>
      <w:r>
        <w:rPr>
          <w:color w:val="16263F"/>
        </w:rPr>
        <w:t xml:space="preserve">5. HOW — The Engagement Motion (per account)</w:t>
      </w:r>
    </w:p>
    <w:p>
      <w:pPr>
        <w:spacing w:after="120" w:line="278"/>
      </w:pPr>
      <w:r>
        <w:t xml:space="preserve">Every engagement runs the AuthenticAI™ Loop, embedded at the customer: </w:t>
      </w:r>
      <w:r>
        <w:rPr>
          <w:b/>
          <w:bCs/>
          <w:color w:val="16263F"/>
        </w:rPr>
        <w:t xml:space="preserve">Clarity → Build → Velocity →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Phase</w:t>
            </w:r>
          </w:p>
        </w:tc>
        <w:tc>
          <w:tcPr>
            <w:tcW w:type="dxa" w:w="466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What the FDE does</w:t>
            </w:r>
          </w:p>
        </w:tc>
        <w:tc>
          <w:tcPr>
            <w:tcW w:type="dxa" w:w="30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Done when</w:t>
            </w:r>
          </w:p>
        </w:tc>
      </w:tr>
      <w:tr>
        <w:tc>
          <w:tcPr>
            <w:tcW w:type="dxa" w:w="17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b/>
                <w:bCs/>
                <w:color w:val="16263F"/>
              </w:rPr>
              <w:t xml:space="preserve">Clarity
(Diagnose)</w:t>
            </w:r>
          </w:p>
        </w:tc>
        <w:tc>
          <w:tcPr>
            <w:tcW w:type="dxa" w:w="46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Study the platform before the job description. Find the load-bearing gap; map it to an OS Fabric layer; validate live: 'tell me where I'm wrong.'</w:t>
            </w:r>
          </w:p>
        </w:tc>
        <w:tc>
          <w:tcPr>
            <w:tcW w:type="dxa" w:w="30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E7A4C"/>
              </w:rPr>
              <w:t xml:space="preserve">The customer agrees on the problem and wants your architecture.</w:t>
            </w:r>
          </w:p>
        </w:tc>
      </w:tr>
      <w:tr>
        <w:tc>
          <w:tcPr>
            <w:tcW w:type="dxa" w:w="17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b/>
                <w:bCs/>
                <w:color w:val="16263F"/>
              </w:rPr>
              <w:t xml:space="preserve">Build
(Land)</w:t>
            </w:r>
          </w:p>
        </w:tc>
        <w:tc>
          <w:tcPr>
            <w:tcW w:type="dxa" w:w="46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Build the thinnest end-to-end slice on the customer's stack. AI proposes; the deterministic gate disposes. Observable from commit one. Label built/proven/next.</w:t>
            </w:r>
          </w:p>
        </w:tc>
        <w:tc>
          <w:tcPr>
            <w:tcW w:type="dxa" w:w="30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E7A4C"/>
              </w:rPr>
              <w:t xml:space="preserve">A customer-validated slice runs on their stack.</w:t>
            </w:r>
          </w:p>
        </w:tc>
      </w:tr>
      <w:tr>
        <w:tc>
          <w:tcPr>
            <w:tcW w:type="dxa" w:w="17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b/>
                <w:bCs/>
                <w:color w:val="16263F"/>
              </w:rPr>
              <w:t xml:space="preserve">Velocity
(Pull)</w:t>
            </w:r>
          </w:p>
        </w:tc>
        <w:tc>
          <w:tcPr>
            <w:tcW w:type="dxa" w:w="46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Define the offshore-pull point; bring the pod in behind earned trust with the Agents Library + AI-Native SDLC. FDE stays single owner.</w:t>
            </w:r>
          </w:p>
        </w:tc>
        <w:tc>
          <w:tcPr>
            <w:tcW w:type="dxa" w:w="30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E7A4C"/>
              </w:rPr>
              <w:t xml:space="preserve">Offshore velocity lands behind the FDE; no trust gap.</w:t>
            </w:r>
          </w:p>
        </w:tc>
      </w:tr>
      <w:tr>
        <w:tc>
          <w:tcPr>
            <w:tcW w:type="dxa" w:w="17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b/>
                <w:bCs/>
                <w:color w:val="16263F"/>
              </w:rPr>
              <w:t xml:space="preserve">Improvement
(Govern &amp; expand)</w:t>
            </w:r>
          </w:p>
        </w:tc>
        <w:tc>
          <w:tcPr>
            <w:tcW w:type="dxa" w:w="46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Stand up governance (observability, compliance, SLO/SLA). Measure time-to-trust; identify the next adjacent problem to land.</w:t>
            </w:r>
          </w:p>
        </w:tc>
        <w:tc>
          <w:tcPr>
            <w:tcW w:type="dxa" w:w="30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E7A4C"/>
              </w:rPr>
              <w:t xml:space="preserve">The account is self-sustaining, governed, expanding, referenceable.</w:t>
            </w:r>
          </w:p>
        </w:tc>
      </w:tr>
    </w:tbl>
    <w:p>
      <w:pPr>
        <w:pStyle w:val="Heading3"/>
      </w:pPr>
      <w:r>
        <w:rPr>
          <w:color w:val="C9952F"/>
        </w:rPr>
        <w:t xml:space="preserve">The break-glass rules (when an engagement wobbles)</w:t>
      </w:r>
    </w:p>
    <w:p>
      <w:pPr>
        <w:pStyle w:val="ListParagraph"/>
        <w:numPr>
          <w:ilvl w:val="0"/>
          <w:numId w:val="2"/>
        </w:numPr>
        <w:spacing w:after="60" w:line="266"/>
      </w:pPr>
      <w:r>
        <w:rPr>
          <w:b/>
          <w:bCs/>
        </w:rPr>
        <w:t xml:space="preserve">Customer doubts it's real?</w:t>
      </w:r>
      <w:r>
        <w:t xml:space="preserve"> Show running code + health/observability. Working software ends doubt.</w:t>
      </w:r>
    </w:p>
    <w:p>
      <w:pPr>
        <w:pStyle w:val="ListParagraph"/>
        <w:numPr>
          <w:ilvl w:val="0"/>
          <w:numId w:val="2"/>
        </w:numPr>
        <w:spacing w:after="60" w:line="266"/>
      </w:pPr>
      <w:r>
        <w:rPr>
          <w:b/>
          <w:bCs/>
        </w:rPr>
        <w:t xml:space="preserve">Scope creep?</w:t>
      </w:r>
      <w:r>
        <w:t xml:space="preserve"> Return to the frozen ADRs and the agreed slice. Expand deliberately.</w:t>
      </w:r>
    </w:p>
    <w:p>
      <w:pPr>
        <w:pStyle w:val="ListParagraph"/>
        <w:numPr>
          <w:ilvl w:val="0"/>
          <w:numId w:val="2"/>
        </w:numPr>
        <w:spacing w:after="60" w:line="266"/>
      </w:pPr>
      <w:r>
        <w:rPr>
          <w:b/>
          <w:bCs/>
        </w:rPr>
        <w:t xml:space="preserve">Handoff friction?</w:t>
      </w:r>
      <w:r>
        <w:t xml:space="preserve"> The FDE owns the seam; never let the customer feel a gap.</w:t>
      </w:r>
    </w:p>
    <w:p>
      <w:pPr>
        <w:pStyle w:val="ListParagraph"/>
        <w:numPr>
          <w:ilvl w:val="0"/>
          <w:numId w:val="2"/>
        </w:numPr>
        <w:spacing w:after="60" w:line="266"/>
      </w:pPr>
      <w:r>
        <w:rPr>
          <w:b/>
          <w:bCs/>
        </w:rPr>
        <w:t xml:space="preserve">Architecture disagreement?</w:t>
      </w:r>
      <w:r>
        <w:t xml:space="preserve"> 'Here's what I'd measure before we decide.' Never bluff; decision rights stay with the customer.</w:t>
      </w:r>
    </w:p>
    <w:p>
      <w:pPr>
        <w:pStyle w:val="ListParagraph"/>
        <w:numPr>
          <w:ilvl w:val="0"/>
          <w:numId w:val="2"/>
        </w:numPr>
        <w:spacing w:after="60" w:line="266"/>
      </w:pPr>
      <w:r>
        <w:rPr>
          <w:b/>
          <w:bCs/>
        </w:rPr>
        <w:t xml:space="preserve">Regulated-data risk?</w:t>
      </w:r>
      <w:r>
        <w:t xml:space="preserve"> Stop, escalate, govern first. Correctness and compliance precede velocity.</w:t>
      </w:r>
    </w:p>
    <w:p>
      <w:pPr>
        <w:pStyle w:val="Heading3"/>
      </w:pPr>
      <w:r>
        <w:rPr>
          <w:color w:val="C9952F"/>
        </w:rPr>
        <w:t xml:space="preserve">The toolbox: Copilot × Digital Twin</w:t>
      </w:r>
    </w:p>
    <w:p>
      <w:pPr>
        <w:spacing w:after="120" w:line="278"/>
      </w:pPr>
      <w:r>
        <w:t xml:space="preserve">The FDE's tooling is not an either/or. A </w:t>
      </w:r>
      <w:r>
        <w:rPr>
          <w:b/>
          <w:bCs/>
        </w:rPr>
        <w:t xml:space="preserve">Copilot</w:t>
      </w:r>
      <w:r>
        <w:t xml:space="preserve"> (Claude Code, agentic IDE) solves </w:t>
      </w:r>
      <w:r>
        <w:rPr>
          <w:b/>
          <w:bCs/>
        </w:rPr>
        <w:t xml:space="preserve">velocity</w:t>
      </w:r>
      <w:r>
        <w:t xml:space="preserve"> — blasting through glue code and parsing legacy systems — but knows syntax, not the client's business rules. A </w:t>
      </w:r>
      <w:r>
        <w:rPr>
          <w:b/>
          <w:bCs/>
        </w:rPr>
        <w:t xml:space="preserve">Digital Twin</w:t>
      </w:r>
      <w:r>
        <w:t xml:space="preserve"> (ontology of the client's assets, data, and logic) solves </w:t>
      </w:r>
      <w:r>
        <w:rPr>
          <w:b/>
          <w:bCs/>
        </w:rPr>
        <w:t xml:space="preserve">context</w:t>
      </w:r>
      <w:r>
        <w:t xml:space="preserve"> — a stateful sandbox to test blast radius before production — but takes real effort and buy-in to build. The convergence is the point: the FDE runs </w:t>
      </w:r>
      <w:r>
        <w:rPr>
          <w:b/>
          <w:bCs/>
        </w:rPr>
        <w:t xml:space="preserve">Copilots on top of a Digital Twin</w:t>
      </w:r>
      <w:r>
        <w:t xml:space="preserve">, so the agent proposes operations against the twin's live business state, and the deterministic gate disposes. Twin = context, agent = velocity, gate = safety.</w:t>
      </w:r>
    </w:p>
    <w:p>
      <w:pPr>
        <w:pStyle w:val="Heading1"/>
      </w:pPr>
      <w:r>
        <w:rPr>
          <w:color w:val="16263F"/>
        </w:rPr>
        <w:t xml:space="preserve">6. The Transformation Layer — How the FDE Drives Adoption</w:t>
      </w:r>
    </w:p>
    <w:p>
      <w:pPr>
        <w:spacing w:after="120" w:line="278"/>
      </w:pPr>
      <w:r>
        <w:t xml:space="preserve">Deploying the agentic platform is necessary but not sufficient. The FDE — the </w:t>
      </w:r>
      <w:r>
        <w:rPr>
          <w:b/>
          <w:bCs/>
          <w:color w:val="16263F"/>
        </w:rPr>
        <w:t xml:space="preserve">Pod Commander</w:t>
      </w:r>
      <w:r>
        <w:t xml:space="preserve"> — is the change agent who breaks the client's organizational inertia and converts the engagement from “software we installed” into “methodology the client owns.” Four responsibilities: evangelize Spec-Driven Development (the specification is the application); calibrate trust by opening the black box on MCP tool restrictions and the Adversarial SDET loops; lead with “show, don't tell” live prototyping; and orchestrate the handoff that turns the client's engineers from code-writers into system-supervisors.</w:t>
      </w:r>
    </w:p>
    <w:p>
      <w:pPr>
        <w:pStyle w:val="Heading3"/>
      </w:pPr>
      <w:r>
        <w:rPr>
          <w:color w:val="C9952F"/>
        </w:rPr>
        <w:t xml:space="preserve">The adoption arc (how we move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Stage</w:t>
            </w:r>
          </w:p>
        </w:tc>
        <w:tc>
          <w:tcPr>
            <w:tcW w:type="dxa" w:w="383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Client behavior</w:t>
            </w:r>
          </w:p>
        </w:tc>
        <w:tc>
          <w:tcPr>
            <w:tcW w:type="dxa" w:w="383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FDE hands-on action</w:t>
            </w:r>
          </w:p>
        </w:tc>
      </w:tr>
      <w:tr>
        <w:tc>
          <w:tcPr>
            <w:tcW w:type="dxa" w:w="17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1. Skepticism</w:t>
            </w:r>
          </w:p>
        </w:tc>
        <w:tc>
          <w:tcPr>
            <w:tcW w:type="dxa" w:w="383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Demands manual reviews of agent code; fears displacement.</w:t>
            </w:r>
          </w:p>
        </w:tc>
        <w:tc>
          <w:tcPr>
            <w:tcW w:type="dxa" w:w="383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Live, time-boxed sprints; show the deterministic compile/test loops.</w:t>
            </w:r>
          </w:p>
        </w:tc>
      </w:tr>
      <w:tr>
        <w:tc>
          <w:tcPr>
            <w:tcW w:type="dxa" w:w="17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2. Acceptance</w:t>
            </w:r>
          </w:p>
        </w:tc>
        <w:tc>
          <w:tcPr>
            <w:tcW w:type="dxa" w:w="383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Uses the system for boilerplate / isolated services.</w:t>
            </w:r>
          </w:p>
        </w:tc>
        <w:tc>
          <w:tcPr>
            <w:tcW w:type="dxa" w:w="383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Co-author the first Gherkin specs; sit with them to merge the first AI PR.</w:t>
            </w:r>
          </w:p>
        </w:tc>
      </w:tr>
      <w:tr>
        <w:tc>
          <w:tcPr>
            <w:tcW w:type="dxa" w:w="17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3. Adoption</w:t>
            </w:r>
          </w:p>
        </w:tc>
        <w:tc>
          <w:tcPr>
            <w:tcW w:type="dxa" w:w="383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Writes their own PRDs to feed the swarm.</w:t>
            </w:r>
          </w:p>
        </w:tc>
        <w:tc>
          <w:tcPr>
            <w:tcW w:type="dxa" w:w="383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Shift to coaching; teach them to expand MCP access safely.</w:t>
            </w:r>
          </w:p>
        </w:tc>
      </w:tr>
    </w:tbl>
    <w:p>
      <w:pPr>
        <w:pStyle w:val="Heading3"/>
      </w:pPr>
      <w:r>
        <w:rPr>
          <w:color w:val="C9952F"/>
        </w:rPr>
        <w:t xml:space="preserve">The transformation KPIs (cultural buy-in, quantified)</w:t>
      </w:r>
    </w:p>
    <w:p>
      <w:pPr>
        <w:spacing w:after="120" w:line="278"/>
      </w:pPr>
      <w:r>
        <w:t xml:space="preserve">Cultural adoption isn't a soft metric — it shows up in velocity, trust, and SDD uptake, surfaced on a live 3-tier C-suite dashboard (North Star / Three Pillars / Hub-and-Spoke ROI), powered by event-driven LangGraph telemetry, never a hand-built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60"/>
        <w:gridCol w:w="4500"/>
      </w:tblGrid>
      <w:tr>
        <w:trPr>
          <w:tblHeader/>
        </w:trPr>
        <w:tc>
          <w:tcPr>
            <w:tcW w:type="dxa" w:w="30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KPI</w:t>
            </w:r>
          </w:p>
        </w:tc>
        <w:tc>
          <w:tcPr>
            <w:tcW w:type="dxa" w:w="186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Target</w:t>
            </w:r>
          </w:p>
        </w:tc>
        <w:tc>
          <w:tcPr>
            <w:tcW w:type="dxa" w:w="45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What it proves</w:t>
            </w:r>
          </w:p>
        </w:tc>
      </w:tr>
      <w:tr>
        <w:tc>
          <w:tcPr>
            <w:tcW w:type="dxa" w:w="30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Time-to-First-Value</w:t>
            </w:r>
          </w:p>
        </w:tc>
        <w:tc>
          <w:tcPr>
            <w:tcW w:type="dxa" w:w="18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&lt; 14 days</w:t>
            </w:r>
          </w:p>
        </w:tc>
        <w:tc>
          <w:tcPr>
            <w:tcW w:type="dxa" w:w="4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Operating leverage, to skeptical stakeholders</w:t>
            </w:r>
          </w:p>
        </w:tc>
      </w:tr>
      <w:tr>
        <w:tc>
          <w:tcPr>
            <w:tcW w:type="dxa" w:w="30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Client-Authored Spec Ratio</w:t>
            </w:r>
          </w:p>
        </w:tc>
        <w:tc>
          <w:tcPr>
            <w:tcW w:type="dxa" w:w="18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&gt; 60% by Mo. 2</w:t>
            </w:r>
          </w:p>
        </w:tc>
        <w:tc>
          <w:tcPr>
            <w:tcW w:type="dxa" w:w="45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The client is adopting SDD, steering not fearing the AI</w:t>
            </w:r>
          </w:p>
        </w:tc>
      </w:tr>
      <w:tr>
        <w:tc>
          <w:tcPr>
            <w:tcW w:type="dxa" w:w="30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Agentic PR Merge Rate</w:t>
            </w:r>
          </w:p>
        </w:tc>
        <w:tc>
          <w:tcPr>
            <w:tcW w:type="dxa" w:w="18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&gt; 90%</w:t>
            </w:r>
          </w:p>
        </w:tc>
        <w:tc>
          <w:tcPr>
            <w:tcW w:type="dxa" w:w="4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Trust in the Adversarial SDET loops is calibrated</w:t>
            </w:r>
          </w:p>
        </w:tc>
      </w:tr>
      <w:tr>
        <w:tc>
          <w:tcPr>
            <w:tcW w:type="dxa" w:w="30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Human Intervention Rate</w:t>
            </w:r>
          </w:p>
        </w:tc>
        <w:tc>
          <w:tcPr>
            <w:tcW w:type="dxa" w:w="18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&lt; 2 / 1k LOC</w:t>
            </w:r>
          </w:p>
        </w:tc>
        <w:tc>
          <w:tcPr>
            <w:tcW w:type="dxa" w:w="45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High-quality initial constraints + MCP guardrails</w:t>
            </w:r>
          </w:p>
        </w:tc>
      </w:tr>
      <w:tr>
        <w:tc>
          <w:tcPr>
            <w:tcW w:type="dxa" w:w="30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Platform Contribution Rate</w:t>
            </w:r>
          </w:p>
        </w:tc>
        <w:tc>
          <w:tcPr>
            <w:tcW w:type="dxa" w:w="18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 2 / pilot</w:t>
            </w:r>
          </w:p>
        </w:tc>
        <w:tc>
          <w:tcPr>
            <w:tcW w:type="dxa" w:w="4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Two-Client Rule — scaling IP, not one-off hacks</w:t>
            </w:r>
          </w:p>
        </w:tc>
      </w:tr>
      <w:tr>
        <w:tc>
          <w:tcPr>
            <w:tcW w:type="dxa" w:w="30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System Adoption Velocity</w:t>
            </w:r>
          </w:p>
        </w:tc>
        <w:tc>
          <w:tcPr>
            <w:tcW w:type="dxa" w:w="18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&gt; 75%</w:t>
            </w:r>
          </w:p>
        </w:tc>
        <w:tc>
          <w:tcPr>
            <w:tcW w:type="dxa" w:w="45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The tool maps to real business bottlenecks</w:t>
            </w:r>
          </w:p>
        </w:tc>
      </w:tr>
    </w:tbl>
    <w:p>
      <w:pPr>
        <w:pStyle w:val="Heading1"/>
      </w:pPr>
      <w:r>
        <w:rPr>
          <w:color w:val="16263F"/>
        </w:rPr>
        <w:t xml:space="preserve">7. The Metrics That Govern the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Metric</w:t>
            </w:r>
          </w:p>
        </w:tc>
        <w:tc>
          <w:tcPr>
            <w:tcW w:type="dxa" w:w="436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What it tells us</w:t>
            </w:r>
          </w:p>
        </w:tc>
        <w:tc>
          <w:tcPr>
            <w:tcW w:type="dxa" w:w="2500"/>
            <w:tcBorders>
              <w:top w:val="single" w:color="DCE3EC" w:sz="1"/>
              <w:left w:val="single" w:color="DCE3EC" w:sz="1"/>
              <w:bottom w:val="single" w:color="DCE3EC" w:sz="1"/>
              <w:right w:val="single" w:color="DCE3EC" w:sz="1"/>
            </w:tcBorders>
            <w:shd w:fill="16263F" w:val="clear"/>
            <w:tcMar>
              <w:top w:type="dxa" w:w="80"/>
              <w:left w:type="dxa" w:w="110"/>
              <w:bottom w:type="dxa" w:w="80"/>
              <w:right w:type="dxa" w:w="110"/>
            </w:tcMar>
          </w:tcPr>
          <w:p>
            <w:r>
              <w:rPr>
                <w:b/>
                <w:bCs/>
                <w:color w:val="FFFFFF"/>
                <w:sz w:val="19"/>
                <w:szCs w:val="19"/>
              </w:rPr>
              <w:t xml:space="preserve">Target</w:t>
            </w:r>
          </w:p>
        </w:tc>
      </w:tr>
      <w:tr>
        <w:tc>
          <w:tcPr>
            <w:tcW w:type="dxa" w:w="2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Offshore-pull ratio</w:t>
            </w:r>
          </w:p>
        </w:tc>
        <w:tc>
          <w:tcPr>
            <w:tcW w:type="dxa" w:w="43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GCC seats opened per FDE landing — the margin engine</w:t>
            </w:r>
          </w:p>
        </w:tc>
        <w:tc>
          <w:tcPr>
            <w:tcW w:type="dxa" w:w="2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Each FDE opens a multi-person pod</w:t>
            </w:r>
          </w:p>
        </w:tc>
      </w:tr>
      <w:tr>
        <w:tc>
          <w:tcPr>
            <w:tcW w:type="dxa" w:w="25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Expansion revenue / FDE</w:t>
            </w:r>
          </w:p>
        </w:tc>
        <w:tc>
          <w:tcPr>
            <w:tcW w:type="dxa" w:w="43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Land-and-expand effectiveness</w:t>
            </w:r>
          </w:p>
        </w:tc>
        <w:tc>
          <w:tcPr>
            <w:tcW w:type="dxa" w:w="25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Growing per account, per quarter</w:t>
            </w:r>
          </w:p>
        </w:tc>
      </w:tr>
      <w:tr>
        <w:tc>
          <w:tcPr>
            <w:tcW w:type="dxa" w:w="2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Time-to-trust</w:t>
            </w:r>
          </w:p>
        </w:tc>
        <w:tc>
          <w:tcPr>
            <w:tcW w:type="dxa" w:w="43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Days from embed to customer-validated delivery</w:t>
            </w:r>
          </w:p>
        </w:tc>
        <w:tc>
          <w:tcPr>
            <w:tcW w:type="dxa" w:w="2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Shrinking as the playbook matures</w:t>
            </w:r>
          </w:p>
        </w:tc>
      </w:tr>
      <w:tr>
        <w:tc>
          <w:tcPr>
            <w:tcW w:type="dxa" w:w="25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Reference accounts</w:t>
            </w:r>
          </w:p>
        </w:tc>
        <w:tc>
          <w:tcPr>
            <w:tcW w:type="dxa" w:w="436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Proof the motion transfers</w:t>
            </w:r>
          </w:p>
        </w:tc>
        <w:tc>
          <w:tcPr>
            <w:tcW w:type="dxa" w:w="2500"/>
            <w:tcBorders>
              <w:top w:val="single" w:color="DCE3EC" w:sz="1"/>
              <w:left w:val="single" w:color="DCE3EC" w:sz="1"/>
              <w:bottom w:val="single" w:color="DCE3EC" w:sz="1"/>
              <w:right w:val="single" w:color="DCE3EC" w:sz="1"/>
            </w:tcBorders>
            <w:shd w:fill="FFFFFF" w:val="clear"/>
            <w:tcMar>
              <w:top w:type="dxa" w:w="66"/>
              <w:left w:type="dxa" w:w="110"/>
              <w:bottom w:type="dxa" w:w="66"/>
              <w:right w:type="dxa" w:w="110"/>
            </w:tcMar>
          </w:tcPr>
          <w:p>
            <w:r>
              <w:rPr>
                <w:color w:val="1F2A38"/>
                <w:sz w:val="19"/>
                <w:szCs w:val="19"/>
              </w:rPr>
              <w:t xml:space="preserve">2–4 by day 90</w:t>
            </w:r>
          </w:p>
        </w:tc>
      </w:tr>
      <w:tr>
        <w:tc>
          <w:tcPr>
            <w:tcW w:type="dxa" w:w="2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Practice pipeline</w:t>
            </w:r>
          </w:p>
        </w:tc>
        <w:tc>
          <w:tcPr>
            <w:tcW w:type="dxa" w:w="436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Co-sell demand across regions</w:t>
            </w:r>
          </w:p>
        </w:tc>
        <w:tc>
          <w:tcPr>
            <w:tcW w:type="dxa" w:w="2500"/>
            <w:tcBorders>
              <w:top w:val="single" w:color="DCE3EC" w:sz="1"/>
              <w:left w:val="single" w:color="DCE3EC" w:sz="1"/>
              <w:bottom w:val="single" w:color="DCE3EC" w:sz="1"/>
              <w:right w:val="single" w:color="DCE3EC" w:sz="1"/>
            </w:tcBorders>
            <w:shd w:fill="F4F6F9" w:val="clear"/>
            <w:tcMar>
              <w:top w:type="dxa" w:w="66"/>
              <w:left w:type="dxa" w:w="110"/>
              <w:bottom w:type="dxa" w:w="66"/>
              <w:right w:type="dxa" w:w="110"/>
            </w:tcMar>
          </w:tcPr>
          <w:p>
            <w:r>
              <w:rPr>
                <w:color w:val="1F2A38"/>
                <w:sz w:val="19"/>
                <w:szCs w:val="19"/>
              </w:rPr>
              <w:t xml:space="preserve">Live by day 90</w:t>
            </w:r>
          </w:p>
        </w:tc>
      </w:tr>
    </w:tbl>
    <w:p>
      <w:pPr>
        <w:pStyle w:val="Heading1"/>
      </w:pPr>
      <w:r>
        <w:rPr>
          <w:color w:val="16263F"/>
        </w:rPr>
        <w:t xml:space="preserve">8. Why This Is Feasible — and Exclusive, Now</w:t>
      </w:r>
    </w:p>
    <w:p>
      <w:pPr>
        <w:pStyle w:val="ListParagraph"/>
        <w:numPr>
          <w:ilvl w:val="0"/>
          <w:numId w:val="3"/>
        </w:numPr>
        <w:spacing w:after="80" w:line="266"/>
      </w:pPr>
      <w:r>
        <w:rPr>
          <w:b/>
          <w:bCs/>
        </w:rPr>
        <w:t xml:space="preserve">The gap is real and named.</w:t>
      </w:r>
      <w:r>
        <w:t xml:space="preserve"> StatusNeo's site lists no FDE practice; its air-gapped posture targets buyers who won't go pure-offshore. The need exists independent of any one candidate.</w:t>
      </w:r>
    </w:p>
    <w:p>
      <w:pPr>
        <w:pStyle w:val="ListParagraph"/>
        <w:numPr>
          <w:ilvl w:val="0"/>
          <w:numId w:val="3"/>
        </w:numPr>
        <w:spacing w:after="80" w:line="266"/>
      </w:pPr>
      <w:r>
        <w:rPr>
          <w:b/>
          <w:bCs/>
        </w:rPr>
        <w:t xml:space="preserve">The motion is already validated.</w:t>
      </w:r>
      <w:r>
        <w:t xml:space="preserve"> Modutecture proved an embedded FDE can diagnose, land on the customer's stack, and earn expansion — honestly labeled as a demonstration, not a closed account.</w:t>
      </w:r>
    </w:p>
    <w:p>
      <w:pPr>
        <w:pStyle w:val="ListParagraph"/>
        <w:numPr>
          <w:ilvl w:val="0"/>
          <w:numId w:val="3"/>
        </w:numPr>
        <w:spacing w:after="80" w:line="266"/>
      </w:pPr>
      <w:r>
        <w:rPr>
          <w:b/>
          <w:bCs/>
        </w:rPr>
        <w:t xml:space="preserve">It multiplies the existing model, not replaces it.</w:t>
      </w:r>
      <w:r>
        <w:t xml:space="preserve"> FDE lands; the GCC scales. The offshore-pull ratio makes it margin-accretive and unlocks otherwise-unreachable revenue.</w:t>
      </w:r>
    </w:p>
    <w:p>
      <w:pPr>
        <w:pStyle w:val="ListParagraph"/>
        <w:numPr>
          <w:ilvl w:val="0"/>
          <w:numId w:val="3"/>
        </w:numPr>
        <w:spacing w:after="80" w:line="266"/>
      </w:pPr>
      <w:r>
        <w:rPr>
          <w:b/>
          <w:bCs/>
        </w:rPr>
        <w:t xml:space="preserve">It is AuthenticAI™ in running code.</w:t>
      </w:r>
      <w:r>
        <w:t xml:space="preserve"> Responsible, not reckless; the model proposes, the gate disposes. The practice makes the company's philosophy real at the customer.</w:t>
      </w:r>
    </w:p>
    <w:p>
      <w:pPr>
        <w:pStyle w:val="ListParagraph"/>
        <w:numPr>
          <w:ilvl w:val="0"/>
          <w:numId w:val="3"/>
        </w:numPr>
        <w:spacing w:after="80" w:line="266"/>
      </w:pPr>
      <w:r>
        <w:rPr>
          <w:b/>
          <w:bCs/>
        </w:rPr>
        <w:t xml:space="preserve">It has a hands-on owner.</w:t>
      </w:r>
      <w:r>
        <w:t xml:space="preserve"> 28 years of embedded-at-customer delivery across regulated verticals — able to be the FDE on the hardest first accounts while standing up the cadre.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263F" w:val="clear"/>
            <w:tcMar>
              <w:top w:type="dxa" w:w="140"/>
              <w:left w:type="dxa" w:w="180"/>
              <w:bottom w:type="dxa" w:w="140"/>
              <w:right w:type="dxa" w:w="180"/>
            </w:tcMar>
          </w:tcPr>
          <w:p>
            <w:pPr>
              <w:spacing w:after="60"/>
            </w:pPr>
            <w:r>
              <w:rPr>
                <w:b/>
                <w:bCs/>
                <w:color w:val="E8A816"/>
                <w:sz w:val="20"/>
                <w:szCs w:val="20"/>
              </w:rPr>
              <w:t xml:space="preserve">THE ASK</w:t>
            </w:r>
          </w:p>
          <w:p>
            <w:pPr>
              <w:spacing w:line="276"/>
            </w:pPr>
            <w:r>
              <w:rPr>
                <w:color w:val="FFFFFF"/>
                <w:sz w:val="21"/>
                <w:szCs w:val="21"/>
              </w:rPr>
              <w:t xml:space="preserve">The charter to stand up StatusNeo's Forward Deployed Engineering practice — starting with the Modutecture pilot already in flight — and 90 days to prove it becomes a named, scaling, regulated-enterprise-unlocking practice line. The press release is the destination. This playbook is the road. Both are ready.</w:t>
            </w:r>
          </w:p>
        </w:tc>
      </w:tr>
    </w:tbl>
    <w:p>
      <w:pPr>
        <w:spacing w:after="40"/>
      </w:pPr>
    </w:p>
    <w:p>
      <w:r>
        <w:rPr>
          <w:color w:val="8090A4"/>
          <w:sz w:val="18"/>
          <w:szCs w:val="18"/>
        </w:rPr>
        <w:t xml:space="preserve">Jithendran (Jeeth) Sellamuthu  ·  Head of Forward Deployed Engineering (proposed)  ·  June 2026</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abstractNum w:abstractNumId="5" w15:restartNumberingAfterBreak="0">
    <w:multiLevelType w:val="hybridMultilevel"/>
    <w:lvl w:ilvl="0" w15:tentative="1">
      <w:start w:val="1"/>
      <w:numFmt w:val="decimal"/>
      <w:lvlText w:val="%1."/>
      <w:lvlJc w:val="left"/>
      <w:pPr>
        <w:ind w:left="500" w:hanging="260"/>
      </w:pPr>
    </w:lvl>
  </w:abstractNum>
  <w:abstractNum w:abstractNumId="6" w15:restartNumberingAfterBreak="0">
    <w:multiLevelType w:val="hybridMultilevel"/>
    <w:lvl w:ilvl="0" w15:tentative="1">
      <w:start w:val="1"/>
      <w:numFmt w:val="decimal"/>
      <w:lvlText w:val="%1."/>
      <w:lvlJc w:val="left"/>
      <w:pPr>
        <w:ind w:left="500" w:hanging="260"/>
      </w:pPr>
    </w:lvl>
  </w:abstractNum>
  <w:abstractNum w:abstractNumId="7" w15:restartNumberingAfterBreak="0">
    <w:multiLevelType w:val="hybridMultilevel"/>
    <w:lvl w:ilvl="0" w15:tentative="1">
      <w:start w:val="1"/>
      <w:numFmt w:val="decimal"/>
      <w:lvlText w:val="%1."/>
      <w:lvlJc w:val="left"/>
      <w:pPr>
        <w:ind w:left="500" w:hanging="260"/>
      </w:pPr>
    </w:lvl>
  </w:abstractNum>
  <w:abstractNum w:abstractNumId="8" w15:restartNumberingAfterBreak="0">
    <w:multiLevelType w:val="hybridMultilevel"/>
    <w:lvl w:ilvl="0" w15:tentative="1">
      <w:start w:val="1"/>
      <w:numFmt w:val="decimal"/>
      <w:lvlText w:val="%1."/>
      <w:lvlJc w:val="left"/>
      <w:pPr>
        <w:ind w:left="500" w:hanging="260"/>
      </w:pPr>
    </w:lvl>
  </w:abstractNum>
  <w:abstractNum w:abstractNumId="9" w15:restartNumberingAfterBreak="0">
    <w:multiLevelType w:val="hybridMultilevel"/>
    <w:lvl w:ilvl="0" w15:tentative="1">
      <w:start w:val="1"/>
      <w:numFmt w:val="decimal"/>
      <w:lvlText w:val="%1."/>
      <w:lvlJc w:val="left"/>
      <w:pPr>
        <w:ind w:left="500" w:hanging="260"/>
      </w:pPr>
    </w:lvl>
  </w:abstractNum>
  <w:abstractNum w:abstractNumId="10"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outlineLvl w:val="0"/>
    </w:pPr>
    <w:rPr>
      <w:rFonts w:ascii="Cambria" w:cs="Cambria" w:eastAsia="Cambria" w:hAnsi="Cambria"/>
      <w:b/>
      <w:bCs/>
      <w:color w:val="16263F"/>
      <w:sz w:val="46"/>
      <w:szCs w:val="46"/>
    </w:rPr>
  </w:style>
  <w:style w:type="paragraph" w:styleId="Heading1">
    <w:name w:val="Heading 1"/>
    <w:basedOn w:val="Normal"/>
    <w:next w:val="Normal"/>
    <w:qFormat/>
    <w:pPr>
      <w:spacing w:after="140" w:before="300"/>
      <w:outlineLvl w:val="0"/>
    </w:pPr>
    <w:rPr>
      <w:rFonts w:ascii="Cambria" w:cs="Cambria" w:eastAsia="Cambria" w:hAnsi="Cambria"/>
      <w:b/>
      <w:bCs/>
      <w:color w:val="16263F"/>
      <w:sz w:val="30"/>
      <w:szCs w:val="30"/>
    </w:rPr>
  </w:style>
  <w:style w:type="paragraph" w:styleId="Heading2">
    <w:name w:val="Heading 2"/>
    <w:basedOn w:val="Normal"/>
    <w:next w:val="Normal"/>
    <w:qFormat/>
    <w:pPr>
      <w:spacing w:after="90" w:before="200"/>
      <w:outlineLvl w:val="1"/>
    </w:pPr>
    <w:rPr>
      <w:rFonts w:ascii="Cambria" w:cs="Cambria" w:eastAsia="Cambria" w:hAnsi="Cambria"/>
      <w:b/>
      <w:bCs/>
      <w:color w:val="16263F"/>
      <w:sz w:val="23"/>
      <w:szCs w:val="23"/>
    </w:rPr>
  </w:style>
  <w:style w:type="paragraph" w:styleId="Heading3">
    <w:name w:val="Heading 3"/>
    <w:basedOn w:val="Normal"/>
    <w:next w:val="Normal"/>
    <w:qFormat/>
    <w:pPr>
      <w:spacing w:after="50" w:before="150"/>
      <w:outlineLvl w:val="2"/>
    </w:pPr>
    <w:rPr>
      <w:rFonts w:ascii="Calibri" w:cs="Calibri" w:eastAsia="Calibri" w:hAnsi="Calibri"/>
      <w:b/>
      <w:bCs/>
      <w:color w:val="C9952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2026-06-23T03:34:24.715Z</dcterms:created>
  <dcterms:modified xsi:type="dcterms:W3CDTF">2026-06-23T03:34:24.715Z</dcterms:modified>
</cp:coreProperties>
</file>

<file path=docProps/custom.xml><?xml version="1.0" encoding="utf-8"?>
<Properties xmlns="http://schemas.openxmlformats.org/officeDocument/2006/custom-properties" xmlns:vt="http://schemas.openxmlformats.org/officeDocument/2006/docPropsVTypes"/>
</file>