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52F"/>
          <w:spacing w:val="50"/>
          <w:sz w:val="18"/>
          <w:szCs w:val="18"/>
        </w:rPr>
        <w:t xml:space="preserve">USE-CASE SCENARIO · AEC / HEALTHCARE · DRAFT FOR SCOPING</w:t>
      </w:r>
    </w:p>
    <w:p>
      <w:pPr>
        <w:pStyle w:val="Title"/>
      </w:pPr>
      <w:r>
        <w:t xml:space="preserve">Contextual Intelligence Construction</w:t>
      </w:r>
    </w:p>
    <w:p>
      <w:pPr>
        <w:spacing w:after="80"/>
      </w:pPr>
      <w:r>
        <w:rPr>
          <w:i/>
          <w:iCs/>
          <w:color w:val="5B6B7E"/>
          <w:sz w:val="22"/>
          <w:szCs w:val="22"/>
        </w:rPr>
        <w:t xml:space="preserve">Automating the FDE Lifecycle (80:20) for the Modutecture AEC use case, inside StatusNeo's four-loop GCC model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rPr>
          <w:b/>
          <w:bCs/>
          <w:color w:val="16263F"/>
        </w:rPr>
        <w:t xml:space="preserve">What this is:  </w:t>
      </w:r>
      <w:r>
        <w:t xml:space="preserve">a use-case scenario showing how the Forward Deployed Engineer's lifecycle automates — 80% by an agentic AI swarm, 20% by the human Pod Commander — applied to </w:t>
      </w:r>
      <w:r>
        <w:rPr>
          <w:b/>
          <w:bCs/>
        </w:rPr>
        <w:t xml:space="preserve">Modutecture's “Continuous Contextual Construction”</w:t>
      </w:r>
      <w:r>
        <w:t xml:space="preserve"> platform, and mapped onto StatusNeo's Clarity → Build → Velocity → Improvement loop. This is a scoping artifact for the charter, not a delivery commitment.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STATUS &amp; SOURCING NOTE</w:t>
            </w:r>
          </w:p>
          <w:p>
            <w:pPr>
              <w:spacing w:line="276"/>
            </w:pPr>
            <w:r>
              <w:t xml:space="preserve">This scenario integrates June-2026 claims from the Modutecture blueprint and StatusNeo GCC material: specific tools (Perspective AI, OpenSpace, the StatusNeo ™ accelerators) and metrics (14-day TTFV, 85% margin, 39-test gate). </w:t>
            </w:r>
            <w:r>
              <w:rPr>
                <w:b/>
                <w:bCs/>
                <w:color w:val="E8A816"/>
              </w:rPr>
              <w:t xml:space="preserve">Treat them as the target operating model, pending verification — not validated results.</w:t>
            </w:r>
            <w:r>
              <w:t xml:space="preserve"> Durable: the loop structure + 80:20. Perishable: the named tools and numbers.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  ·  THE USE CASE — CONTEXTUAL CONSTRUCTION</w:t>
      </w:r>
    </w:p>
    <w:p>
      <w:pPr>
        <w:pBdr>
          <w:bottom w:val="single" w:color="DCE3EC" w:sz="6" w:space="1"/>
        </w:pBdr>
        <w:spacing w:after="160"/>
      </w:pPr>
    </w:p>
    <w:p>
      <w:pPr>
        <w:pStyle w:val="Heading2"/>
      </w:pPr>
      <w:r>
        <w:rPr>
          <w:color w:val="16263F"/>
        </w:rPr>
        <w:t xml:space="preserve">The problem the FDE is dropped into</w:t>
      </w:r>
    </w:p>
    <w:p>
      <w:pPr>
        <w:spacing w:after="120" w:line="278"/>
      </w:pPr>
      <w:r>
        <w:t xml:space="preserve">Modutecture builds a “Continuous Contextual Construction” platform for the AEC sector — an </w:t>
      </w:r>
      <w:r>
        <w:rPr>
          <w:b/>
          <w:bCs/>
        </w:rPr>
        <w:t xml:space="preserve">Agentic Twin</w:t>
      </w:r>
      <w:r>
        <w:t xml:space="preserve"> that reasons across building codes, BIM models, and live site/sensor data, targeting high-compliance verticals (e.g., the Kaiser Permanente healthcare context). The hard part is not rendering a model; it is keeping the twin </w:t>
      </w:r>
      <w:r>
        <w:rPr>
          <w:i/>
          <w:iCs/>
        </w:rPr>
        <w:t xml:space="preserve">correct and code-compliant</w:t>
      </w:r>
      <w:r>
        <w:t xml:space="preserve"> as reality changes — where clinical safety and building-code compliance are non-negotiable.</w:t>
      </w:r>
    </w:p>
    <w:p>
      <w:pPr>
        <w:spacing w:after="120" w:line="278"/>
      </w:pPr>
      <w:r>
        <w:rPr>
          <w:b/>
          <w:bCs/>
          <w:color w:val="16263F"/>
        </w:rPr>
        <w:t xml:space="preserve">The FDE's job: </w:t>
      </w:r>
      <w:r>
        <w:t xml:space="preserve">embed in that environment and stand up the agentic pipeline that takes a stakeholder's intent → a code-compliant, twin-verified construction artifact — automating the mundane 80% and reserving the 20% (architecture, compliance sign-off, client trust) for the human.</w:t>
      </w:r>
    </w:p>
    <w:p>
      <w:pPr>
        <w:pStyle w:val="Heading2"/>
      </w:pPr>
      <w:r>
        <w:rPr>
          <w:color w:val="16263F"/>
        </w:rPr>
        <w:t xml:space="preserve">The 80:20 framing for this use case</w:t>
      </w:r>
    </w:p>
    <w:p>
      <w:pPr>
        <w:spacing w:after="120" w:line="278"/>
      </w:pPr>
      <w:r>
        <w:t xml:space="preserve">In 2026 the FDE no longer manually wires APIs or writes glue code. They orchestrate PODs that autonomously handle the 80% of mundane execution, leaving the 20% of high-stakes strategic reasoning and safety sign-off to the human — critical in a domain where an unsafe artifact has physical consequences.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8"/>
        <w:gridCol w:w="1872"/>
      </w:tblGrid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AI  80%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HITL  20%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AI swarm owns (80%)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The human Pod Commander owns (20%)</w:t>
            </w:r>
          </w:p>
        </w:tc>
      </w:tr>
      <w:t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BIM federation, GraphRAG grounding over codes, draft generation, test authoring, site-to-twin diffing.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The architecture of the twin, the compliance interpretation, the clinical-safety sign-off, client trust.</w:t>
            </w:r>
          </w:p>
        </w:tc>
      </w:tr>
      <w:tr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Running the 14-day velocity loop to first verified artifact.</w:t>
            </w:r>
          </w:p>
        </w:tc>
        <w:tc>
          <w:tcPr>
            <w:tcW w:type="dxa" w:w="468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Deciding the artifact is safe to act on — the irreversible call.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II  ·  EXECUTION ACROSS THE FOUR LOOPS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StatusNeo's GCC operates as a four-loop system — Observe → Learn → Decide → Act, expressed as Clarity → Build → Velocity → Improvement. Below, the Modutecture use case is executed loop by loop, with the AI:Human split and the proprietary accelerators (TestCraft™, QueryButler™, NeoLens™, Backstage) shown per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BFCF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The four-loop GCC operating system, applied to the use case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┌──────────────────────────────────────────────────────┐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▼                                                      │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┌─────────┐    ┌─────────┐    ┌──────────┐    ┌─────────────┐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│ CLARITY │──&gt; │  BUILD  │──&gt; │ VELOCITY │──&gt; │ IMPROVEMENT │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│ Observe │    │  Learn  │    │  Decide  │    │     Act     │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└─────────┘    └─────────┘    └──────────┘    └─────────────┘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Discovery      Engineering    Automation       Governance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30:70           90:10          80:20            60:40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7D8C" w:val="clear"/>
            <w:tcMar>
              <w:top w:type="dxa" w:w="84"/>
              <w:left w:type="dxa" w:w="150"/>
              <w:bottom w:type="dxa" w:w="84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CLARITY LOOP — Product &amp; Experience  (Observe)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AI  30%</w:t>
            </w:r>
          </w:p>
        </w:tc>
        <w:tc>
          <w:tcPr>
            <w:tcW w:type="dxa" w:w="6552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HITL  70%</w:t>
            </w:r>
          </w:p>
        </w:tc>
      </w:tr>
    </w:tbl>
    <w:p>
      <w:pPr>
        <w:spacing w:after="50"/>
      </w:pPr>
    </w:p>
    <w:p>
      <w:pPr>
        <w:spacing w:after="120" w:line="278"/>
      </w:pPr>
      <w:r>
        <w:rPr>
          <w:b/>
          <w:bCs/>
          <w:color w:val="2C7D8C"/>
        </w:rPr>
        <w:t xml:space="preserve">Capabilities in this loop: </w:t>
      </w:r>
      <w:r>
        <w:t xml:space="preserve">Experience &amp; interface design, product management &amp; strategy, AI product design.</w:t>
      </w:r>
    </w:p>
    <w:p>
      <w:pPr>
        <w:spacing w:after="120" w:line="278"/>
      </w:pPr>
      <w:r>
        <w:rPr>
          <w:b/>
          <w:bCs/>
          <w:color w:val="2E5A88"/>
        </w:rPr>
        <w:t xml:space="preserve">AI swarm (</w:t>
      </w:r>
      <w:r>
        <w:rPr>
          <w:b/>
          <w:bCs/>
          <w:color w:val="2E5A88"/>
        </w:rPr>
        <w:t xml:space="preserve">30%): </w:t>
      </w:r>
      <w:r>
        <w:t xml:space="preserve">Perspective AI runs stakeholder discovery; ingests building codes, BIM topology, and site context into a GraphRAG knowledge layer; drafts the candidate scope and the spec.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</w:t>
      </w:r>
      <w:r>
        <w:rPr>
          <w:b/>
          <w:bCs/>
          <w:color w:val="B07A1E"/>
        </w:rPr>
        <w:t xml:space="preserve">70%): </w:t>
      </w:r>
      <w:r>
        <w:t xml:space="preserve">The FDE frames the real problem with the client, validates the scope against clinical/operational reality, and authors the intent the swarm will build to.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Human approves the spec and scope before any build begins.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84"/>
              <w:left w:type="dxa" w:w="150"/>
              <w:bottom w:type="dxa" w:w="84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BUILD LOOP — Engineering  (Learn)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4"/>
        <w:gridCol w:w="936"/>
      </w:tblGrid>
      <w:tr>
        <w:tc>
          <w:tcPr>
            <w:tcW w:type="dxa" w:w="8424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AI  90%</w:t>
            </w:r>
          </w:p>
        </w:tc>
        <w:tc>
          <w:tcPr>
            <w:tcW w:type="dxa" w:w="936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HITL  10%</w:t>
            </w:r>
          </w:p>
        </w:tc>
      </w:tr>
    </w:tbl>
    <w:p>
      <w:pPr>
        <w:spacing w:after="50"/>
      </w:pPr>
    </w:p>
    <w:p>
      <w:pPr>
        <w:spacing w:after="120" w:line="278"/>
      </w:pPr>
      <w:r>
        <w:rPr>
          <w:b/>
          <w:bCs/>
          <w:color w:val="2E5A88"/>
        </w:rPr>
        <w:t xml:space="preserve">Capabilities in this loop: </w:t>
      </w:r>
      <w:r>
        <w:t xml:space="preserve">Product engineering, data &amp; AI engineering, platform automation engineering.</w:t>
      </w:r>
    </w:p>
    <w:p>
      <w:pPr>
        <w:spacing w:after="120" w:line="278"/>
      </w:pPr>
      <w:r>
        <w:rPr>
          <w:b/>
          <w:bCs/>
          <w:color w:val="2E5A88"/>
        </w:rPr>
        <w:t xml:space="preserve">AI swarm (</w:t>
      </w:r>
      <w:r>
        <w:rPr>
          <w:b/>
          <w:bCs/>
          <w:color w:val="2E5A88"/>
        </w:rPr>
        <w:t xml:space="preserve">90%): </w:t>
      </w:r>
      <w:r>
        <w:t xml:space="preserve">The agent swarm performs BIM federation, generates the twin logic and the construction artifact via Spec-Driven Development, and self-corrects against the GraphRAG-grounded codes.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</w:t>
      </w:r>
      <w:r>
        <w:rPr>
          <w:b/>
          <w:bCs/>
          <w:color w:val="B07A1E"/>
        </w:rPr>
        <w:t xml:space="preserve">10%): </w:t>
      </w:r>
      <w:r>
        <w:t xml:space="preserve">The FDE makes the architecture calls and spot-reviews novel structural/clinical logic; otherwise stays out of the swarm's way.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Architecture/contracts frozen as ADRs; output flows to the velocity loop.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A5BA8" w:val="clear"/>
            <w:tcMar>
              <w:top w:type="dxa" w:w="84"/>
              <w:left w:type="dxa" w:w="150"/>
              <w:bottom w:type="dxa" w:w="84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VELOCITY LOOP — Automation  (Decide)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8"/>
        <w:gridCol w:w="1872"/>
      </w:tblGrid>
      <w:tr>
        <w:tc>
          <w:tcPr>
            <w:tcW w:type="dxa" w:w="7488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AI  80%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HITL  20%</w:t>
            </w:r>
          </w:p>
        </w:tc>
      </w:tr>
    </w:tbl>
    <w:p>
      <w:pPr>
        <w:spacing w:after="50"/>
      </w:pPr>
    </w:p>
    <w:p>
      <w:pPr>
        <w:spacing w:after="120" w:line="278"/>
      </w:pPr>
      <w:r>
        <w:rPr>
          <w:b/>
          <w:bCs/>
          <w:color w:val="7A5BA8"/>
        </w:rPr>
        <w:t xml:space="preserve">Capabilities in this loop: </w:t>
      </w:r>
      <w:r>
        <w:t xml:space="preserve">DevSecOps, SRE &amp; CloudOps; test engineering &amp; automation.</w:t>
      </w:r>
    </w:p>
    <w:p>
      <w:pPr>
        <w:spacing w:after="120" w:line="278"/>
      </w:pPr>
      <w:r>
        <w:rPr>
          <w:b/>
          <w:bCs/>
          <w:color w:val="2E5A88"/>
        </w:rPr>
        <w:t xml:space="preserve">AI swarm (</w:t>
      </w:r>
      <w:r>
        <w:rPr>
          <w:b/>
          <w:bCs/>
          <w:color w:val="2E5A88"/>
        </w:rPr>
        <w:t xml:space="preserve">80%): </w:t>
      </w:r>
      <w:r>
        <w:t xml:space="preserve">TestCraft™ + the Adversarial SDET run the correctness gate (the 39-test compliance suite per source); OpenSpace performs site-to-twin visual verification; canary/rolling deploys run within guardrails.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</w:t>
      </w:r>
      <w:r>
        <w:rPr>
          <w:b/>
          <w:bCs/>
          <w:color w:val="B07A1E"/>
        </w:rPr>
        <w:t xml:space="preserve">20%): </w:t>
      </w:r>
      <w:r>
        <w:t xml:space="preserve">The FDE holds the ship gate — the decision that a code-compliant, twin-verified artifact is safe to release into a clinical environment.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THE CORRECTNESS GATE — 100% test pass + compliance suite + human safety sign-off.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7A4C" w:val="clear"/>
            <w:tcMar>
              <w:top w:type="dxa" w:w="84"/>
              <w:left w:type="dxa" w:w="150"/>
              <w:bottom w:type="dxa" w:w="84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IMPROVEMENT LOOP — Governance &amp; Scale  (Act)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/>
              <w:left w:val="none"/>
              <w:bottom w:val="none"/>
              <w:right w:val="none"/>
            </w:tcBorders>
            <w:shd w:fill="2E5A88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AI  60%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  <w:shd w:fill="B07A1E" w:val="clear"/>
            <w:tcMar>
              <w:top w:type="dxa" w:w="46"/>
              <w:left w:type="dxa" w:w="84"/>
              <w:bottom w:type="dxa" w:w="46"/>
              <w:right w:type="dxa" w:w="5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HITL  40%</w:t>
            </w:r>
          </w:p>
        </w:tc>
      </w:tr>
    </w:tbl>
    <w:p>
      <w:pPr>
        <w:spacing w:after="50"/>
      </w:pPr>
    </w:p>
    <w:p>
      <w:pPr>
        <w:spacing w:after="120" w:line="278"/>
      </w:pPr>
      <w:r>
        <w:rPr>
          <w:b/>
          <w:bCs/>
          <w:color w:val="1E7A4C"/>
        </w:rPr>
        <w:t xml:space="preserve">Capabilities in this loop: </w:t>
      </w:r>
      <w:r>
        <w:t xml:space="preserve">AI &amp; engineering governance; compliance, security &amp; risk; observability &amp; maturity index.</w:t>
      </w:r>
    </w:p>
    <w:p>
      <w:pPr>
        <w:spacing w:after="120" w:line="278"/>
      </w:pPr>
      <w:r>
        <w:rPr>
          <w:b/>
          <w:bCs/>
          <w:color w:val="2E5A88"/>
        </w:rPr>
        <w:t xml:space="preserve">AI swarm (</w:t>
      </w:r>
      <w:r>
        <w:rPr>
          <w:b/>
          <w:bCs/>
          <w:color w:val="2E5A88"/>
        </w:rPr>
        <w:t xml:space="preserve">60%): </w:t>
      </w:r>
      <w:r>
        <w:t xml:space="preserve">NeoLens™ (AIOps) monitors the live twin, detects drift between site and model, and re-enters the loop; QueryButler™ keeps the knowledge/data layer current.</w:t>
      </w:r>
    </w:p>
    <w:p>
      <w:pPr>
        <w:spacing w:after="120" w:line="278"/>
      </w:pPr>
      <w:r>
        <w:rPr>
          <w:b/>
          <w:bCs/>
          <w:color w:val="B07A1E"/>
        </w:rPr>
        <w:t xml:space="preserve">Human FDE (</w:t>
      </w:r>
      <w:r>
        <w:rPr>
          <w:b/>
          <w:bCs/>
          <w:color w:val="B07A1E"/>
        </w:rPr>
        <w:t xml:space="preserve">40%): </w:t>
      </w:r>
      <w:r>
        <w:t xml:space="preserve">The FDE owns the governance posture, tunes the guardrails and the maturity index, and owns the post-incident call — then decides where to scale next.</w:t>
      </w:r>
    </w:p>
    <w:p>
      <w:pPr>
        <w:spacing w:after="120" w:line="278"/>
      </w:pPr>
      <w:r>
        <w:rPr>
          <w:b/>
          <w:bCs/>
          <w:color w:val="C9952F"/>
        </w:rPr>
        <w:t xml:space="preserve">Gate: </w:t>
      </w:r>
      <w:r>
        <w:t xml:space="preserve">Auto-heals within policy; escalates to the human on drift or repeated failure.</w:t>
      </w:r>
    </w:p>
    <w:p>
      <w:pPr>
        <w:spacing w:after="40"/>
      </w:pPr>
    </w:p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III  ·  THE FDE LIFECYCLE AUTOMATION STACK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The specific 2026 tools (per source) mapped to the lifecycle and the 80:20 split. </w:t>
      </w:r>
      <w:r>
        <w:rPr>
          <w:i/>
          <w:iCs/>
          <w:color w:val="5B6B7E"/>
        </w:rPr>
        <w:t xml:space="preserve">Named tools and metrics are source-attributed and pending verification.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50"/>
        <w:gridCol w:w="3560"/>
        <w:gridCol w:w="1110"/>
      </w:tblGrid>
      <w:tr>
        <w:trPr>
          <w:tblHeader/>
        </w:trP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Lifecycle stage</w:t>
            </w:r>
          </w:p>
        </w:tc>
        <w:tc>
          <w:tcPr>
            <w:tcW w:type="dxa" w:w="23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 (per source)</w:t>
            </w:r>
          </w:p>
        </w:tc>
        <w:tc>
          <w:tcPr>
            <w:tcW w:type="dxa" w:w="35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use case</w:t>
            </w:r>
          </w:p>
        </w:tc>
        <w:tc>
          <w:tcPr>
            <w:tcW w:type="dxa" w:w="1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Discovery</w:t>
            </w:r>
          </w:p>
        </w:tc>
        <w:tc>
          <w:tcPr>
            <w:tcW w:type="dxa" w:w="23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Perspective AI</w:t>
            </w:r>
          </w:p>
        </w:tc>
        <w:tc>
          <w:tcPr>
            <w:tcW w:type="dxa" w:w="35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Stakeholder discovery; intent capture into GraphRAG.</w:t>
            </w:r>
          </w:p>
        </w:tc>
        <w:tc>
          <w:tcPr>
            <w:tcW w:type="dxa" w:w="1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30:70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Knowledge/data</w:t>
            </w:r>
          </w:p>
        </w:tc>
        <w:tc>
          <w:tcPr>
            <w:tcW w:type="dxa" w:w="23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QueryButler™</w:t>
            </w:r>
          </w:p>
        </w:tc>
        <w:tc>
          <w:tcPr>
            <w:tcW w:type="dxa" w:w="35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Grounds the swarm in building codes + BIM topology.</w:t>
            </w:r>
          </w:p>
        </w:tc>
        <w:tc>
          <w:tcPr>
            <w:tcW w:type="dxa" w:w="1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85:15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Spec-Driven Dev + swarm</w:t>
            </w:r>
          </w:p>
        </w:tc>
        <w:tc>
          <w:tcPr>
            <w:tcW w:type="dxa" w:w="35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BIM federation + twin-logic generation.</w:t>
            </w:r>
          </w:p>
        </w:tc>
        <w:tc>
          <w:tcPr>
            <w:tcW w:type="dxa" w:w="1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90:10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Quality gate</w:t>
            </w:r>
          </w:p>
        </w:tc>
        <w:tc>
          <w:tcPr>
            <w:tcW w:type="dxa" w:w="23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TestCraft™ + Adversarial SDET</w:t>
            </w:r>
          </w:p>
        </w:tc>
        <w:tc>
          <w:tcPr>
            <w:tcW w:type="dxa" w:w="35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39-test correctness/compliance suite.</w:t>
            </w:r>
          </w:p>
        </w:tc>
        <w:tc>
          <w:tcPr>
            <w:tcW w:type="dxa" w:w="1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80:20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Visual verify</w:t>
            </w:r>
          </w:p>
        </w:tc>
        <w:tc>
          <w:tcPr>
            <w:tcW w:type="dxa" w:w="23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OpenSpace</w:t>
            </w:r>
          </w:p>
        </w:tc>
        <w:tc>
          <w:tcPr>
            <w:tcW w:type="dxa" w:w="35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Site-to-twin visual verification (reality vs. model).</w:t>
            </w:r>
          </w:p>
        </w:tc>
        <w:tc>
          <w:tcPr>
            <w:tcW w:type="dxa" w:w="1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85:15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Dev portal</w:t>
            </w:r>
          </w:p>
        </w:tc>
        <w:tc>
          <w:tcPr>
            <w:tcW w:type="dxa" w:w="23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Backstage</w:t>
            </w:r>
          </w:p>
        </w:tc>
        <w:tc>
          <w:tcPr>
            <w:tcW w:type="dxa" w:w="35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Golden paths, policy-as-code, self-service governance.</w:t>
            </w:r>
          </w:p>
        </w:tc>
        <w:tc>
          <w:tcPr>
            <w:tcW w:type="dxa" w:w="1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80:20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3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NeoLens™ (AIOps)</w:t>
            </w:r>
          </w:p>
        </w:tc>
        <w:tc>
          <w:tcPr>
            <w:tcW w:type="dxa" w:w="35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Live twin monitoring + drift detection + self-heal.</w:t>
            </w:r>
          </w:p>
        </w:tc>
        <w:tc>
          <w:tcPr>
            <w:tcW w:type="dxa" w:w="1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80:20</w:t>
            </w:r>
          </w:p>
        </w:tc>
      </w:tr>
    </w:tbl>
    <w:p>
      <w:pPr>
        <w:pStyle w:val="Heading2"/>
      </w:pPr>
      <w:r>
        <w:rPr>
          <w:color w:val="16263F"/>
        </w:rPr>
        <w:t xml:space="preserve">The deterministic gate — why this use case needs it</w:t>
      </w:r>
    </w:p>
    <w:p>
      <w:pPr>
        <w:spacing w:after="120" w:line="278"/>
      </w:pPr>
      <w:r>
        <w:t xml:space="preserve">In a clinical/AEC context, the agentic speed (the 14-day loop per source) must never compromise integrity. The </w:t>
      </w:r>
      <w:r>
        <w:rPr>
          <w:b/>
          <w:bCs/>
        </w:rPr>
        <w:t xml:space="preserve">deterministic correctness gate</w:t>
      </w:r>
      <w:r>
        <w:t xml:space="preserve"> is the non-negotiable: an artifact does not pass on an agent's say-so — it passes a compile + a compliance test suite (39 tests per source) + a human safety sign-off. </w:t>
      </w:r>
      <w:r>
        <w:rPr>
          <w:b/>
          <w:bCs/>
          <w:color w:val="16263F"/>
        </w:rPr>
        <w:t xml:space="preserve">This is the 80:20 made safe: the AI proposes the artifact; the human disposes on whether it is safe to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63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GOVERNING PATTERN FOR THIS USE CASE</w:t>
            </w:r>
          </w:p>
          <w:p>
            <w:pPr>
              <w:spacing w:line="276"/>
            </w:pPr>
            <w:r>
              <w:t xml:space="preserve">Speed without a gate is a liability in a hospital. The agentic swarm gives the FDE the velocity of a full team; the deterministic correctness gate plus the human safety sign-off give the accountability a clinical build requires. AI proposes the contextual artifact; the human disposes on safety. That gate is the 20% — and in this domain, it is the whole point.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IV  ·  HOW THE USE CASE SCALES — FDE LANDS, GCC SCALES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The Modutecture engagement is the </w:t>
      </w:r>
      <w:r>
        <w:rPr>
          <w:b/>
          <w:bCs/>
        </w:rPr>
        <w:t xml:space="preserve">tip of the spear</w:t>
      </w:r>
      <w:r>
        <w:t xml:space="preserve">: a single elite Pod Commander backed by an autonomous AI swarm proves the contextual-construction motion and secures architectural trust — before it scales into a full StatusNeo GCC. This is the land-and-expand logic of the whole FDE practice, applied to one AEC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50"/>
        <w:gridCol w:w="2110"/>
      </w:tblGrid>
      <w:tr>
        <w:trPr>
          <w:tblHeader/>
        </w:trP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4"/>
              <w:left w:type="dxa" w:w="98"/>
              <w:bottom w:type="dxa" w:w="64"/>
              <w:right w:type="dxa" w:w="98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Topology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Land (FDE)</w:t>
            </w:r>
          </w:p>
        </w:tc>
        <w:tc>
          <w:tcPr>
            <w:tcW w:type="dxa" w:w="5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The Pod Commander embeds, runs the four loops on the Modutecture twin, hits first verified artifact, earns trust.</w:t>
            </w:r>
          </w:p>
        </w:tc>
        <w:tc>
          <w:tcPr>
            <w:tcW w:type="dxa" w:w="2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Embedded — 70:30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Prove</w:t>
            </w:r>
          </w:p>
        </w:tc>
        <w:tc>
          <w:tcPr>
            <w:tcW w:type="dxa" w:w="5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The correctness gate + site-to-twin verification demonstrate safety to the client's compliance teams.</w:t>
            </w:r>
          </w:p>
        </w:tc>
        <w:tc>
          <w:tcPr>
            <w:tcW w:type="dxa" w:w="2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Embedded</w:t>
            </w:r>
          </w:p>
        </w:tc>
      </w:tr>
      <w:tr>
        <w:tc>
          <w:tcPr>
            <w:tcW w:type="dxa" w:w="1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Expand (GCC)</w:t>
            </w:r>
          </w:p>
        </w:tc>
        <w:tc>
          <w:tcPr>
            <w:tcW w:type="dxa" w:w="55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Once trusted, the offshore GCC pods scale delivery behind the FDE using the same loop OS and accelerators.</w:t>
            </w:r>
          </w:p>
        </w:tc>
        <w:tc>
          <w:tcPr>
            <w:tcW w:type="dxa" w:w="211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4"/>
              <w:left w:type="dxa" w:w="98"/>
              <w:bottom w:type="dxa" w:w="54"/>
              <w:right w:type="dxa" w:w="98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Remote — 90:10</w:t>
            </w:r>
          </w:p>
        </w:tc>
      </w:tr>
    </w:tbl>
    <w:p>
      <w:pPr>
        <w:spacing w:after="120" w:line="278"/>
      </w:pPr>
      <w:r>
        <w:rPr>
          <w:b/>
          <w:bCs/>
          <w:color w:val="16263F"/>
        </w:rPr>
        <w:t xml:space="preserve">The 90-day arc (per StatusNeo GCC model): </w:t>
      </w:r>
      <w:r>
        <w:t xml:space="preserve">Day 0–15 blueprint + landing zone; Day 16–45 pods live + portal active; Day 46–90 operate, measure, optimize — the GCC goes from slideware to running software.</w:t>
      </w:r>
    </w:p>
    <w:p>
      <w:pPr>
        <w:pStyle w:val="Heading2"/>
      </w:pPr>
      <w:r>
        <w:rPr>
          <w:color w:val="16263F"/>
        </w:rPr>
        <w:t xml:space="preserve">Open scoping questions (to resolve in the charter)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t xml:space="preserve">Which Modutecture loop is the pilot's first proof point — the Build loop (twin generation) or the Velocity loop (the correctness gate)?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t xml:space="preserve">What is the real composition of the “39-test correctness gate” for the Kaiser/clinical context, and who owns its definition — Modutecture, the client's compliance team, or the FDE?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t xml:space="preserve">Where does authoritative twin geometry live — in the Unity/BIM layer or the twin backend? (The decisive test: can a non-Unity client reconstruct a Moducule from backend data alone?)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t xml:space="preserve">Local compute (RTX 4090 nodes per source) vs. cloud G7 — which substrate for the Adversarial SDET's fuzzing load, given air-gapped/data-residency constraints?</w:t>
      </w:r>
    </w:p>
    <w:p>
      <w:pPr>
        <w:pStyle w:val="ListParagraph"/>
        <w:numPr>
          <w:ilvl w:val="0"/>
          <w:numId w:val="2"/>
        </w:numPr>
        <w:spacing w:after="80" w:line="266"/>
      </w:pPr>
      <w:r>
        <w:t xml:space="preserve">Which named tools are real and licensed today vs. aspirational — Perspective AI, OpenSpace, and the StatusNeo ™ accelerators all need a build/buy/verify status before they enter the scope.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ONE-LINE USE CASE</w:t>
            </w:r>
          </w:p>
          <w:p>
            <w:pPr>
              <w:spacing w:line="276"/>
            </w:pPr>
            <w:r>
              <w:t xml:space="preserve">Embed a Pod Commander + AI swarm in Modutecture's contextual-construction platform; automate 80% of the twin pipeline and reserve the 20% (architecture, compliance, clinical safety sign-off) for the human; prove it on one clinical account through a deterministic correctness gate; then scale into a StatusNeo GCC.</w:t>
            </w:r>
          </w:p>
        </w:tc>
      </w:tr>
    </w:tbl>
    <w:p>
      <w:pPr>
        <w:spacing w:after="40"/>
      </w:pPr>
    </w:p>
    <w:p>
      <w:r>
        <w:rPr>
          <w:color w:val="8090A4"/>
          <w:sz w:val="17"/>
          <w:szCs w:val="17"/>
        </w:rPr>
        <w:t xml:space="preserve">Contextual Intelligence Construction · AEC/Modutecture FDE use case · scoping draft · named tools &amp; metrics per source, pending verification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50"/>
      </w:p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outlineLvl w:val="0"/>
    </w:pPr>
    <w:rPr>
      <w:rFonts w:ascii="Cambria" w:cs="Cambria" w:eastAsia="Cambria" w:hAnsi="Cambria"/>
      <w:b/>
      <w:bCs/>
      <w:color w:val="16263F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Cambria" w:cs="Cambria" w:eastAsia="Cambria" w:hAnsi="Cambria"/>
      <w:b/>
      <w:bCs/>
      <w:color w:val="16263F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mbria" w:cs="Cambria" w:eastAsia="Cambria" w:hAnsi="Cambria"/>
      <w:b/>
      <w:bCs/>
      <w:color w:val="16263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0" w:before="150"/>
      <w:outlineLvl w:val="2"/>
    </w:pPr>
    <w:rPr>
      <w:rFonts w:ascii="Calibri" w:cs="Calibri" w:eastAsia="Calibri" w:hAnsi="Calibri"/>
      <w:b/>
      <w:bCs/>
      <w:color w:val="C9952F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2026-06-23T05:05:51.196Z</dcterms:created>
  <dcterms:modified xsi:type="dcterms:W3CDTF">2026-06-23T05:05:51.196Z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