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9952F"/>
          <w:spacing w:val="50"/>
          <w:sz w:val="18"/>
          <w:szCs w:val="18"/>
        </w:rPr>
        <w:t xml:space="preserve">ENGINEERING BLUEPRINT · PLAYBOOK · COOKBOOK · RUNBOOK</w:t>
      </w:r>
    </w:p>
    <w:p>
      <w:pPr>
        <w:pStyle w:val="Title"/>
      </w:pPr>
      <w:r>
        <w:t xml:space="preserve">The Agentic FDE Lifecycle</w:t>
      </w:r>
    </w:p>
    <w:p>
      <w:pPr>
        <w:spacing w:after="80"/>
      </w:pPr>
      <w:r>
        <w:rPr>
          <w:i/>
          <w:iCs/>
          <w:color w:val="5B6B7E"/>
          <w:sz w:val="22"/>
          <w:szCs w:val="22"/>
        </w:rPr>
        <w:t xml:space="preserve">An AI-Native Software Development Lifecycle for Embedded &amp; Remote Forward-Deployed Engineering PODs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rPr>
          <w:b/>
          <w:bCs/>
          <w:color w:val="16263F"/>
        </w:rPr>
        <w:t xml:space="preserve">Purpose:  </w:t>
      </w:r>
      <w:r>
        <w:t xml:space="preserve">Define and operationalize an agentic SDLC that integrates autonomous AI agents into forward-deployed engineering. It shifts human roles from manual coding to system architecture, guardrail configuration, and review — and scales across a multi-cloud (generic, AWS, GCP, Azure) tooling ecosystem for the widest possible industry reach.</w:t>
      </w:r>
    </w:p>
    <w:p>
      <w:pPr>
        <w:spacing w:after="120" w:line="278"/>
      </w:pPr>
      <w:r>
        <w:rPr>
          <w:b/>
          <w:bCs/>
          <w:color w:val="16263F"/>
        </w:rPr>
        <w:t xml:space="preserve">Two topologies, one codebase:  </w:t>
      </w:r>
      <w:r>
        <w:t xml:space="preserve">Embedded PODs (human-in-the-loop agents inside existing teams) and Remote PODs (isolated, fully autonomous agent clusters) run as a parallel rollout — letting risk-averse teams adopt supervised agents immediately while modern teams deploy autonomous micro-services.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6263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THE OPERATING THESIS</w:t>
            </w:r>
          </w:p>
          <w:p>
            <w:pPr>
              <w:spacing w:line="276"/>
            </w:pPr>
            <w:r>
              <w:t xml:space="preserve">The model proposes; a deterministic gate disposes. Agents execute the lifecycle iteratively — pulling tasks from a backlog and pushing verified code to production — while humans own architecture, guardrails, and the approval surface. Embedded earns trust; Remote scales it. Cloud-agnostic by design, cloud-native by integration.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  ·  THE 7-STAGE AGENTIC FDE LIFECYCLE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t xml:space="preserve">Autonomous agents execute this lifecycle iteratively, pulling tasks from a backlog and pushing verified code to production. The loop is closed: production telemetry feeds back into planning, so the system self-heals and re-plans without a human restart.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BFCFE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6263F"/>
                <w:sz w:val="16"/>
                <w:szCs w:val="16"/>
              </w:rPr>
              <w:t xml:space="preserve">The closed-loop agentic SDLC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[1. Context &amp; Plan] ──&gt; [2. Architecture] ──&gt; [3. Implementation] ──&gt; [4. Agentic QA]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     ▲                                                                  │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     └──────────── [7. Monitor &amp; Self-Heal] &lt;── [6. CD] &lt;── [5. Security] ◄┘</w:t>
            </w:r>
          </w:p>
        </w:tc>
      </w:tr>
    </w:tbl>
    <w:p>
      <w:pPr>
        <w:pStyle w:val="Heading2"/>
      </w:pPr>
      <w:r>
        <w:rPr>
          <w:color w:val="16263F"/>
        </w:rPr>
        <w:t xml:space="preserve">The seven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60"/>
        <w:gridCol w:w="5400"/>
      </w:tblGrid>
      <w:tr>
        <w:trPr>
          <w:tblHeader/>
        </w:trPr>
        <w:tc>
          <w:tcPr>
            <w:tcW w:type="dxa" w:w="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5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the agents do</w:t>
            </w:r>
          </w:p>
        </w:tc>
      </w:tr>
      <w:tr>
        <w:tc>
          <w:tcPr>
            <w:tcW w:type="dxa" w:w="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1</w:t>
            </w:r>
          </w:p>
        </w:tc>
        <w:tc>
          <w:tcPr>
            <w:tcW w:type="dxa" w:w="3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Context Discovery &amp; Planning</w:t>
            </w:r>
          </w:p>
        </w:tc>
        <w:tc>
          <w:tcPr>
            <w:tcW w:type="dxa" w:w="5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Ingest Jira/Linear issues, analyze codebase topology, and generate an execution plan.</w:t>
            </w:r>
          </w:p>
        </w:tc>
      </w:tr>
      <w:tr>
        <w:tc>
          <w:tcPr>
            <w:tcW w:type="dxa" w:w="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2</w:t>
            </w:r>
          </w:p>
        </w:tc>
        <w:tc>
          <w:tcPr>
            <w:tcW w:type="dxa" w:w="3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Architecture &amp; Design</w:t>
            </w:r>
          </w:p>
        </w:tc>
        <w:tc>
          <w:tcPr>
            <w:tcW w:type="dxa" w:w="5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Tool-use agents query documentation, generate API specs, and verify schema compatibility.</w:t>
            </w:r>
          </w:p>
        </w:tc>
      </w:tr>
      <w:tr>
        <w:tc>
          <w:tcPr>
            <w:tcW w:type="dxa" w:w="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3</w:t>
            </w:r>
          </w:p>
        </w:tc>
        <w:tc>
          <w:tcPr>
            <w:tcW w:type="dxa" w:w="3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Implementation &amp; Coding</w:t>
            </w:r>
          </w:p>
        </w:tc>
        <w:tc>
          <w:tcPr>
            <w:tcW w:type="dxa" w:w="5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Multi-agent coding squads write code, resolve merge conflicts, and self-correct syntax errors.</w:t>
            </w:r>
          </w:p>
        </w:tc>
      </w:tr>
      <w:tr>
        <w:tc>
          <w:tcPr>
            <w:tcW w:type="dxa" w:w="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4</w:t>
            </w:r>
          </w:p>
        </w:tc>
        <w:tc>
          <w:tcPr>
            <w:tcW w:type="dxa" w:w="3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Agentic Verification (QA)</w:t>
            </w:r>
          </w:p>
        </w:tc>
        <w:tc>
          <w:tcPr>
            <w:tcW w:type="dxa" w:w="5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Autonomous generation of unit, integration, and end-to-end tests from the acceptance criteria.</w:t>
            </w:r>
          </w:p>
        </w:tc>
      </w:tr>
      <w:tr>
        <w:tc>
          <w:tcPr>
            <w:tcW w:type="dxa" w:w="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5</w:t>
            </w:r>
          </w:p>
        </w:tc>
        <w:tc>
          <w:tcPr>
            <w:tcW w:type="dxa" w:w="3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Security &amp; Guardrails</w:t>
            </w:r>
          </w:p>
        </w:tc>
        <w:tc>
          <w:tcPr>
            <w:tcW w:type="dxa" w:w="5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Automated SAST and compliance checking via specialized agent tools.</w:t>
            </w:r>
          </w:p>
        </w:tc>
      </w:tr>
      <w:tr>
        <w:tc>
          <w:tcPr>
            <w:tcW w:type="dxa" w:w="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6</w:t>
            </w:r>
          </w:p>
        </w:tc>
        <w:tc>
          <w:tcPr>
            <w:tcW w:type="dxa" w:w="3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Continuous Deployment</w:t>
            </w:r>
          </w:p>
        </w:tc>
        <w:tc>
          <w:tcPr>
            <w:tcW w:type="dxa" w:w="5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Automated PR management, canary deployments, and rolling updates.</w:t>
            </w:r>
          </w:p>
        </w:tc>
      </w:tr>
      <w:tr>
        <w:tc>
          <w:tcPr>
            <w:tcW w:type="dxa" w:w="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7</w:t>
            </w:r>
          </w:p>
        </w:tc>
        <w:tc>
          <w:tcPr>
            <w:tcW w:type="dxa" w:w="3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F2A38"/>
                <w:sz w:val="18"/>
                <w:szCs w:val="18"/>
              </w:rPr>
              <w:t xml:space="preserve">Observability &amp; Self-Healing</w:t>
            </w:r>
          </w:p>
        </w:tc>
        <w:tc>
          <w:tcPr>
            <w:tcW w:type="dxa" w:w="5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Monitoring agents detect anomalies, map stack traces, and auto-generate hotfix PRs.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II  ·  THE PLAYBOOK — FRAMEWORKS &amp; TOOLING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t xml:space="preserve">To scale agentic engineering, deploy a unified stack that supports long-running execution, vector memories, and sandboxed code execution — cloud-agnostic at the core, with native bindings into each major cloud's agentic services.</w:t>
      </w:r>
    </w:p>
    <w:p>
      <w:pPr>
        <w:pStyle w:val="Heading2"/>
      </w:pPr>
      <w:r>
        <w:rPr>
          <w:color w:val="16263F"/>
        </w:rPr>
        <w:t xml:space="preserve">Core architecture frameworks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Multi-agent orchestration:  </w:t>
      </w:r>
      <w:r>
        <w:t xml:space="preserve">LangGraph (cyclic, stateful workflows), CrewAI (role-based squads), or AutoGen (event-driven conversations).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Code-specific agent frameworks:  </w:t>
      </w:r>
      <w:r>
        <w:t xml:space="preserve">Aider (git-integrated coding), SWE-agent (sandboxed software-engineering environment), or OpenHands (open-source agent workspace).</w:t>
      </w:r>
    </w:p>
    <w:p>
      <w:pPr>
        <w:pStyle w:val="Heading2"/>
      </w:pPr>
      <w:r>
        <w:rPr>
          <w:color w:val="16263F"/>
        </w:rPr>
        <w:t xml:space="preserve">Automated engineering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60"/>
        <w:gridCol w:w="3400"/>
      </w:tblGrid>
      <w:tr>
        <w:trPr>
          <w:tblHeader/>
        </w:trPr>
        <w:tc>
          <w:tcPr>
            <w:tcW w:type="dxa" w:w="2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Lifecycle stage</w:t>
            </w:r>
          </w:p>
        </w:tc>
        <w:tc>
          <w:tcPr>
            <w:tcW w:type="dxa" w:w="3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 category</w:t>
            </w:r>
          </w:p>
        </w:tc>
        <w:tc>
          <w:tcPr>
            <w:tcW w:type="dxa" w:w="3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Context &amp; Retrieval</w:t>
            </w:r>
          </w:p>
        </w:tc>
        <w:tc>
          <w:tcPr>
            <w:tcW w:type="dxa" w:w="3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Codebase graph vector DB</w:t>
            </w:r>
          </w:p>
        </w:tc>
        <w:tc>
          <w:tcPr>
            <w:tcW w:type="dxa" w:w="3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Bloop, Greptile, Sweep, Qdrant</w:t>
            </w:r>
          </w:p>
        </w:tc>
      </w:tr>
      <w:tr>
        <w:tc>
          <w:tcPr>
            <w:tcW w:type="dxa" w:w="2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Execution Sandbox</w:t>
            </w:r>
          </w:p>
        </w:tc>
        <w:tc>
          <w:tcPr>
            <w:tcW w:type="dxa" w:w="3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Secure compute runtimes</w:t>
            </w:r>
          </w:p>
        </w:tc>
        <w:tc>
          <w:tcPr>
            <w:tcW w:type="dxa" w:w="3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E2B, Fly.io Sandboxes, Docker</w:t>
            </w:r>
          </w:p>
        </w:tc>
      </w:tr>
      <w:tr>
        <w:tc>
          <w:tcPr>
            <w:tcW w:type="dxa" w:w="2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Code Generation</w:t>
            </w:r>
          </w:p>
        </w:tc>
        <w:tc>
          <w:tcPr>
            <w:tcW w:type="dxa" w:w="3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Advanced LLM coding models</w:t>
            </w:r>
          </w:p>
        </w:tc>
        <w:tc>
          <w:tcPr>
            <w:tcW w:type="dxa" w:w="3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Claude 3.5 Sonnet, GPT-4o, DeepSeek-Coder</w:t>
            </w:r>
          </w:p>
        </w:tc>
      </w:tr>
      <w:tr>
        <w:tc>
          <w:tcPr>
            <w:tcW w:type="dxa" w:w="2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Testing &amp; Evaluation</w:t>
            </w:r>
          </w:p>
        </w:tc>
        <w:tc>
          <w:tcPr>
            <w:tcW w:type="dxa" w:w="32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Agentic testing frameworks</w:t>
            </w:r>
          </w:p>
        </w:tc>
        <w:tc>
          <w:tcPr>
            <w:tcW w:type="dxa" w:w="34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CodiumAI / Qodo, agent-eval harnesses</w:t>
            </w:r>
          </w:p>
        </w:tc>
      </w:tr>
    </w:tbl>
    <w:p>
      <w:pPr>
        <w:pStyle w:val="Heading2"/>
      </w:pPr>
      <w:r>
        <w:rPr>
          <w:color w:val="16263F"/>
        </w:rPr>
        <w:t xml:space="preserve">The universal multi-cloud agentic ecosystem</w:t>
      </w:r>
    </w:p>
    <w:p>
      <w:pPr>
        <w:spacing w:after="120" w:line="278"/>
      </w:pPr>
      <w:r>
        <w:t xml:space="preserve">Remain cloud-agnostic while natively integrating each provider's specialized agentic services. One orchestration codebase; four interchangeable execution substrates.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950"/>
        <w:gridCol w:w="1830"/>
        <w:gridCol w:w="1830"/>
        <w:gridCol w:w="1900"/>
      </w:tblGrid>
      <w:tr>
        <w:trPr>
          <w:tblHeader/>
        </w:trP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19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Generic / OSS</w:t>
            </w:r>
          </w:p>
        </w:tc>
        <w:tc>
          <w:tcPr>
            <w:tcW w:type="dxa" w:w="183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AWS</w:t>
            </w:r>
          </w:p>
        </w:tc>
        <w:tc>
          <w:tcPr>
            <w:tcW w:type="dxa" w:w="183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GCP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Azure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19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LangGraph, CrewAI, AutoGen</w:t>
            </w:r>
          </w:p>
        </w:tc>
        <w:tc>
          <w:tcPr>
            <w:tcW w:type="dxa" w:w="183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Amazon Bedrock Flows</w:t>
            </w:r>
          </w:p>
        </w:tc>
        <w:tc>
          <w:tcPr>
            <w:tcW w:type="dxa" w:w="183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Vertex AI Agent Builder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Azure AI Studio Orchestrator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Compute Sandbox</w:t>
            </w:r>
          </w:p>
        </w:tc>
        <w:tc>
          <w:tcPr>
            <w:tcW w:type="dxa" w:w="19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E2B, Docker, Fly.io</w:t>
            </w:r>
          </w:p>
        </w:tc>
        <w:tc>
          <w:tcPr>
            <w:tcW w:type="dxa" w:w="183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Lambda / ECS Run</w:t>
            </w:r>
          </w:p>
        </w:tc>
        <w:tc>
          <w:tcPr>
            <w:tcW w:type="dxa" w:w="183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Cloud Run v2 (gVisor)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Container Apps Dynamic Sessions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Code / Context DB</w:t>
            </w:r>
          </w:p>
        </w:tc>
        <w:tc>
          <w:tcPr>
            <w:tcW w:type="dxa" w:w="19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Greptile, Qdrant</w:t>
            </w:r>
          </w:p>
        </w:tc>
        <w:tc>
          <w:tcPr>
            <w:tcW w:type="dxa" w:w="183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Bedrock Knowledge Bases</w:t>
            </w:r>
          </w:p>
        </w:tc>
        <w:tc>
          <w:tcPr>
            <w:tcW w:type="dxa" w:w="183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Vertex AI Vector Search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Azure AI Search (Vector)</w:t>
            </w:r>
          </w:p>
        </w:tc>
      </w:tr>
      <w:tr>
        <w:tc>
          <w:tcPr>
            <w:tcW w:type="dxa" w:w="18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Primary Code Models</w:t>
            </w:r>
          </w:p>
        </w:tc>
        <w:tc>
          <w:tcPr>
            <w:tcW w:type="dxa" w:w="195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DeepSeek-Coder, Llama-3</w:t>
            </w:r>
          </w:p>
        </w:tc>
        <w:tc>
          <w:tcPr>
            <w:tcW w:type="dxa" w:w="183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Anthropic Claude 3.5</w:t>
            </w:r>
          </w:p>
        </w:tc>
        <w:tc>
          <w:tcPr>
            <w:tcW w:type="dxa" w:w="183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Gemini 1.5 Pro / Ultra</w:t>
            </w:r>
          </w:p>
        </w:tc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Azure OpenAI GPT-4o / o1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III  ·  THE COOKBOOK — EMBEDDED vs. REMOTE PODS</w:t>
      </w:r>
    </w:p>
    <w:p>
      <w:pPr>
        <w:pBdr>
          <w:bottom w:val="single" w:color="DCE3EC" w:sz="6" w:space="1"/>
        </w:pBdr>
        <w:spacing w:after="160"/>
      </w:pPr>
    </w:p>
    <w:p>
      <w:pPr>
        <w:pStyle w:val="Heading2"/>
      </w:pPr>
      <w:r>
        <w:rPr>
          <w:color w:val="16263F"/>
        </w:rPr>
        <w:t xml:space="preserve">Parallel rollout: the two topologies</w:t>
      </w:r>
    </w:p>
    <w:p>
      <w:pPr>
        <w:spacing w:after="120" w:line="278"/>
      </w:pPr>
      <w:r>
        <w:t xml:space="preserve">Deploy both topologies simultaneously from a single, unified orchestration codebase. Risk-averse teams adopt human-in-the-loop agents; modern teams deploy fully autonomous micro-services.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E0" w:sz="1"/>
              <w:left w:val="single" w:color="C7D2E0" w:sz="1"/>
              <w:bottom w:val="single" w:color="C7D2E0" w:sz="1"/>
              <w:right w:val="single" w:color="C7D2E0" w:sz="1"/>
            </w:tcBorders>
            <w:shd w:fill="FBFCFE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80"/>
            </w:pPr>
            <w:r>
              <w:rPr>
                <w:b/>
                <w:bCs/>
                <w:color w:val="16263F"/>
                <w:sz w:val="16"/>
                <w:szCs w:val="16"/>
              </w:rPr>
              <w:t xml:space="preserve">One backlog, two execution topologies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          ┌──────────── Enterprise Backlog (Jira / Linear) ────────────┐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          │                                                            │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          ▼                                                            ▼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[Embedded FDE PODs]                                       [Remote FDE PODs]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 (Human-Centric)                                           (Autonomous)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- Installs via Slack / GitHub / VSCode          - Runs as a detached micro-service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- Pulls code, branches, writes code             - Ingests schema/specs via API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- Halts at human approval gate                  - Generates code, tests, infra</w:t>
            </w:r>
          </w:p>
          <w:p>
            <w:pPr>
              <w:spacing w:after="0" w:line="236"/>
            </w:pPr>
            <w:r>
              <w:rPr>
                <w:rFonts w:ascii="Courier New" w:cs="Courier New" w:eastAsia="Courier New" w:hAnsi="Courier New"/>
                <w:color w:val="16263F"/>
                <w:sz w:val="15"/>
                <w:szCs w:val="15"/>
              </w:rPr>
              <w:t xml:space="preserve">  - Best: legacy apps, core features              - Best: greenfield, ephemeral svcs</w:t>
            </w:r>
          </w:p>
        </w:tc>
      </w:tr>
    </w:tbl>
    <w:p>
      <w:pPr>
        <w:pStyle w:val="Heading2"/>
      </w:pPr>
      <w:r>
        <w:rPr>
          <w:color w:val="16263F"/>
        </w:rPr>
        <w:t xml:space="preserve">A) Embedded FDE PODs — Human-in-the-Loop</w:t>
      </w:r>
    </w:p>
    <w:p>
      <w:pPr>
        <w:spacing w:after="120" w:line="278"/>
      </w:pPr>
      <w:r>
        <w:t xml:space="preserve">Embedded PODs place AI agents directly inside human engineering teams. The agents act as force multipliers, taking instructions from human developers and halting at an approval gate before merge.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A2E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7FA8D0"/>
                <w:sz w:val="15"/>
                <w:szCs w:val="15"/>
              </w:rPr>
              <w:t xml:space="preserve">Cookbook A — Embedded PR-review guardrail agent (LangGraph)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from langgraph.graph import StateGraph, END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from typing import Dict, TypedDict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class PRState(TypedDict):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pr_diff: str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lint_passed: bool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review_comments: str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approved: bool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def run_linter_agent(state: PRState) -&gt; Dict: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# Simulating a sandboxed linting execution tool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diff = state["pr_diff"]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has_errors = "console.log" in diff   # Basic rule example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return {"lint_passed": not has_errors}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def human_review_gate(state: PRState) -&gt; Dict: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# Halts execution to await a webhook from a human reviewer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if not state["lint_passed"]: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return {"approved": False,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        "review_comments": "Fix linter errors first."}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return {"approved": True}   # else request human sign-off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 = StateGraph(PRState)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workflow.add_node("LinterAgent", run_linter_agent)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workflow.add_node("HumanGate", human_review_gate)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workflow.set_entry_point("LinterAgent")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workflow.add_edge("LinterAgent", "HumanGate")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workflow.add_edge("HumanGate", END)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embedded_pod = workflow.compile()</w:t>
            </w:r>
          </w:p>
        </w:tc>
      </w:tr>
    </w:tbl>
    <w:p>
      <w:pPr>
        <w:pStyle w:val="Heading2"/>
      </w:pPr>
      <w:r>
        <w:rPr>
          <w:color w:val="16263F"/>
        </w:rPr>
        <w:t xml:space="preserve">B) Remote FDE PODs — Fully Autonomous</w:t>
      </w:r>
    </w:p>
    <w:p>
      <w:pPr>
        <w:spacing w:after="120" w:line="278"/>
      </w:pPr>
      <w:r>
        <w:t xml:space="preserve">Remote PODs operate as isolated, sovereign micro-services. They consume API requirements, build the service from scratch in a sandbox, run verification, and expose an endpoint — with zero human code review, falling back to a self-healing loop on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A2E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7FA8D0"/>
                <w:sz w:val="15"/>
                <w:szCs w:val="15"/>
              </w:rPr>
              <w:t xml:space="preserve">Cookbook B — Remote micro-service agent blueprint (E2B sandbox)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from e2b_code_interpreter import Sandbox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def deploy_remote_service_pod(prompt_specification: str):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"""Spin up an isolated sandbox to build &amp; test a service."""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with Sandbox() as mx_sandbox: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# 1. Agent writes code to the sandbox filesystem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mx_sandbox.files.write("app.py", """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from fastapi import FastAPI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app = FastAPI()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@app.get("/health")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def health(): return {"status": "healthy"}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""")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# 2. Agent installs deps &amp; runs verification autonomously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mx_sandbox.commands.run("pip install fastapi uvicorn")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execution = mx_sandbox.commands.run("pytest app.py")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if execution.exit_code == 0: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    print("Verified. Deploying to Kubernetes...")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    # Trigger CD pipeline API call here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else: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    print("Tests failed. Activating self-healing loop...")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    # Feed execution.stderr back into the LLM to rewrite app.py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6263F"/>
        </w:rPr>
        <w:t xml:space="preserve">C) Multi-Cloud Parallel Orchestration</w:t>
      </w:r>
    </w:p>
    <w:p>
      <w:pPr>
        <w:spacing w:after="120" w:line="278"/>
      </w:pPr>
      <w:r>
        <w:t xml:space="preserve">A unified, cloud-agnostic graph routes each task to either an Embedded POD (human review) or a Remote POD (automated cross-cloud sandboxes), selecting the provider substrate at runtime.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A2E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7FA8D0"/>
                <w:sz w:val="15"/>
                <w:szCs w:val="15"/>
              </w:rPr>
              <w:t xml:space="preserve">Cookbook C — Cross-cloud unified router (Embedded + Remote)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from typing import Dict, TypedDict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from langgraph.graph import StateGraph, END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class PODState(TypedDict):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task_type: str        # "embedded" or "remote"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target_cloud: str     # "aws", "gcp", or "azure"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codebase_diff: str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execution_logs: str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verified: bool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def run_cloud_sandbox(state: PODState) -&gt; Dict: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cloud = state["target_cloud"]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print(f"[Sandbox] Init isolated compute on {cloud.upper()}...")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if cloud == "aws":    pass   # AWS Lambda / ECS sandbox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elif cloud == "gcp":  pass   # Google Cloud Run (gVisor)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elif cloud == "azure":pass   # Azure Container Apps Sessions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return {"execution_logs": "Build OK. Tests passed.",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    "verified": True}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def embedded_human_gate(state: PODState) -&gt; Dict: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print("[Embedded] Pausing for human code review...")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return {"verified": True}   # webhook to GitHub PR / Slack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def remote_autonomous_gate(state: PODState) -&gt; Dict: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print("[Remote] Autonomous checks + AI load testing...")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return {"verified": state["verified"]}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def route_pod_type(state: PODState) -&gt; str: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return "HumanApproval" if state["task_type"] == "embedded" \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       else "AutonomousVerification"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 = StateGraph(PODState)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workflow.add_node("CloudSandbox", run_cloud_sandbox)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workflow.add_node("HumanApproval", embedded_human_gate)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workflow.add_node("AutonomousVerification", remote_autonomous_gate)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workflow.set_entry_point("CloudSandbox")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workflow.add_conditional_edges("CloudSandbox", route_pod_type, {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"HumanApproval": "HumanApproval",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    "AutonomousVerification": "AutonomousVerification" })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workflow.add_edge("HumanApproval", END)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workflow.add_edge("AutonomousVerification", END)</w:t>
            </w:r>
          </w:p>
          <w:p>
            <w:pPr>
              <w:spacing w:after="0" w:line="228"/>
            </w:pPr>
            <w:r>
              <w:rPr>
                <w:rFonts w:ascii="Courier New" w:cs="Courier New" w:eastAsia="Courier New" w:hAnsi="Courier New"/>
                <w:color w:val="D6E2F0"/>
                <w:sz w:val="15"/>
                <w:szCs w:val="15"/>
              </w:rPr>
              <w:t xml:space="preserve">fde_orchestrator = workflow.compile()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IV  ·  THE RUNBOOK — OPERATE &amp; SCALE</w:t>
      </w:r>
    </w:p>
    <w:p>
      <w:pPr>
        <w:pBdr>
          <w:bottom w:val="single" w:color="DCE3EC" w:sz="6" w:space="1"/>
        </w:pBdr>
        <w:spacing w:after="160"/>
      </w:pPr>
    </w:p>
    <w:p>
      <w:pPr>
        <w:spacing w:after="120" w:line="278"/>
      </w:pPr>
      <w:r>
        <w:t xml:space="preserve">A step-by-step operating guide to provision, monitor, and govern the automated FDE agent architecture.</w:t>
      </w:r>
    </w:p>
    <w:p>
      <w:pPr>
        <w:pStyle w:val="Heading2"/>
      </w:pPr>
      <w:r>
        <w:rPr>
          <w:color w:val="16263F"/>
        </w:rPr>
        <w:t xml:space="preserve">Step 1 — Provision the environment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t xml:space="preserve">Deploy a private Vector Knowledge Graph (e.g., Greptile/Qdrant) connected to your enterprise GitHub/GitLab org.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t xml:space="preserve">Spin up a secure cluster (AWS ECS / GKE / Kubernetes) dedicated to hosting the orchestration engines (LangGraph/CrewAI).</w:t>
      </w:r>
    </w:p>
    <w:p>
      <w:pPr>
        <w:pStyle w:val="ListParagraph"/>
        <w:numPr>
          <w:ilvl w:val="0"/>
          <w:numId w:val="3"/>
        </w:numPr>
        <w:spacing w:after="80" w:line="266"/>
      </w:pPr>
      <w:r>
        <w:t xml:space="preserve">Set up E2B or Docker sandboxes with restricted network access to prevent data exfiltration.</w:t>
      </w:r>
    </w:p>
    <w:p>
      <w:pPr>
        <w:pStyle w:val="Heading2"/>
      </w:pPr>
      <w:r>
        <w:rPr>
          <w:color w:val="16263F"/>
        </w:rPr>
        <w:t xml:space="preserve">Step 2 — Configure agent guardrails</w:t>
      </w:r>
    </w:p>
    <w:p>
      <w:pPr>
        <w:pStyle w:val="ListParagraph"/>
        <w:numPr>
          <w:ilvl w:val="0"/>
          <w:numId w:val="4"/>
        </w:numPr>
        <w:spacing w:after="80" w:line="266"/>
      </w:pPr>
      <w:r>
        <w:rPr>
          <w:b/>
          <w:bCs/>
        </w:rPr>
        <w:t xml:space="preserve">Token boundaries.</w:t>
      </w:r>
      <w:r>
        <w:t xml:space="preserve"> Define strict spend per task (e.g., max $5.00 of LLM usage per ticket) to prevent infinite loops.</w:t>
      </w:r>
    </w:p>
    <w:p>
      <w:pPr>
        <w:pStyle w:val="ListParagraph"/>
        <w:numPr>
          <w:ilvl w:val="0"/>
          <w:numId w:val="4"/>
        </w:numPr>
        <w:spacing w:after="80" w:line="266"/>
      </w:pPr>
      <w:r>
        <w:rPr>
          <w:b/>
          <w:bCs/>
        </w:rPr>
        <w:t xml:space="preserve">Branch protection.</w:t>
      </w:r>
      <w:r>
        <w:t xml:space="preserve"> Agents may never push to main/production — they must submit a Pull Request.</w:t>
      </w:r>
    </w:p>
    <w:p>
      <w:pPr>
        <w:pStyle w:val="ListParagraph"/>
        <w:numPr>
          <w:ilvl w:val="0"/>
          <w:numId w:val="4"/>
        </w:numPr>
        <w:spacing w:after="80" w:line="266"/>
      </w:pPr>
      <w:r>
        <w:rPr>
          <w:b/>
          <w:bCs/>
        </w:rPr>
        <w:t xml:space="preserve">Static analysis.</w:t>
      </w:r>
      <w:r>
        <w:t xml:space="preserve"> Run SonarQube/Snyk automatically on every agent commit.</w:t>
      </w:r>
    </w:p>
    <w:p>
      <w:pPr>
        <w:pStyle w:val="Heading2"/>
      </w:pPr>
      <w:r>
        <w:rPr>
          <w:color w:val="16263F"/>
        </w:rPr>
        <w:t xml:space="preserve">Step 3 — Monitoring &amp; self-healing run loop</w:t>
      </w:r>
    </w:p>
    <w:p>
      <w:pPr>
        <w:pStyle w:val="ListParagraph"/>
        <w:numPr>
          <w:ilvl w:val="0"/>
          <w:numId w:val="5"/>
        </w:numPr>
        <w:spacing w:after="80" w:line="266"/>
      </w:pPr>
      <w:r>
        <w:t xml:space="preserve">Watch telemetry for execution loops (e.g., an agent failing the same test more than 5 times).</w:t>
      </w:r>
    </w:p>
    <w:p>
      <w:pPr>
        <w:pStyle w:val="ListParagraph"/>
        <w:numPr>
          <w:ilvl w:val="0"/>
          <w:numId w:val="5"/>
        </w:numPr>
        <w:spacing w:after="80" w:line="266"/>
      </w:pPr>
      <w:r>
        <w:t xml:space="preserve">If an agent loops, alert and drop the task into a human developer's triage queue.</w:t>
      </w:r>
    </w:p>
    <w:p>
      <w:pPr>
        <w:pStyle w:val="ListParagraph"/>
        <w:numPr>
          <w:ilvl w:val="0"/>
          <w:numId w:val="5"/>
        </w:numPr>
        <w:spacing w:after="80" w:line="266"/>
      </w:pPr>
      <w:r>
        <w:t xml:space="preserve">For live crashes, ingest the log trace into a Self-Healing Agent webhook to auto-cut a bug-fix branch.</w:t>
      </w:r>
    </w:p>
    <w:p>
      <w:pPr>
        <w:pStyle w:val="Heading2"/>
      </w:pPr>
      <w:r>
        <w:rPr>
          <w:color w:val="16263F"/>
        </w:rPr>
        <w:t xml:space="preserve">Multi-cloud deployment blueprints</w:t>
      </w:r>
    </w:p>
    <w:p>
      <w:pPr>
        <w:pStyle w:val="Heading3"/>
      </w:pPr>
      <w:r>
        <w:rPr>
          <w:color w:val="C9952F"/>
        </w:rPr>
        <w:t xml:space="preserve">Option A — AWS Native (Bedrock &amp; ECS)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Context &amp; ingestion:</w:t>
      </w:r>
      <w:r>
        <w:t xml:space="preserve"> sync repos to an Amazon Bedrock Knowledge Base backed by OpenSearch Serverless.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Orchestration:</w:t>
      </w:r>
      <w:r>
        <w:t xml:space="preserve"> deploy the multi-agent architecture to AWS Fargate or coordinate via Amazon Bedrock Flows.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Execution sandbox:</w:t>
      </w:r>
      <w:r>
        <w:t xml:space="preserve"> route agent actions into AWS Lambda ephemeral storage (/tmp up to 10GB) or isolated micro-VMs.</w:t>
      </w:r>
    </w:p>
    <w:p>
      <w:pPr>
        <w:pStyle w:val="Heading3"/>
      </w:pPr>
      <w:r>
        <w:rPr>
          <w:color w:val="C9952F"/>
        </w:rPr>
        <w:t xml:space="preserve">Option B — GCP Native (Vertex AI &amp; Cloud Run)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Context &amp; ingestion:</w:t>
      </w:r>
      <w:r>
        <w:t xml:space="preserve"> index repo files and docs into Vertex AI Vector Search.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Orchestration:</w:t>
      </w:r>
      <w:r>
        <w:t xml:space="preserve"> manage agent state with Vertex AI Agent Builder + LangGraph runtimes on GKE.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Execution sandbox:</w:t>
      </w:r>
      <w:r>
        <w:t xml:space="preserve"> run untrusted agent code inside Cloud Run v2 with sandboxed gVisor runtimes.</w:t>
      </w:r>
    </w:p>
    <w:p>
      <w:pPr>
        <w:pStyle w:val="Heading3"/>
      </w:pPr>
      <w:r>
        <w:rPr>
          <w:color w:val="C9952F"/>
        </w:rPr>
        <w:t xml:space="preserve">Option C — Azure Native (Azure AI &amp; Container Apps)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Context &amp; ingestion:</w:t>
      </w:r>
      <w:r>
        <w:t xml:space="preserve"> connect codebases and wikis to an Azure AI Search vector index.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Orchestration:</w:t>
      </w:r>
      <w:r>
        <w:t xml:space="preserve"> orchestrate multi-agent interactions with Azure AI Studio + Microsoft AutoGen.</w:t>
      </w:r>
    </w:p>
    <w:p>
      <w:pPr>
        <w:pStyle w:val="ListParagraph"/>
        <w:numPr>
          <w:ilvl w:val="0"/>
          <w:numId w:val="2"/>
        </w:numPr>
        <w:spacing w:after="60" w:line="266"/>
      </w:pPr>
      <w:r>
        <w:rPr>
          <w:b/>
          <w:bCs/>
        </w:rPr>
        <w:t xml:space="preserve">Execution sandbox:</w:t>
      </w:r>
      <w:r>
        <w:t xml:space="preserve"> spin up Azure Container Apps Dynamic Sessions for fast, secure code-execution isolation.</w:t>
      </w:r>
    </w:p>
    <w:p>
      <w:r>
        <w:br w:type="page"/>
      </w:r>
    </w:p>
    <w:p>
      <w:pPr>
        <w:spacing w:after="40"/>
      </w:pPr>
      <w:r>
        <w:rPr>
          <w:b/>
          <w:bCs/>
          <w:color w:val="C9952F"/>
          <w:spacing w:val="40"/>
          <w:sz w:val="18"/>
          <w:szCs w:val="18"/>
        </w:rPr>
        <w:t xml:space="preserve">PART V  ·  SCALABILITY &amp; ENTERPRISE ADOPTION</w:t>
      </w:r>
    </w:p>
    <w:p>
      <w:pPr>
        <w:pBdr>
          <w:bottom w:val="single" w:color="DCE3EC" w:sz="6" w:space="1"/>
        </w:pBdr>
        <w:spacing w:after="160"/>
      </w:pPr>
    </w:p>
    <w:p>
      <w:pPr>
        <w:pStyle w:val="Heading2"/>
      </w:pPr>
      <w:r>
        <w:rPr>
          <w:color w:val="16263F"/>
        </w:rPr>
        <w:t xml:space="preserve">Scalability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W w:type="dxa" w:w="3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7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16263F" w:val="clear"/>
            <w:tcMar>
              <w:top w:type="dxa" w:w="66"/>
              <w:left w:type="dxa" w:w="100"/>
              <w:bottom w:type="dxa" w:w="66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State persistence</w:t>
            </w:r>
          </w:p>
        </w:tc>
        <w:tc>
          <w:tcPr>
            <w:tcW w:type="dxa" w:w="3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Save agent trace histories to a database (e.g., PostgreSQL).</w:t>
            </w:r>
          </w:p>
        </w:tc>
        <w:tc>
          <w:tcPr>
            <w:tcW w:type="dxa" w:w="37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Resume long-running tasks after a network error — no lost work.</w:t>
            </w:r>
          </w:p>
        </w:tc>
      </w:tr>
      <w:tr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Token budgeting</w:t>
            </w:r>
          </w:p>
        </w:tc>
        <w:tc>
          <w:tcPr>
            <w:tcW w:type="dxa" w:w="3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Hard limits on max LLM iterations per agent runtime.</w:t>
            </w:r>
          </w:p>
        </w:tc>
        <w:tc>
          <w:tcPr>
            <w:tcW w:type="dxa" w:w="37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Avoids runaway loops and unexpected billing spikes.</w:t>
            </w:r>
          </w:p>
        </w:tc>
      </w:tr>
      <w:tr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Semantic caching</w:t>
            </w:r>
          </w:p>
        </w:tc>
        <w:tc>
          <w:tcPr>
            <w:tcW w:type="dxa" w:w="3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Cache common agent queries and code snippets.</w:t>
            </w:r>
          </w:p>
        </w:tc>
        <w:tc>
          <w:tcPr>
            <w:tcW w:type="dxa" w:w="37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4F6F9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Cuts latency and API compute cost.</w:t>
            </w:r>
          </w:p>
        </w:tc>
      </w:tr>
      <w:tr>
        <w:tc>
          <w:tcPr>
            <w:tcW w:type="dxa" w:w="19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b/>
                <w:bCs/>
                <w:color w:val="16263F"/>
                <w:sz w:val="18"/>
                <w:szCs w:val="18"/>
              </w:rPr>
              <w:t xml:space="preserve">Context windows</w:t>
            </w:r>
          </w:p>
        </w:tc>
        <w:tc>
          <w:tcPr>
            <w:tcW w:type="dxa" w:w="370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Pass only relevant files or tree-map skeletons, not the whole repo.</w:t>
            </w:r>
          </w:p>
        </w:tc>
        <w:tc>
          <w:tcPr>
            <w:tcW w:type="dxa" w:w="3760"/>
            <w:tcBorders>
              <w:top w:val="single" w:color="DCE3EC" w:sz="1"/>
              <w:left w:val="single" w:color="DCE3EC" w:sz="1"/>
              <w:bottom w:val="single" w:color="DCE3EC" w:sz="1"/>
              <w:right w:val="single" w:color="DCE3E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color w:val="1F2A38"/>
                <w:sz w:val="18"/>
                <w:szCs w:val="18"/>
              </w:rPr>
              <w:t xml:space="preserve">Prevents context-window degradation and improves accuracy.</w:t>
            </w:r>
          </w:p>
        </w:tc>
      </w:tr>
    </w:tbl>
    <w:p>
      <w:pPr>
        <w:pStyle w:val="Heading2"/>
      </w:pPr>
      <w:r>
        <w:rPr>
          <w:color w:val="16263F"/>
        </w:rPr>
        <w:t xml:space="preserve">Best practices for maximum enterprise adoption</w:t>
      </w:r>
    </w:p>
    <w:p>
      <w:pPr>
        <w:spacing w:after="120" w:line="278"/>
      </w:pPr>
      <w:r>
        <w:rPr>
          <w:b/>
          <w:bCs/>
          <w:color w:val="16263F"/>
        </w:rPr>
        <w:t xml:space="preserve">The “Opt-in” trust model.</w:t>
      </w:r>
      <w:r>
        <w:t xml:space="preserve"> Market Embedded PODs first as a “super-powered intern” to standard application teams. Once they trust the agent's PR outputs, offer a toggle to upgrade the service to a Remote POD. Trust is earned in the Embedded tier and spent in the Remote tier — the same land-and-expand logic that governs forward-deployed work.</w:t>
      </w:r>
    </w:p>
    <w:p>
      <w:pPr>
        <w:spacing w:after="120" w:line="278"/>
      </w:pPr>
      <w:r>
        <w:rPr>
          <w:b/>
          <w:bCs/>
          <w:color w:val="16263F"/>
        </w:rPr>
        <w:t xml:space="preserve">Unified telemetry.</w:t>
      </w:r>
      <w:r>
        <w:t xml:space="preserve"> Pipe logs from all clouds (CloudWatch, Google Cloud Logging, Azure Monitor) into a central observability layer (Arize, Phoenix, or LangSmith) to audit agent behavior uniformly.</w:t>
      </w:r>
    </w:p>
    <w:p>
      <w:pPr>
        <w:spacing w:after="120" w:line="278"/>
      </w:pPr>
      <w:r>
        <w:rPr>
          <w:b/>
          <w:bCs/>
          <w:color w:val="16263F"/>
        </w:rPr>
        <w:t xml:space="preserve">The “Kill Switch” guardrail.</w:t>
      </w:r>
      <w:r>
        <w:t xml:space="preserve"> Every cloud environment must have an automated token/compute quota manager. If an agent loops past its hourly budget, automatically tear down the sandbox and alert a human SRE.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2344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E8A816"/>
                <w:sz w:val="20"/>
                <w:szCs w:val="20"/>
              </w:rPr>
              <w:t xml:space="preserve">THE GOVERNING PATTERN</w:t>
            </w:r>
          </w:p>
          <w:p>
            <w:pPr>
              <w:spacing w:line="276"/>
            </w:pPr>
            <w:r>
              <w:t xml:space="preserve">Across all seven stages, both topologies, and four clouds, one rule holds: the agent proposes, a deterministic gate disposes — a human gate in Embedded, an automated verification gate in Remote, a hard kill-switch in both. Cloud-agnostic core, cloud-native bindings, governed execution.</w:t>
            </w:r>
          </w:p>
        </w:tc>
      </w:tr>
    </w:tbl>
    <w:p>
      <w:pPr>
        <w:spacing w:after="40"/>
      </w:pPr>
    </w:p>
    <w:p>
      <w:r>
        <w:rPr>
          <w:color w:val="8090A4"/>
          <w:sz w:val="18"/>
          <w:szCs w:val="18"/>
        </w:rPr>
        <w:t xml:space="preserve">Agentic FDE Lifecycle · Blueprint, Playbook, Cookbook &amp; Runbook · prepared for StatusNeo FDE practice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  <w:outlineLvl w:val="0"/>
    </w:pPr>
    <w:rPr>
      <w:rFonts w:ascii="Cambria" w:cs="Cambria" w:eastAsia="Cambria" w:hAnsi="Cambria"/>
      <w:b/>
      <w:bCs/>
      <w:color w:val="16263F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mbria" w:cs="Cambria" w:eastAsia="Cambria" w:hAnsi="Cambria"/>
      <w:b/>
      <w:bCs/>
      <w:color w:val="16263F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16263F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70"/>
      <w:outlineLvl w:val="2"/>
    </w:pPr>
    <w:rPr>
      <w:rFonts w:ascii="Calibri" w:cs="Calibri" w:eastAsia="Calibri" w:hAnsi="Calibri"/>
      <w:b/>
      <w:bCs/>
      <w:color w:val="C9952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2026-06-23T03:53:42.908Z</dcterms:created>
  <dcterms:modified xsi:type="dcterms:W3CDTF">2026-06-23T03:53:42.908Z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